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69F2" w:rsidRDefault="008A5325">
      <w:r>
        <w:rPr>
          <w:rFonts w:ascii="Cambria Math" w:hAnsi="Cambria Math" w:cs="Cambria Math"/>
          <w:sz w:val="21"/>
          <w:szCs w:val="21"/>
          <w:shd w:val="clear" w:color="auto" w:fill="FFFFFF"/>
        </w:rPr>
        <w:t>𝗛𝗼𝘄</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𝘁𝗵𝗲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𝗥𝗮𝘄</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𝗗𝗮𝘁𝗮</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𝗕𝗲𝗰𝗼𝗺𝗲𝘀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𝗔𝗻𝗮𝗹𝘆𝘁𝗶𝗰𝘀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𝗥𝗲𝗮𝗱𝘆</w:t>
      </w:r>
      <w:r>
        <w:rPr>
          <w:rFonts w:ascii="Segoe UI" w:hAnsi="Segoe UI" w:cs="Segoe UI"/>
          <w:sz w:val="21"/>
          <w:szCs w:val="21"/>
          <w:shd w:val="clear" w:color="auto" w:fill="FFFFFF"/>
        </w:rPr>
        <w:t xml:space="preserve"> </w:t>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Cambria Math" w:hAnsi="Cambria Math" w:cs="Cambria Math"/>
          <w:sz w:val="21"/>
          <w:szCs w:val="21"/>
          <w:shd w:val="clear" w:color="auto" w:fill="FFFFFF"/>
        </w:rPr>
        <w:t>𝗧𝗵𝗲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𝗠𝗲𝗱𝗮𝗹𝗹𝗶𝗼𝗻</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𝗔𝗿𝗰𝗵𝗶𝘁𝗲𝗰𝘁𝘂𝗿𝗲</w:t>
      </w:r>
      <w:r>
        <w:rPr>
          <w:rFonts w:ascii="Segoe UI" w:hAnsi="Segoe UI" w:cs="Segoe UI"/>
          <w:sz w:val="21"/>
          <w:szCs w:val="21"/>
          <w:shd w:val="clear" w:color="auto" w:fill="FFFFFF"/>
        </w:rPr>
        <w:t>: 🥉 🥈🥇</w:t>
      </w:r>
      <w:r>
        <w:rPr>
          <w:rFonts w:ascii="Segoe UI" w:hAnsi="Segoe UI" w:cs="Segoe UI"/>
          <w:sz w:val="21"/>
          <w:szCs w:val="21"/>
          <w:bdr w:val="none" w:sz="0" w:space="0" w:color="auto" w:frame="1"/>
        </w:rPr>
        <w:br/>
      </w:r>
      <w:r>
        <w:rPr>
          <w:rFonts w:ascii="Segoe UI" w:hAnsi="Segoe UI" w:cs="Segoe UI"/>
          <w:sz w:val="21"/>
          <w:szCs w:val="21"/>
          <w:shd w:val="clear" w:color="auto" w:fill="FFFFFF"/>
        </w:rPr>
        <w:t>The Medallion Architecture is systematic progressive data refinement that separates concerns and scales analytics pipelines.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𝗕𝗥𝗢𝗡𝗭𝗘</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𝗟𝗔𝗬𝗘𝗥</w:t>
      </w:r>
      <w:r>
        <w:rPr>
          <w:rFonts w:ascii="Segoe UI" w:hAnsi="Segoe UI" w:cs="Segoe UI"/>
          <w:sz w:val="21"/>
          <w:szCs w:val="21"/>
          <w:shd w:val="clear" w:color="auto" w:fill="FFFFFF"/>
        </w:rPr>
        <w:t xml:space="preserve"> — </w:t>
      </w:r>
      <w:r>
        <w:rPr>
          <w:rFonts w:ascii="Cambria Math" w:hAnsi="Cambria Math" w:cs="Cambria Math"/>
          <w:sz w:val="21"/>
          <w:szCs w:val="21"/>
          <w:shd w:val="clear" w:color="auto" w:fill="FFFFFF"/>
        </w:rPr>
        <w:t>𝗥𝗮𝘄</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𝗜𝗻𝗴𝗲𝘀𝘁𝗶𝗼𝗻</w:t>
      </w:r>
      <w:r>
        <w:rPr>
          <w:rFonts w:ascii="Segoe UI" w:hAnsi="Segoe UI" w:cs="Segoe UI"/>
          <w:sz w:val="21"/>
          <w:szCs w:val="21"/>
          <w:bdr w:val="none" w:sz="0" w:space="0" w:color="auto" w:frame="1"/>
        </w:rPr>
        <w:br/>
      </w:r>
      <w:proofErr w:type="gramStart"/>
      <w:r>
        <w:rPr>
          <w:rFonts w:ascii="Segoe UI" w:hAnsi="Segoe UI" w:cs="Segoe UI"/>
          <w:sz w:val="21"/>
          <w:szCs w:val="21"/>
          <w:shd w:val="clear" w:color="auto" w:fill="FFFFFF"/>
        </w:rPr>
        <w:t>Your</w:t>
      </w:r>
      <w:proofErr w:type="gramEnd"/>
      <w:r>
        <w:rPr>
          <w:rFonts w:ascii="Segoe UI" w:hAnsi="Segoe UI" w:cs="Segoe UI"/>
          <w:sz w:val="21"/>
          <w:szCs w:val="21"/>
          <w:shd w:val="clear" w:color="auto" w:fill="FFFFFF"/>
        </w:rPr>
        <w:t xml:space="preserve"> immutable source of truth. Data flows from databases, APIs, logs, and events into Bronze with zero transformation. Append-only architecture where schema evolution is expected. This layer serves as your lineage anchor and enables complete reprocessing when upstream logic changes.</w:t>
      </w:r>
      <w:r>
        <w:rPr>
          <w:rFonts w:ascii="Segoe UI" w:hAnsi="Segoe UI" w:cs="Segoe UI"/>
          <w:sz w:val="21"/>
          <w:szCs w:val="21"/>
          <w:bdr w:val="none" w:sz="0" w:space="0" w:color="auto" w:frame="1"/>
        </w:rPr>
        <w:br/>
      </w:r>
      <w:r>
        <w:rPr>
          <w:rFonts w:ascii="Segoe UI" w:hAnsi="Segoe UI" w:cs="Segoe UI"/>
          <w:sz w:val="21"/>
          <w:szCs w:val="21"/>
          <w:shd w:val="clear" w:color="auto" w:fill="FFFFFF"/>
        </w:rPr>
        <w:t>Critical: Do NOT clean or transform here. Raw means raw. This preserves audit trails for compliance and acts as your disaster recovery point—rebuild Silver and Gold without re-ingesting from sources.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𝗦𝗜𝗟𝗩𝗘𝗥</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𝗟𝗔𝗬𝗘𝗥</w:t>
      </w:r>
      <w:r>
        <w:rPr>
          <w:rFonts w:ascii="Segoe UI" w:hAnsi="Segoe UI" w:cs="Segoe UI"/>
          <w:sz w:val="21"/>
          <w:szCs w:val="21"/>
          <w:shd w:val="clear" w:color="auto" w:fill="FFFFFF"/>
        </w:rPr>
        <w:t xml:space="preserve"> — </w:t>
      </w:r>
      <w:r>
        <w:rPr>
          <w:rFonts w:ascii="Cambria Math" w:hAnsi="Cambria Math" w:cs="Cambria Math"/>
          <w:sz w:val="21"/>
          <w:szCs w:val="21"/>
          <w:shd w:val="clear" w:color="auto" w:fill="FFFFFF"/>
        </w:rPr>
        <w:t>𝗖𝗹𝗲𝗮𝗻</w:t>
      </w:r>
      <w:r>
        <w:rPr>
          <w:rFonts w:ascii="Segoe UI" w:hAnsi="Segoe UI" w:cs="Segoe UI"/>
          <w:sz w:val="21"/>
          <w:szCs w:val="21"/>
          <w:shd w:val="clear" w:color="auto" w:fill="FFFFFF"/>
        </w:rPr>
        <w:t xml:space="preserve"> &amp; </w:t>
      </w:r>
      <w:r>
        <w:rPr>
          <w:rFonts w:ascii="Cambria Math" w:hAnsi="Cambria Math" w:cs="Cambria Math"/>
          <w:sz w:val="21"/>
          <w:szCs w:val="21"/>
          <w:shd w:val="clear" w:color="auto" w:fill="FFFFFF"/>
        </w:rPr>
        <w:t>𝗥𝗲𝗳𝗶𝗻𝗲𝗱</w:t>
      </w:r>
      <w:r>
        <w:rPr>
          <w:rFonts w:ascii="Segoe UI" w:hAnsi="Segoe UI" w:cs="Segoe UI"/>
          <w:sz w:val="21"/>
          <w:szCs w:val="21"/>
          <w:bdr w:val="none" w:sz="0" w:space="0" w:color="auto" w:frame="1"/>
        </w:rPr>
        <w:br/>
      </w:r>
      <w:r>
        <w:rPr>
          <w:rFonts w:ascii="Segoe UI" w:hAnsi="Segoe UI" w:cs="Segoe UI"/>
          <w:sz w:val="21"/>
          <w:szCs w:val="21"/>
          <w:shd w:val="clear" w:color="auto" w:fill="FFFFFF"/>
        </w:rPr>
        <w:t>Data engineering rigor transforms raw data into trusted assets. Duplicates consolidated into single clean records. Invalid entries filtered through validation rules. Business logic standardizes formats—dates, currency, naming conventions.</w:t>
      </w:r>
      <w:r>
        <w:rPr>
          <w:rFonts w:ascii="Segoe UI" w:hAnsi="Segoe UI" w:cs="Segoe UI"/>
          <w:sz w:val="21"/>
          <w:szCs w:val="21"/>
          <w:bdr w:val="none" w:sz="0" w:space="0" w:color="auto" w:frame="1"/>
        </w:rPr>
        <w:br/>
      </w:r>
      <w:r>
        <w:rPr>
          <w:rFonts w:ascii="Segoe UI" w:hAnsi="Segoe UI" w:cs="Segoe UI"/>
          <w:sz w:val="21"/>
          <w:szCs w:val="21"/>
          <w:shd w:val="clear" w:color="auto" w:fill="FFFFFF"/>
        </w:rPr>
        <w:t>Joins enrich datasets with dimensions. Data contracts enforce schema expectations. This is where data becomes trustworthy for analytics engineers and data scientists. Your ELT jobs, quality checks, and schema enforcement live here.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𝗚𝗢𝗟𝗗</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𝗟𝗔𝗬𝗘𝗥</w:t>
      </w:r>
      <w:r>
        <w:rPr>
          <w:rFonts w:ascii="Segoe UI" w:hAnsi="Segoe UI" w:cs="Segoe UI"/>
          <w:sz w:val="21"/>
          <w:szCs w:val="21"/>
          <w:shd w:val="clear" w:color="auto" w:fill="FFFFFF"/>
        </w:rPr>
        <w:t xml:space="preserve"> — </w:t>
      </w:r>
      <w:r>
        <w:rPr>
          <w:rFonts w:ascii="Cambria Math" w:hAnsi="Cambria Math" w:cs="Cambria Math"/>
          <w:sz w:val="21"/>
          <w:szCs w:val="21"/>
          <w:shd w:val="clear" w:color="auto" w:fill="FFFFFF"/>
        </w:rPr>
        <w:t>𝗔𝗻𝗮𝗹𝘆𝘁𝗶𝗰𝘀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𝗥𝗲𝗮𝗱𝘆</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Aggregated, </w:t>
      </w:r>
      <w:proofErr w:type="spellStart"/>
      <w:r>
        <w:rPr>
          <w:rFonts w:ascii="Segoe UI" w:hAnsi="Segoe UI" w:cs="Segoe UI"/>
          <w:sz w:val="21"/>
          <w:szCs w:val="21"/>
          <w:shd w:val="clear" w:color="auto" w:fill="FFFFFF"/>
        </w:rPr>
        <w:t>denormalized</w:t>
      </w:r>
      <w:proofErr w:type="spellEnd"/>
      <w:r>
        <w:rPr>
          <w:rFonts w:ascii="Segoe UI" w:hAnsi="Segoe UI" w:cs="Segoe UI"/>
          <w:sz w:val="21"/>
          <w:szCs w:val="21"/>
          <w:shd w:val="clear" w:color="auto" w:fill="FFFFFF"/>
        </w:rPr>
        <w:t>, optimized for query performance. Star schemas, slowly changing dimensions (SCD Type 2), pre-calculated KPIs, ML feature stores. Serves dashboards, executive reports, and ML inference pipelines.</w:t>
      </w:r>
      <w:r>
        <w:rPr>
          <w:rFonts w:ascii="Segoe UI" w:hAnsi="Segoe UI" w:cs="Segoe UI"/>
          <w:sz w:val="21"/>
          <w:szCs w:val="21"/>
          <w:bdr w:val="none" w:sz="0" w:space="0" w:color="auto" w:frame="1"/>
        </w:rPr>
        <w:br/>
      </w:r>
      <w:r>
        <w:rPr>
          <w:rFonts w:ascii="Segoe UI" w:hAnsi="Segoe UI" w:cs="Segoe UI"/>
          <w:sz w:val="21"/>
          <w:szCs w:val="21"/>
          <w:shd w:val="clear" w:color="auto" w:fill="FFFFFF"/>
        </w:rPr>
        <w:t>Purpose-built for outcomes—revenue analytics, customer 360, supply chain metrics. Performance optimizations: partitioning, Z-ordering, columnar formats.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Cambria Math" w:hAnsi="Cambria Math" w:cs="Cambria Math"/>
          <w:sz w:val="21"/>
          <w:szCs w:val="21"/>
          <w:shd w:val="clear" w:color="auto" w:fill="FFFFFF"/>
        </w:rPr>
        <w:t>𝗖𝗼𝗺𝗺𝗼𝗻</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𝗔𝗻𝘁𝗶</w:t>
      </w:r>
      <w:r>
        <w:rPr>
          <w:rFonts w:ascii="Segoe UI" w:hAnsi="Segoe UI" w:cs="Segoe UI"/>
          <w:sz w:val="21"/>
          <w:szCs w:val="21"/>
          <w:shd w:val="clear" w:color="auto" w:fill="FFFFFF"/>
        </w:rPr>
        <w:t>-</w:t>
      </w:r>
      <w:r>
        <w:rPr>
          <w:rFonts w:ascii="Cambria Math" w:hAnsi="Cambria Math" w:cs="Cambria Math"/>
          <w:sz w:val="21"/>
          <w:szCs w:val="21"/>
          <w:shd w:val="clear" w:color="auto" w:fill="FFFFFF"/>
        </w:rPr>
        <w:t>𝗣𝗮𝘁𝘁𝗲𝗿𝗻𝘀</w:t>
      </w:r>
      <w:r>
        <w:rPr>
          <w:rFonts w:ascii="Segoe UI" w:hAnsi="Segoe UI" w:cs="Segoe UI"/>
          <w:sz w:val="21"/>
          <w:szCs w:val="21"/>
          <w:shd w:val="clear" w:color="auto" w:fill="FFFFFF"/>
        </w:rPr>
        <w:t>:</w:t>
      </w:r>
      <w:r>
        <w:rPr>
          <w:rFonts w:ascii="Segoe UI" w:hAnsi="Segoe UI" w:cs="Segoe UI"/>
          <w:sz w:val="21"/>
          <w:szCs w:val="21"/>
          <w:bdr w:val="none" w:sz="0" w:space="0" w:color="auto" w:frame="1"/>
        </w:rPr>
        <w:br/>
      </w:r>
      <w:r>
        <w:rPr>
          <w:rFonts w:ascii="Segoe UI" w:hAnsi="Segoe UI" w:cs="Segoe UI"/>
          <w:sz w:val="21"/>
          <w:szCs w:val="21"/>
          <w:shd w:val="clear" w:color="auto" w:fill="FFFFFF"/>
        </w:rPr>
        <w:t>• Transforming in Bronze (violates immutability</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 Skipping Silver—going Bronze → Gold loses validation</w:t>
      </w:r>
      <w:r>
        <w:rPr>
          <w:rFonts w:ascii="Segoe UI" w:hAnsi="Segoe UI" w:cs="Segoe UI"/>
          <w:sz w:val="21"/>
          <w:szCs w:val="21"/>
          <w:bdr w:val="none" w:sz="0" w:space="0" w:color="auto" w:frame="1"/>
        </w:rPr>
        <w:br/>
      </w:r>
      <w:r>
        <w:rPr>
          <w:rFonts w:ascii="Segoe UI" w:hAnsi="Segoe UI" w:cs="Segoe UI"/>
          <w:sz w:val="21"/>
          <w:szCs w:val="21"/>
          <w:shd w:val="clear" w:color="auto" w:fill="FFFFFF"/>
        </w:rPr>
        <w:t>• Using pre-aggregated Gold for exploratory analysis (lacks granularity)</w:t>
      </w:r>
      <w:r>
        <w:rPr>
          <w:rFonts w:ascii="Segoe UI" w:hAnsi="Segoe UI" w:cs="Segoe UI"/>
          <w:sz w:val="21"/>
          <w:szCs w:val="21"/>
          <w:bdr w:val="none" w:sz="0" w:space="0" w:color="auto" w:frame="1"/>
        </w:rPr>
        <w:br/>
      </w:r>
      <w:r>
        <w:rPr>
          <w:rFonts w:ascii="Segoe UI" w:hAnsi="Segoe UI" w:cs="Segoe UI"/>
          <w:sz w:val="21"/>
          <w:szCs w:val="21"/>
          <w:shd w:val="clear" w:color="auto" w:fill="FFFFFF"/>
        </w:rPr>
        <w:t>• No quality testing at layer boundaries.</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Cambria Math" w:hAnsi="Cambria Math" w:cs="Cambria Math"/>
          <w:sz w:val="21"/>
          <w:szCs w:val="21"/>
          <w:shd w:val="clear" w:color="auto" w:fill="FFFFFF"/>
        </w:rPr>
        <w:t>𝗦𝗲𝗽𝗮𝗿𝗮𝘁𝗶𝗼𝗻</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𝗼𝗳</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𝗥𝗲𝘀𝗽𝗼𝗻𝘀𝗶𝗯𝗶𝗹𝗶𝘁𝗶𝗲𝘀</w:t>
      </w:r>
      <w:proofErr w:type="gramStart"/>
      <w:r>
        <w:rPr>
          <w:rFonts w:ascii="Segoe UI" w:hAnsi="Segoe UI" w:cs="Segoe UI"/>
          <w:sz w:val="21"/>
          <w:szCs w:val="21"/>
          <w:shd w:val="clear" w:color="auto" w:fill="FFFFFF"/>
        </w:rPr>
        <w:t>:</w:t>
      </w:r>
      <w:proofErr w:type="gramEnd"/>
      <w:r>
        <w:rPr>
          <w:rFonts w:ascii="Segoe UI" w:hAnsi="Segoe UI" w:cs="Segoe UI"/>
          <w:sz w:val="21"/>
          <w:szCs w:val="21"/>
          <w:bdr w:val="none" w:sz="0" w:space="0" w:color="auto" w:frame="1"/>
        </w:rPr>
        <w:br/>
      </w:r>
      <w:r>
        <w:rPr>
          <w:rFonts w:ascii="Segoe UI" w:hAnsi="Segoe UI" w:cs="Segoe UI"/>
          <w:sz w:val="21"/>
          <w:szCs w:val="21"/>
          <w:shd w:val="clear" w:color="auto" w:fill="FFFFFF"/>
        </w:rPr>
        <w:t>Bronze → Data Engineers: ingestion and source integration</w:t>
      </w:r>
      <w:r>
        <w:rPr>
          <w:rFonts w:ascii="Segoe UI" w:hAnsi="Segoe UI" w:cs="Segoe UI"/>
          <w:sz w:val="21"/>
          <w:szCs w:val="21"/>
          <w:bdr w:val="none" w:sz="0" w:space="0" w:color="auto" w:frame="1"/>
        </w:rPr>
        <w:br/>
      </w:r>
      <w:r>
        <w:rPr>
          <w:rFonts w:ascii="Segoe UI" w:hAnsi="Segoe UI" w:cs="Segoe UI"/>
          <w:sz w:val="21"/>
          <w:szCs w:val="21"/>
          <w:shd w:val="clear" w:color="auto" w:fill="FFFFFF"/>
        </w:rPr>
        <w:t>Silver → Data Engineers: transformation, cleaning, quality; Analytics Engineers &amp; Data Scientists: feature engineering</w:t>
      </w:r>
      <w:r>
        <w:rPr>
          <w:rFonts w:ascii="Segoe UI" w:hAnsi="Segoe UI" w:cs="Segoe UI"/>
          <w:sz w:val="21"/>
          <w:szCs w:val="21"/>
          <w:bdr w:val="none" w:sz="0" w:space="0" w:color="auto" w:frame="1"/>
        </w:rPr>
        <w:br/>
      </w:r>
      <w:r>
        <w:rPr>
          <w:rFonts w:ascii="Segoe UI" w:hAnsi="Segoe UI" w:cs="Segoe UI"/>
          <w:sz w:val="21"/>
          <w:szCs w:val="21"/>
          <w:shd w:val="clear" w:color="auto" w:fill="FFFFFF"/>
        </w:rPr>
        <w:t>Gold → Analytics Engineers: aggregated models; Analysts &amp; Business Users: consume insights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Cambria Math" w:hAnsi="Cambria Math" w:cs="Cambria Math"/>
          <w:sz w:val="21"/>
          <w:szCs w:val="21"/>
          <w:shd w:val="clear" w:color="auto" w:fill="FFFFFF"/>
        </w:rPr>
        <w:t>𝗪𝗵𝘆</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𝗧𝗵𝗶𝘀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𝗦𝗰𝗮𝗹𝗲𝘀</w:t>
      </w:r>
      <w:r>
        <w:rPr>
          <w:rFonts w:ascii="Segoe UI" w:hAnsi="Segoe UI" w:cs="Segoe UI"/>
          <w:sz w:val="21"/>
          <w:szCs w:val="21"/>
          <w:shd w:val="clear" w:color="auto" w:fill="FFFFFF"/>
        </w:rPr>
        <w:t>:</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Each layer enforces quality gates with clear SLAs. Ownership boundaries prevent failures. Debugging is tractable—trace lineage upstream layer by layer. Recovery doesn't cascade. Layered design scales </w:t>
      </w:r>
      <w:r>
        <w:rPr>
          <w:rFonts w:ascii="Segoe UI" w:hAnsi="Segoe UI" w:cs="Segoe UI"/>
          <w:sz w:val="21"/>
          <w:szCs w:val="21"/>
          <w:shd w:val="clear" w:color="auto" w:fill="FFFFFF"/>
        </w:rPr>
        <w:lastRenderedPageBreak/>
        <w:t>horizontally from gigabytes to petabytes.</w:t>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Foundational to modern </w:t>
      </w:r>
      <w:proofErr w:type="spellStart"/>
      <w:r>
        <w:rPr>
          <w:rFonts w:ascii="Segoe UI" w:hAnsi="Segoe UI" w:cs="Segoe UI"/>
          <w:sz w:val="21"/>
          <w:szCs w:val="21"/>
          <w:shd w:val="clear" w:color="auto" w:fill="FFFFFF"/>
        </w:rPr>
        <w:t>lakehouses</w:t>
      </w:r>
      <w:proofErr w:type="spellEnd"/>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Databricks</w:t>
      </w:r>
      <w:proofErr w:type="spellEnd"/>
      <w:r>
        <w:rPr>
          <w:rFonts w:ascii="Segoe UI" w:hAnsi="Segoe UI" w:cs="Segoe UI"/>
          <w:sz w:val="21"/>
          <w:szCs w:val="21"/>
          <w:shd w:val="clear" w:color="auto" w:fill="FFFFFF"/>
        </w:rPr>
        <w:t xml:space="preserve"> Delta Lake, Apache Iceberg, Apache </w:t>
      </w:r>
      <w:proofErr w:type="spellStart"/>
      <w:r>
        <w:rPr>
          <w:rFonts w:ascii="Segoe UI" w:hAnsi="Segoe UI" w:cs="Segoe UI"/>
          <w:sz w:val="21"/>
          <w:szCs w:val="21"/>
          <w:shd w:val="clear" w:color="auto" w:fill="FFFFFF"/>
        </w:rPr>
        <w:t>Hudi</w:t>
      </w:r>
      <w:proofErr w:type="spellEnd"/>
      <w:r>
        <w:rPr>
          <w:rFonts w:ascii="Segoe UI" w:hAnsi="Segoe UI" w:cs="Segoe UI"/>
          <w:sz w:val="21"/>
          <w:szCs w:val="21"/>
          <w:shd w:val="clear" w:color="auto" w:fill="FFFFFF"/>
        </w:rPr>
        <w:t>). Essential for analytics supporting both BI and ML at enterprise scale.</w:t>
      </w:r>
      <w:r>
        <w:rPr>
          <w:rFonts w:ascii="Segoe UI" w:hAnsi="Segoe UI" w:cs="Segoe UI"/>
          <w:sz w:val="21"/>
          <w:szCs w:val="21"/>
          <w:bdr w:val="none" w:sz="0" w:space="0" w:color="auto" w:frame="1"/>
        </w:rPr>
        <w:br/>
      </w:r>
      <w:r>
        <w:rPr>
          <w:rFonts w:ascii="Segoe UI" w:hAnsi="Segoe UI" w:cs="Segoe UI"/>
          <w:sz w:val="21"/>
          <w:szCs w:val="21"/>
          <w:shd w:val="clear" w:color="auto" w:fill="FFFFFF"/>
        </w:rPr>
        <w:t>What’s your experience implementing medallion patterns?</w:t>
      </w:r>
      <w:r>
        <w:rPr>
          <w:rFonts w:ascii="Segoe UI" w:hAnsi="Segoe UI" w:cs="Segoe UI"/>
          <w:sz w:val="21"/>
          <w:szCs w:val="21"/>
          <w:bdr w:val="none" w:sz="0" w:space="0" w:color="auto" w:frame="1"/>
        </w:rPr>
        <w:br/>
      </w:r>
      <w:bookmarkStart w:id="0" w:name="_GoBack"/>
      <w:bookmarkEnd w:id="0"/>
    </w:p>
    <w:sectPr w:rsidR="00586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6A6"/>
    <w:rsid w:val="005869F2"/>
    <w:rsid w:val="008A5325"/>
    <w:rsid w:val="009E1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B8AF6D-A8AA-4761-BC51-5B665812C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pre">
    <w:name w:val="white-space-pre"/>
    <w:basedOn w:val="DefaultParagraphFont"/>
    <w:rsid w:val="008A5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2423</Characters>
  <Application>Microsoft Office Word</Application>
  <DocSecurity>0</DocSecurity>
  <Lines>20</Lines>
  <Paragraphs>5</Paragraphs>
  <ScaleCrop>false</ScaleCrop>
  <Company/>
  <LinksUpToDate>false</LinksUpToDate>
  <CharactersWithSpaces>2843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2026-02-18T02:11:00Z</dcterms:created>
  <dcterms:modified xsi:type="dcterms:W3CDTF">2026-02-18T02:11:00Z</dcterms:modified>
</cp:coreProperties>
</file>