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2BE5E" w14:textId="77777777" w:rsidR="00A9204E" w:rsidRDefault="004D26DB">
      <w:r>
        <w:rPr>
          <w:noProof/>
        </w:rPr>
        <w:drawing>
          <wp:inline distT="0" distB="0" distL="0" distR="0" wp14:anchorId="16649EC2" wp14:editId="2D2B2D61">
            <wp:extent cx="5943600" cy="342711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09" t="13513" r="10872" b="5077"/>
                    <a:stretch/>
                  </pic:blipFill>
                  <pic:spPr bwMode="auto">
                    <a:xfrm>
                      <a:off x="0" y="0"/>
                      <a:ext cx="5943600" cy="3427110"/>
                    </a:xfrm>
                    <a:prstGeom prst="rect">
                      <a:avLst/>
                    </a:prstGeom>
                    <a:ln>
                      <a:noFill/>
                    </a:ln>
                    <a:extLst>
                      <a:ext uri="{53640926-AAD7-44D8-BBD7-CCE9431645EC}">
                        <a14:shadowObscured xmlns:a14="http://schemas.microsoft.com/office/drawing/2010/main"/>
                      </a:ext>
                    </a:extLst>
                  </pic:spPr>
                </pic:pic>
              </a:graphicData>
            </a:graphic>
          </wp:inline>
        </w:drawing>
      </w:r>
    </w:p>
    <w:p w14:paraId="174DE4D5" w14:textId="77777777" w:rsidR="004D26DB" w:rsidRDefault="004D26DB"/>
    <w:p w14:paraId="22507A33" w14:textId="77777777" w:rsidR="004D26DB" w:rsidRDefault="004D26DB"/>
    <w:p w14:paraId="046CC08F" w14:textId="77777777" w:rsidR="004D26DB" w:rsidRDefault="004D26DB"/>
    <w:p w14:paraId="5B23F31B" w14:textId="77777777" w:rsidR="004D26DB" w:rsidRDefault="004D26DB">
      <w:r>
        <w:rPr>
          <w:noProof/>
        </w:rPr>
        <w:drawing>
          <wp:inline distT="0" distB="0" distL="0" distR="0" wp14:anchorId="6C789EDA" wp14:editId="6A730F5F">
            <wp:extent cx="5943600" cy="2481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407" t="29472" r="17436" b="22174"/>
                    <a:stretch/>
                  </pic:blipFill>
                  <pic:spPr bwMode="auto">
                    <a:xfrm>
                      <a:off x="0" y="0"/>
                      <a:ext cx="5943600" cy="2481099"/>
                    </a:xfrm>
                    <a:prstGeom prst="rect">
                      <a:avLst/>
                    </a:prstGeom>
                    <a:ln>
                      <a:noFill/>
                    </a:ln>
                    <a:extLst>
                      <a:ext uri="{53640926-AAD7-44D8-BBD7-CCE9431645EC}">
                        <a14:shadowObscured xmlns:a14="http://schemas.microsoft.com/office/drawing/2010/main"/>
                      </a:ext>
                    </a:extLst>
                  </pic:spPr>
                </pic:pic>
              </a:graphicData>
            </a:graphic>
          </wp:inline>
        </w:drawing>
      </w:r>
    </w:p>
    <w:p w14:paraId="0D3245C1" w14:textId="77777777" w:rsidR="004D26DB" w:rsidRDefault="004D26DB"/>
    <w:p w14:paraId="5CAAA2A7" w14:textId="77777777" w:rsidR="004D26DB" w:rsidRDefault="004D26DB">
      <w:r>
        <w:t>Soil carbon sequestration estimate of 0.860 Metric tons CO2 eq/ac/yr</w:t>
      </w:r>
    </w:p>
    <w:p w14:paraId="192EBA96" w14:textId="77777777" w:rsidR="004D26DB" w:rsidRDefault="004D26DB"/>
    <w:p w14:paraId="30B8BEC5" w14:textId="77777777" w:rsidR="003974A2" w:rsidRDefault="003974A2">
      <w:r>
        <w:t>“</w:t>
      </w:r>
      <w:r w:rsidRPr="003974A2">
        <w:t>Emission reduction coefficients were largely derived using a sample-based approach and model runs in COMET-Farm, which utilizes USDA entity-scale greenhouse gas inventory methods. Coefficients were generalized by multi-county regions defined by USDA Major Land Resource Areas. Emissions estimates represent field emissions only, including those associated with soils and woody biomass as appropriate, and do not include off-site emissions, such as those from transportation, manufacturing, processing, etc.</w:t>
      </w:r>
      <w:r>
        <w:t xml:space="preserve">” </w:t>
      </w:r>
    </w:p>
    <w:p w14:paraId="3A7B60D6" w14:textId="77777777" w:rsidR="004D26DB" w:rsidRDefault="004D26DB">
      <w:r>
        <w:t>Conversion to carbon only and hectares instead of acres:</w:t>
      </w:r>
    </w:p>
    <w:p w14:paraId="2A3EC058" w14:textId="77777777" w:rsidR="00224E84" w:rsidRPr="00224E84" w:rsidRDefault="00224E84" w:rsidP="00224E84">
      <w:r w:rsidRPr="00224E84">
        <w:lastRenderedPageBreak/>
        <w:t xml:space="preserve">0.86 Mg CO2e/ac x (2.47 ac/ha) = </w:t>
      </w:r>
      <w:r>
        <w:rPr>
          <w:b/>
        </w:rPr>
        <w:t>2</w:t>
      </w:r>
      <w:r w:rsidRPr="00224E84">
        <w:rPr>
          <w:b/>
        </w:rPr>
        <w:t>.</w:t>
      </w:r>
      <w:r>
        <w:rPr>
          <w:b/>
        </w:rPr>
        <w:t>12</w:t>
      </w:r>
      <w:r w:rsidRPr="00224E84">
        <w:rPr>
          <w:b/>
        </w:rPr>
        <w:t xml:space="preserve"> Mg C</w:t>
      </w:r>
      <w:r>
        <w:rPr>
          <w:b/>
        </w:rPr>
        <w:t>O2 eq</w:t>
      </w:r>
      <w:r w:rsidRPr="00224E84">
        <w:rPr>
          <w:b/>
        </w:rPr>
        <w:t>/ha/yr</w:t>
      </w:r>
    </w:p>
    <w:p w14:paraId="4465B833" w14:textId="77777777" w:rsidR="004D26DB" w:rsidRDefault="004D26DB"/>
    <w:p w14:paraId="0D585A44" w14:textId="77777777" w:rsidR="004D26DB" w:rsidRDefault="001759F4">
      <w:r>
        <w:t>0.</w:t>
      </w:r>
      <w:r w:rsidR="004D26DB">
        <w:t xml:space="preserve">86 </w:t>
      </w:r>
      <w:r>
        <w:t>Mg</w:t>
      </w:r>
      <w:r w:rsidR="004D26DB">
        <w:t xml:space="preserve"> CO2e/ac x (12 units C/44 units CO2e) x (2.47 ac/ha) = </w:t>
      </w:r>
      <w:r w:rsidRPr="003974A2">
        <w:rPr>
          <w:b/>
        </w:rPr>
        <w:t>0.</w:t>
      </w:r>
      <w:r w:rsidR="004D26DB" w:rsidRPr="003974A2">
        <w:rPr>
          <w:b/>
        </w:rPr>
        <w:t xml:space="preserve">579 </w:t>
      </w:r>
      <w:r w:rsidRPr="003974A2">
        <w:rPr>
          <w:b/>
        </w:rPr>
        <w:t>M</w:t>
      </w:r>
      <w:r w:rsidR="004D26DB" w:rsidRPr="003974A2">
        <w:rPr>
          <w:b/>
        </w:rPr>
        <w:t>g C/ha/yr</w:t>
      </w:r>
    </w:p>
    <w:p w14:paraId="118B9F19" w14:textId="77777777" w:rsidR="004D26DB" w:rsidRDefault="004D26DB"/>
    <w:p w14:paraId="4BC0947F" w14:textId="77777777" w:rsidR="000E605A" w:rsidRDefault="001759F4" w:rsidP="001B5FDD">
      <w:r>
        <w:t xml:space="preserve">This is about 2.5 times the soil carbon benefit of cover crops. </w:t>
      </w:r>
      <w:r w:rsidRPr="001759F4">
        <w:t>Positive changes in SOC reflect the net capture of atmospheric CO</w:t>
      </w:r>
      <w:r w:rsidRPr="001759F4">
        <w:rPr>
          <w:vertAlign w:val="subscript"/>
        </w:rPr>
        <w:t>2</w:t>
      </w:r>
      <w:r w:rsidRPr="001759F4">
        <w:t xml:space="preserve"> in croplands, with different practices such as perennial crops or changes in tillage and nutrient management capable of mitigating GHG emissions by more than 0.5 Mg CO</w:t>
      </w:r>
      <w:r w:rsidRPr="001759F4">
        <w:rPr>
          <w:vertAlign w:val="subscript"/>
        </w:rPr>
        <w:t>2</w:t>
      </w:r>
      <w:r w:rsidRPr="001759F4">
        <w:t xml:space="preserve"> eq ha</w:t>
      </w:r>
      <w:r w:rsidRPr="001759F4">
        <w:rPr>
          <w:vertAlign w:val="superscript"/>
        </w:rPr>
        <w:t>-1</w:t>
      </w:r>
      <w:r w:rsidRPr="001759F4">
        <w:t xml:space="preserve"> yr</w:t>
      </w:r>
      <w:r w:rsidRPr="001759F4">
        <w:rPr>
          <w:vertAlign w:val="superscript"/>
        </w:rPr>
        <w:t>-1</w:t>
      </w:r>
      <w:r w:rsidRPr="001759F4">
        <w:t xml:space="preserve"> </w:t>
      </w:r>
      <w:r w:rsidRPr="001759F4">
        <w:fldChar w:fldCharType="begin" w:fldLock="1"/>
      </w:r>
      <w:r w:rsidRPr="001759F4">
        <w:instrText>ADDIN CSL_CITATION {"citationItems":[{"id":"ITEM-1","itemData":{"DOI":"10.1038/nature17174","ISSN":"14764687","PMID":"27078564","abstract":"Soils are integral to the function of all terrestrial ecosystems and to food and fibre production. An overlooked aspect of soils is their potential to mitigate greenhouse gas emissions. Although proven practices exist, the implementation of soil-based greenhouse gas mitigation activities are at an early stage and accurately quantifying emissions and reductions remains a substantial challenge. Emerging research and information technology developments provide the potential for a broader inclusion of soils in greenhouse gas policies. Here we highlight \"state of the art\" soil greenhouse gas research, summarize mitigation practices and potentials, identify gaps in data and understanding and suggest ways to close such gaps through new research, technology and collaboration.","author":[{"dropping-particle":"","family":"Paustian","given":"Keith","non-dropping-particle":"","parse-names":false,"suffix":""},{"dropping-particle":"","family":"Lehmann","given":"Johannes","non-dropping-particle":"","parse-names":false,"suffix":""},{"dropping-particle":"","family":"Ogle","given":"Stephen","non-dropping-particle":"","parse-names":false,"suffix":""},{"dropping-particle":"","family":"Reay","given":"David","non-dropping-particle":"","parse-names":false,"suffix":""},{"dropping-particle":"","family":"Robertson","given":"G. Philip","non-dropping-particle":"","parse-names":false,"suffix":""},{"dropping-particle":"","family":"Smith","given":"Pete","non-dropping-particle":"","parse-names":false,"suffix":""}],"container-title":"Nature","id":"ITEM-1","issue":"7597","issued":{"date-parts":[["2016"]]},"page":"49-57","publisher":"Nature Publishing Group","title":"Climate-smart soils","type":"article-journal","volume":"532"},"uris":["http://www.mendeley.com/documents/?uuid=41e13a6e-88bf-4439-a3f2-dd644c6489d1"]}],"mendeley":{"formattedCitation":"(Paustian et al., 2016)","plainTextFormattedCitation":"(Paustian et al., 2016)","previouslyFormattedCitation":"(Paustian et al., 2016)"},"properties":{"noteIndex":0},"schema":"https://github.com/citation-style-language/schema/raw/master/csl-citation.json"}</w:instrText>
      </w:r>
      <w:r w:rsidRPr="001759F4">
        <w:fldChar w:fldCharType="separate"/>
      </w:r>
      <w:r w:rsidRPr="001759F4">
        <w:t>(Paustian et al., 2016)</w:t>
      </w:r>
      <w:r w:rsidRPr="001759F4">
        <w:fldChar w:fldCharType="end"/>
      </w:r>
      <w:r w:rsidRPr="001759F4">
        <w:t>.</w:t>
      </w:r>
      <w:r>
        <w:t xml:space="preserve"> This widely cited review estimated</w:t>
      </w:r>
      <w:r w:rsidR="007145AF" w:rsidRPr="007145AF">
        <w:t xml:space="preserve"> </w:t>
      </w:r>
      <w:r>
        <w:t xml:space="preserve">that </w:t>
      </w:r>
      <w:r w:rsidR="007145AF" w:rsidRPr="007145AF">
        <w:t xml:space="preserve">cover crops </w:t>
      </w:r>
      <w:r>
        <w:t>enhance</w:t>
      </w:r>
      <w:r w:rsidR="007145AF" w:rsidRPr="007145AF">
        <w:t xml:space="preserve"> SOC </w:t>
      </w:r>
      <w:r>
        <w:t>by</w:t>
      </w:r>
      <w:r w:rsidR="007145AF" w:rsidRPr="007145AF">
        <w:t xml:space="preserve"> 0.23 Mg C ha−1 yr−1, which is 844 kg CO2 eq/ha/yr</w:t>
      </w:r>
      <w:r>
        <w:t xml:space="preserve">. </w:t>
      </w:r>
    </w:p>
    <w:p w14:paraId="439425C7" w14:textId="77777777" w:rsidR="000E605A" w:rsidRDefault="000E605A" w:rsidP="001B5FDD"/>
    <w:p w14:paraId="59D90638" w14:textId="77777777" w:rsidR="000E605A" w:rsidRDefault="001759F4" w:rsidP="001B5FDD">
      <w:r>
        <w:t xml:space="preserve">The original meta-analysis determining this value was </w:t>
      </w:r>
      <w:r w:rsidR="007145AF" w:rsidRPr="007145AF">
        <w:t>Poeplau</w:t>
      </w:r>
      <w:r>
        <w:t xml:space="preserve"> and </w:t>
      </w:r>
      <w:r w:rsidR="007145AF" w:rsidRPr="007145AF">
        <w:t>Don</w:t>
      </w:r>
      <w:r>
        <w:t xml:space="preserve"> (2015) - </w:t>
      </w:r>
      <w:r w:rsidR="007145AF" w:rsidRPr="007145AF">
        <w:t xml:space="preserve">Carbon sequestration in agricultural soils via cultivation of cover crops—a meta-analysis. </w:t>
      </w:r>
      <w:r w:rsidR="007145AF" w:rsidRPr="007145AF">
        <w:rPr>
          <w:i/>
          <w:iCs/>
        </w:rPr>
        <w:t xml:space="preserve">Agric. Ecosyst. Environ. </w:t>
      </w:r>
      <w:r w:rsidR="007145AF" w:rsidRPr="007145AF">
        <w:rPr>
          <w:b/>
          <w:bCs/>
        </w:rPr>
        <w:t xml:space="preserve">200, </w:t>
      </w:r>
      <w:r w:rsidR="007145AF" w:rsidRPr="007145AF">
        <w:t>33–41.</w:t>
      </w:r>
      <w:r w:rsidR="001B5FDD">
        <w:t xml:space="preserve"> </w:t>
      </w:r>
    </w:p>
    <w:p w14:paraId="59DB6156" w14:textId="77777777" w:rsidR="000E605A" w:rsidRDefault="000E605A" w:rsidP="001B5FDD"/>
    <w:p w14:paraId="346344FE" w14:textId="4359250F" w:rsidR="001B5FDD" w:rsidRPr="001B5FDD" w:rsidRDefault="001B5FDD" w:rsidP="001B5FDD">
      <w:r w:rsidRPr="001B5FDD">
        <w:t xml:space="preserve">For COMET farm in Yolo County, the </w:t>
      </w:r>
      <w:r w:rsidR="000E605A">
        <w:t xml:space="preserve">COMET planner </w:t>
      </w:r>
      <w:r w:rsidRPr="001B5FDD">
        <w:t>calculator shows an estimate of 0.</w:t>
      </w:r>
      <w:r>
        <w:t>15</w:t>
      </w:r>
      <w:r w:rsidRPr="001B5FDD">
        <w:t xml:space="preserve"> Mg CO2e/ac </w:t>
      </w:r>
      <w:r>
        <w:t xml:space="preserve">impact of </w:t>
      </w:r>
      <w:r w:rsidR="004B343C">
        <w:t xml:space="preserve">non-legume </w:t>
      </w:r>
      <w:r>
        <w:t>cover crops in</w:t>
      </w:r>
      <w:r w:rsidRPr="001B5FDD">
        <w:t xml:space="preserve"> irrigated cropland, </w:t>
      </w:r>
      <w:r>
        <w:t xml:space="preserve">which is 5.7x smaller than the </w:t>
      </w:r>
      <w:r w:rsidRPr="001B5FDD">
        <w:t>benefit of perennial forages.</w:t>
      </w:r>
      <w:r w:rsidR="004B343C">
        <w:t xml:space="preserve"> For legume species, this is</w:t>
      </w:r>
      <w:r w:rsidR="004B343C" w:rsidRPr="004B343C">
        <w:t xml:space="preserve"> 0.</w:t>
      </w:r>
      <w:r w:rsidR="004B343C">
        <w:t xml:space="preserve">37 </w:t>
      </w:r>
      <w:r w:rsidR="004B343C" w:rsidRPr="004B343C">
        <w:t>Mg CO2e/ac</w:t>
      </w:r>
      <w:r w:rsidR="004B343C">
        <w:t>, or 43% of perennial forages.</w:t>
      </w:r>
    </w:p>
    <w:p w14:paraId="5F5AA5FA" w14:textId="77777777" w:rsidR="001759F4" w:rsidRDefault="001759F4" w:rsidP="007145AF"/>
    <w:p w14:paraId="339E62A1" w14:textId="77777777" w:rsidR="00224E84" w:rsidRPr="00224E84" w:rsidRDefault="00224E84" w:rsidP="00224E84">
      <w:r>
        <w:t>This is on the highest possible range for no-till</w:t>
      </w:r>
      <w:r w:rsidR="00605A52">
        <w:t xml:space="preserve"> in literature and double that reported by COMET farm for California</w:t>
      </w:r>
      <w:r>
        <w:t xml:space="preserve">. </w:t>
      </w:r>
      <w:r w:rsidR="00605A52">
        <w:t xml:space="preserve">For eample, </w:t>
      </w:r>
      <w:hyperlink r:id="rId10" w:anchor="b50" w:history="1">
        <w:r w:rsidRPr="00224E84">
          <w:rPr>
            <w:rStyle w:val="Hyperlink"/>
            <w:b/>
            <w:bCs/>
          </w:rPr>
          <w:t>West &amp; Post (2002)</w:t>
        </w:r>
      </w:hyperlink>
      <w:r w:rsidRPr="00224E84">
        <w:t> </w:t>
      </w:r>
      <w:r>
        <w:t>estimated</w:t>
      </w:r>
      <w:r w:rsidRPr="00224E84">
        <w:t xml:space="preserve"> a change from conventional tillage (CT) to NT could sequester</w:t>
      </w:r>
      <w:r>
        <w:t xml:space="preserve"> around</w:t>
      </w:r>
      <w:r w:rsidRPr="00224E84">
        <w:t xml:space="preserve"> 140–570 kg</w:t>
      </w:r>
      <w:r>
        <w:t xml:space="preserve"> </w:t>
      </w:r>
      <w:r w:rsidRPr="00224E84">
        <w:t>C</w:t>
      </w:r>
      <w:r>
        <w:t xml:space="preserve"> </w:t>
      </w:r>
      <w:r w:rsidRPr="00224E84">
        <w:t>ha/yr</w:t>
      </w:r>
      <w:r w:rsidRPr="00224E84">
        <w:rPr>
          <w:vertAlign w:val="superscript"/>
        </w:rPr>
        <w:t>−1</w:t>
      </w:r>
      <w:r w:rsidRPr="00224E84">
        <w:t xml:space="preserve">. When converted to CO2eq, 0.3 Mg C/ha/yr is 1.1 Mg CO2 eq/ha/yr. This relates to a change in N rate of 108 kg N/ha/yr. </w:t>
      </w:r>
      <w:r w:rsidR="00605A52">
        <w:t xml:space="preserve">For COMET farm in Yolo County, the calculator shows an estimate of </w:t>
      </w:r>
      <w:r w:rsidR="00605A52" w:rsidRPr="00605A52">
        <w:t>0.</w:t>
      </w:r>
      <w:r w:rsidR="00605A52">
        <w:t>42</w:t>
      </w:r>
      <w:r w:rsidR="00605A52" w:rsidRPr="00605A52">
        <w:t xml:space="preserve"> Mg CO2e/ac</w:t>
      </w:r>
      <w:r w:rsidR="001B5FDD">
        <w:t xml:space="preserve"> for irrigated cropland</w:t>
      </w:r>
      <w:r w:rsidR="00605A52">
        <w:t xml:space="preserve">, or </w:t>
      </w:r>
      <w:r w:rsidR="001B5FDD">
        <w:t>more than 2x smaller than benefit of perennial forages.</w:t>
      </w:r>
    </w:p>
    <w:p w14:paraId="5E3A8929" w14:textId="77777777" w:rsidR="001759F4" w:rsidRDefault="001759F4" w:rsidP="007145AF"/>
    <w:p w14:paraId="3105651F" w14:textId="4DEF82B8" w:rsidR="007145AF" w:rsidRDefault="00224E84">
      <w:r>
        <w:t xml:space="preserve">This represents a reduction of around 200 kg N fertilizer/ha, assuming that direct plus indirect emissions from fertilizer production, transport, field emissions, and indirect emissions total around </w:t>
      </w:r>
      <w:r w:rsidRPr="00224E84">
        <w:t>10.15 kg CO2 eq/kg N fertilizer</w:t>
      </w:r>
      <w:r>
        <w:t xml:space="preserve">. </w:t>
      </w:r>
    </w:p>
    <w:p w14:paraId="37051308" w14:textId="77777777" w:rsidR="004D26DB" w:rsidRDefault="004D26DB"/>
    <w:p w14:paraId="58B7D94B" w14:textId="77777777" w:rsidR="006006EB" w:rsidRDefault="001F4EB4">
      <w:r>
        <w:t>Note in</w:t>
      </w:r>
      <w:r w:rsidR="006006EB">
        <w:t xml:space="preserve"> COMET farm there are four different options, ranging from normal to high seeding rate and with or without lime </w:t>
      </w:r>
      <w:r>
        <w:t>or</w:t>
      </w:r>
      <w:r w:rsidR="006006EB">
        <w:t xml:space="preserve"> fertilizer. These would generate different economic payments, due to different costs for grower, but all produce the same </w:t>
      </w:r>
      <w:r>
        <w:t xml:space="preserve">net GHG benefits: </w:t>
      </w:r>
    </w:p>
    <w:p w14:paraId="201805B6" w14:textId="77777777" w:rsidR="001F4EB4" w:rsidRDefault="001F4EB4"/>
    <w:p w14:paraId="549FED6F" w14:textId="77777777" w:rsidR="001F4EB4" w:rsidRDefault="001F4EB4">
      <w:r>
        <w:rPr>
          <w:noProof/>
        </w:rPr>
        <w:drawing>
          <wp:inline distT="0" distB="0" distL="0" distR="0" wp14:anchorId="5B21AB38" wp14:editId="35B258EA">
            <wp:extent cx="5943600" cy="196168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11" t="18397" r="10948" b="36341"/>
                    <a:stretch/>
                  </pic:blipFill>
                  <pic:spPr bwMode="auto">
                    <a:xfrm>
                      <a:off x="0" y="0"/>
                      <a:ext cx="5943600" cy="1961686"/>
                    </a:xfrm>
                    <a:prstGeom prst="rect">
                      <a:avLst/>
                    </a:prstGeom>
                    <a:ln>
                      <a:noFill/>
                    </a:ln>
                    <a:extLst>
                      <a:ext uri="{53640926-AAD7-44D8-BBD7-CCE9431645EC}">
                        <a14:shadowObscured xmlns:a14="http://schemas.microsoft.com/office/drawing/2010/main"/>
                      </a:ext>
                    </a:extLst>
                  </pic:spPr>
                </pic:pic>
              </a:graphicData>
            </a:graphic>
          </wp:inline>
        </w:drawing>
      </w:r>
    </w:p>
    <w:sectPr w:rsidR="001F4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DB"/>
    <w:rsid w:val="000E605A"/>
    <w:rsid w:val="001759F4"/>
    <w:rsid w:val="001B5FDD"/>
    <w:rsid w:val="001F4EB4"/>
    <w:rsid w:val="00224E84"/>
    <w:rsid w:val="003974A2"/>
    <w:rsid w:val="004B343C"/>
    <w:rsid w:val="004D26DB"/>
    <w:rsid w:val="005410AA"/>
    <w:rsid w:val="006006EB"/>
    <w:rsid w:val="00605A52"/>
    <w:rsid w:val="00645252"/>
    <w:rsid w:val="006D3D74"/>
    <w:rsid w:val="007145AF"/>
    <w:rsid w:val="0083569A"/>
    <w:rsid w:val="00A9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D603"/>
  <w15:chartTrackingRefBased/>
  <w15:docId w15:val="{F2F709F9-FA82-465D-A9BD-AAA6E6E7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224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950735">
      <w:bodyDiv w:val="1"/>
      <w:marLeft w:val="0"/>
      <w:marRight w:val="0"/>
      <w:marTop w:val="0"/>
      <w:marBottom w:val="0"/>
      <w:divBdr>
        <w:top w:val="none" w:sz="0" w:space="0" w:color="auto"/>
        <w:left w:val="none" w:sz="0" w:space="0" w:color="auto"/>
        <w:bottom w:val="none" w:sz="0" w:space="0" w:color="auto"/>
        <w:right w:val="none" w:sz="0" w:space="0" w:color="auto"/>
      </w:divBdr>
    </w:div>
    <w:div w:id="141100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0" Type="http://schemas.openxmlformats.org/officeDocument/2006/relationships/hyperlink" Target="https://onlinelibrary.wiley.com/doi/full/10.1111/j.1365-2486.2008.01743.x" TargetMode="External"/><Relationship Id="rId4" Type="http://schemas.openxmlformats.org/officeDocument/2006/relationships/numbering" Target="numbering.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itt\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2</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Pittelkow</dc:creator>
  <cp:keywords/>
  <dc:description/>
  <cp:lastModifiedBy>Cameron Mark Pittelkow</cp:lastModifiedBy>
  <cp:revision>2</cp:revision>
  <dcterms:created xsi:type="dcterms:W3CDTF">2024-06-24T18:12:00Z</dcterms:created>
  <dcterms:modified xsi:type="dcterms:W3CDTF">2024-06-24T18:12:00Z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