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9B29" w14:textId="7E6156E3" w:rsidR="00601EA8" w:rsidRPr="005A7FF0" w:rsidRDefault="00611796" w:rsidP="009D1E16">
      <w:pPr>
        <w:spacing w:after="0" w:line="360" w:lineRule="auto"/>
        <w:jc w:val="center"/>
        <w:rPr>
          <w:b/>
          <w:bCs/>
          <w:sz w:val="32"/>
          <w:szCs w:val="32"/>
        </w:rPr>
      </w:pPr>
      <w:bookmarkStart w:id="0" w:name="_Hlk128388414"/>
      <w:r w:rsidRPr="005A7FF0">
        <w:rPr>
          <w:b/>
          <w:bCs/>
          <w:sz w:val="32"/>
          <w:szCs w:val="32"/>
        </w:rPr>
        <w:t xml:space="preserve">Environmental Costs </w:t>
      </w:r>
      <w:r w:rsidR="00F931C9">
        <w:rPr>
          <w:b/>
          <w:bCs/>
          <w:sz w:val="32"/>
          <w:szCs w:val="32"/>
        </w:rPr>
        <w:t xml:space="preserve">vs. Nutritional Benefits </w:t>
      </w:r>
      <w:r w:rsidRPr="005A7FF0">
        <w:rPr>
          <w:b/>
          <w:bCs/>
          <w:sz w:val="32"/>
          <w:szCs w:val="32"/>
        </w:rPr>
        <w:t xml:space="preserve">of </w:t>
      </w:r>
      <w:r w:rsidR="00601EA8" w:rsidRPr="005A7FF0">
        <w:rPr>
          <w:b/>
          <w:bCs/>
          <w:sz w:val="32"/>
          <w:szCs w:val="32"/>
        </w:rPr>
        <w:t>Rapeseed</w:t>
      </w:r>
      <w:r w:rsidR="00C0097D" w:rsidRPr="005A7FF0">
        <w:rPr>
          <w:b/>
          <w:bCs/>
          <w:sz w:val="32"/>
          <w:szCs w:val="32"/>
        </w:rPr>
        <w:t xml:space="preserve"> </w:t>
      </w:r>
      <w:r w:rsidR="00F931C9">
        <w:rPr>
          <w:b/>
          <w:bCs/>
          <w:sz w:val="32"/>
          <w:szCs w:val="32"/>
        </w:rPr>
        <w:t xml:space="preserve">Oil </w:t>
      </w:r>
      <w:r w:rsidR="00C0097D" w:rsidRPr="005A7FF0">
        <w:rPr>
          <w:b/>
          <w:bCs/>
          <w:sz w:val="32"/>
          <w:szCs w:val="32"/>
        </w:rPr>
        <w:t>and African Palm Oil Production</w:t>
      </w:r>
      <w:r w:rsidR="00601EA8" w:rsidRPr="005A7FF0">
        <w:rPr>
          <w:b/>
          <w:bCs/>
          <w:sz w:val="32"/>
          <w:szCs w:val="32"/>
        </w:rPr>
        <w:t xml:space="preserve"> </w:t>
      </w:r>
      <w:bookmarkEnd w:id="0"/>
      <w:r w:rsidR="00601EA8" w:rsidRPr="005A7FF0">
        <w:rPr>
          <w:b/>
          <w:bCs/>
          <w:sz w:val="32"/>
          <w:szCs w:val="32"/>
        </w:rPr>
        <w:t>for Human Consumption</w:t>
      </w:r>
      <w:r w:rsidR="009D1E16" w:rsidRPr="005A7FF0">
        <w:rPr>
          <w:b/>
          <w:bCs/>
          <w:sz w:val="32"/>
          <w:szCs w:val="32"/>
        </w:rPr>
        <w:t>:</w:t>
      </w:r>
      <w:r w:rsidR="007C62D8">
        <w:rPr>
          <w:b/>
          <w:bCs/>
          <w:sz w:val="32"/>
          <w:szCs w:val="32"/>
        </w:rPr>
        <w:t xml:space="preserve"> </w:t>
      </w:r>
      <w:r w:rsidR="009D1E16" w:rsidRPr="005A7FF0">
        <w:rPr>
          <w:b/>
          <w:bCs/>
          <w:sz w:val="32"/>
          <w:szCs w:val="32"/>
        </w:rPr>
        <w:t>A Case Study from Canada and Malaysia</w:t>
      </w:r>
    </w:p>
    <w:p w14:paraId="42961D78" w14:textId="7C912B58" w:rsidR="00C84A71" w:rsidRPr="005A7FF0" w:rsidRDefault="003632A1" w:rsidP="000B55EF">
      <w:pPr>
        <w:spacing w:after="0" w:line="360" w:lineRule="auto"/>
        <w:jc w:val="center"/>
        <w:rPr>
          <w:sz w:val="28"/>
          <w:szCs w:val="28"/>
        </w:rPr>
      </w:pPr>
      <w:r w:rsidRPr="005A7FF0">
        <w:rPr>
          <w:sz w:val="28"/>
          <w:szCs w:val="28"/>
        </w:rPr>
        <w:t>Mauricio R. Bellon</w:t>
      </w:r>
      <w:r w:rsidR="00791248">
        <w:rPr>
          <w:rStyle w:val="FootnoteReference"/>
          <w:sz w:val="28"/>
          <w:szCs w:val="28"/>
        </w:rPr>
        <w:footnoteReference w:id="1"/>
      </w:r>
    </w:p>
    <w:p w14:paraId="76416442" w14:textId="58DE3B0C" w:rsidR="003632A1" w:rsidRPr="005A7FF0" w:rsidRDefault="003632A1" w:rsidP="000B55EF">
      <w:pPr>
        <w:spacing w:after="0" w:line="360" w:lineRule="auto"/>
        <w:jc w:val="center"/>
        <w:rPr>
          <w:sz w:val="24"/>
          <w:szCs w:val="24"/>
        </w:rPr>
      </w:pPr>
      <w:proofErr w:type="spellStart"/>
      <w:r w:rsidRPr="005A7FF0">
        <w:rPr>
          <w:rFonts w:cstheme="minorHAnsi"/>
          <w:sz w:val="28"/>
          <w:szCs w:val="28"/>
        </w:rPr>
        <w:t>Swette</w:t>
      </w:r>
      <w:proofErr w:type="spellEnd"/>
      <w:r w:rsidRPr="005A7FF0">
        <w:rPr>
          <w:rFonts w:cstheme="minorHAnsi"/>
          <w:sz w:val="28"/>
          <w:szCs w:val="28"/>
        </w:rPr>
        <w:t xml:space="preserve"> Center for Sustainable Food Systems, Arizona State University</w:t>
      </w:r>
    </w:p>
    <w:p w14:paraId="19697339" w14:textId="62B885D1" w:rsidR="009255E0" w:rsidRPr="005A7FF0" w:rsidRDefault="009255E0" w:rsidP="00900E59">
      <w:pPr>
        <w:spacing w:after="0" w:line="360" w:lineRule="auto"/>
        <w:jc w:val="center"/>
        <w:rPr>
          <w:sz w:val="32"/>
          <w:szCs w:val="32"/>
        </w:rPr>
      </w:pPr>
      <w:r w:rsidRPr="005A7FF0">
        <w:rPr>
          <w:sz w:val="32"/>
          <w:szCs w:val="32"/>
        </w:rPr>
        <w:t>Executive Summary</w:t>
      </w:r>
    </w:p>
    <w:p w14:paraId="61FD5183" w14:textId="0F9CA9B7" w:rsidR="00364370" w:rsidRDefault="00E632DD" w:rsidP="00900E59">
      <w:pPr>
        <w:spacing w:after="0" w:line="240" w:lineRule="auto"/>
        <w:rPr>
          <w:sz w:val="24"/>
          <w:szCs w:val="24"/>
        </w:rPr>
      </w:pPr>
      <w:r w:rsidRPr="005A7FF0">
        <w:rPr>
          <w:sz w:val="24"/>
          <w:szCs w:val="24"/>
        </w:rPr>
        <w:t>This study presents a</w:t>
      </w:r>
      <w:r w:rsidR="00364370" w:rsidRPr="005A7FF0">
        <w:rPr>
          <w:sz w:val="24"/>
          <w:szCs w:val="24"/>
        </w:rPr>
        <w:t xml:space="preserve"> </w:t>
      </w:r>
      <w:r w:rsidRPr="005A7FF0">
        <w:rPr>
          <w:sz w:val="24"/>
          <w:szCs w:val="24"/>
        </w:rPr>
        <w:t xml:space="preserve">comparative assessment of the negative environmental impacts and associated external costs generated by </w:t>
      </w:r>
      <w:r w:rsidR="00E75B6F">
        <w:rPr>
          <w:sz w:val="24"/>
          <w:szCs w:val="24"/>
        </w:rPr>
        <w:t xml:space="preserve">the production of </w:t>
      </w:r>
      <w:r w:rsidRPr="005A7FF0">
        <w:rPr>
          <w:sz w:val="24"/>
          <w:szCs w:val="24"/>
        </w:rPr>
        <w:t>rapeseed oil and African palm oil</w:t>
      </w:r>
      <w:r w:rsidR="00364370" w:rsidRPr="005A7FF0">
        <w:rPr>
          <w:sz w:val="24"/>
          <w:szCs w:val="24"/>
        </w:rPr>
        <w:t xml:space="preserve">, as well as a comparison of key nutrients available in these oils relevant </w:t>
      </w:r>
      <w:r w:rsidR="00C51328" w:rsidRPr="005A7FF0">
        <w:rPr>
          <w:sz w:val="24"/>
          <w:szCs w:val="24"/>
        </w:rPr>
        <w:t>to</w:t>
      </w:r>
      <w:r w:rsidR="00364370" w:rsidRPr="005A7FF0">
        <w:rPr>
          <w:sz w:val="24"/>
          <w:szCs w:val="24"/>
        </w:rPr>
        <w:t xml:space="preserve"> human health. A Life </w:t>
      </w:r>
      <w:r w:rsidR="00C51328" w:rsidRPr="005A7FF0">
        <w:rPr>
          <w:sz w:val="24"/>
          <w:szCs w:val="24"/>
        </w:rPr>
        <w:t xml:space="preserve">Cycle </w:t>
      </w:r>
      <w:r w:rsidR="00364370" w:rsidRPr="005A7FF0">
        <w:rPr>
          <w:sz w:val="24"/>
          <w:szCs w:val="24"/>
        </w:rPr>
        <w:t xml:space="preserve">Assessment (LCA) was carried out focusing on the farm production of </w:t>
      </w:r>
      <w:r w:rsidR="00596559" w:rsidRPr="005A7FF0">
        <w:rPr>
          <w:sz w:val="24"/>
          <w:szCs w:val="24"/>
        </w:rPr>
        <w:t>the raw materials needed to produce one kg of canola crude oil and of palm crude oil. Pressing/extraction of the oil</w:t>
      </w:r>
      <w:r w:rsidR="007D52F5" w:rsidRPr="005A7FF0">
        <w:rPr>
          <w:sz w:val="24"/>
          <w:szCs w:val="24"/>
        </w:rPr>
        <w:t>s</w:t>
      </w:r>
      <w:r w:rsidR="00596559" w:rsidRPr="005A7FF0">
        <w:rPr>
          <w:sz w:val="24"/>
          <w:szCs w:val="24"/>
        </w:rPr>
        <w:t xml:space="preserve">, </w:t>
      </w:r>
      <w:r w:rsidR="007D52F5" w:rsidRPr="005A7FF0">
        <w:rPr>
          <w:sz w:val="24"/>
          <w:szCs w:val="24"/>
        </w:rPr>
        <w:t>their</w:t>
      </w:r>
      <w:r w:rsidR="00596559" w:rsidRPr="005A7FF0">
        <w:rPr>
          <w:sz w:val="24"/>
          <w:szCs w:val="24"/>
        </w:rPr>
        <w:t xml:space="preserve"> refinement, and disposal of waste</w:t>
      </w:r>
      <w:r w:rsidR="007D52F5" w:rsidRPr="005A7FF0">
        <w:rPr>
          <w:sz w:val="24"/>
          <w:szCs w:val="24"/>
        </w:rPr>
        <w:t xml:space="preserve"> </w:t>
      </w:r>
      <w:r w:rsidR="00596559" w:rsidRPr="005A7FF0">
        <w:rPr>
          <w:sz w:val="24"/>
          <w:szCs w:val="24"/>
        </w:rPr>
        <w:t>were not included in the analysis. Most environmental impacts take place during the production phase</w:t>
      </w:r>
      <w:r w:rsidR="007D52F5" w:rsidRPr="005A7FF0">
        <w:rPr>
          <w:sz w:val="24"/>
          <w:szCs w:val="24"/>
        </w:rPr>
        <w:t xml:space="preserve"> for both oils</w:t>
      </w:r>
      <w:r w:rsidR="00596559" w:rsidRPr="005A7FF0">
        <w:rPr>
          <w:sz w:val="24"/>
          <w:szCs w:val="24"/>
        </w:rPr>
        <w:t xml:space="preserve">. </w:t>
      </w:r>
      <w:r w:rsidR="00BD6801" w:rsidRPr="005A7FF0">
        <w:rPr>
          <w:sz w:val="24"/>
          <w:szCs w:val="24"/>
        </w:rPr>
        <w:t>E</w:t>
      </w:r>
      <w:r w:rsidR="00596559" w:rsidRPr="005A7FF0">
        <w:rPr>
          <w:sz w:val="24"/>
          <w:szCs w:val="24"/>
        </w:rPr>
        <w:t xml:space="preserve">nvironmental impacts resulting from </w:t>
      </w:r>
      <w:r w:rsidR="00CA4EA5" w:rsidRPr="005A7FF0">
        <w:rPr>
          <w:sz w:val="24"/>
          <w:szCs w:val="24"/>
        </w:rPr>
        <w:t xml:space="preserve">the </w:t>
      </w:r>
      <w:r w:rsidR="00596559" w:rsidRPr="005A7FF0">
        <w:rPr>
          <w:sz w:val="24"/>
          <w:szCs w:val="24"/>
        </w:rPr>
        <w:t xml:space="preserve">LCA were monetized. Two regions were selected for </w:t>
      </w:r>
      <w:r w:rsidR="006E280B" w:rsidRPr="005A7FF0">
        <w:rPr>
          <w:sz w:val="24"/>
          <w:szCs w:val="24"/>
        </w:rPr>
        <w:t xml:space="preserve">the analysis of </w:t>
      </w:r>
      <w:r w:rsidR="00596559" w:rsidRPr="005A7FF0">
        <w:rPr>
          <w:sz w:val="24"/>
          <w:szCs w:val="24"/>
        </w:rPr>
        <w:t>each oil: (1) the province of Saskatchewan in Canada for rapeseed production, and (2) the provinces of Sabah and Sarawak in Malaysia for palm production. For palm oil, two production systems were examined: (1) production under deforestation, and (2) under no deforestation.</w:t>
      </w:r>
      <w:r w:rsidR="007D52F5" w:rsidRPr="005A7FF0">
        <w:rPr>
          <w:sz w:val="24"/>
          <w:szCs w:val="24"/>
        </w:rPr>
        <w:t xml:space="preserve"> Results show tha</w:t>
      </w:r>
      <w:r w:rsidR="00BD6801" w:rsidRPr="005A7FF0">
        <w:rPr>
          <w:sz w:val="24"/>
          <w:szCs w:val="24"/>
        </w:rPr>
        <w:t>t</w:t>
      </w:r>
      <w:r w:rsidR="007D52F5" w:rsidRPr="005A7FF0">
        <w:rPr>
          <w:sz w:val="24"/>
          <w:szCs w:val="24"/>
        </w:rPr>
        <w:t xml:space="preserve"> external environmental costs of producing rapeseed oil and palm oil at farm gate are substantial compared to their market price. Rapeseed oil has the highest cost</w:t>
      </w:r>
      <w:r w:rsidR="008755C3" w:rsidRPr="005A7FF0">
        <w:rPr>
          <w:sz w:val="24"/>
          <w:szCs w:val="24"/>
        </w:rPr>
        <w:t xml:space="preserve"> ($2.62 vs. $0.80/kg)</w:t>
      </w:r>
      <w:r w:rsidR="007D52F5" w:rsidRPr="005A7FF0">
        <w:rPr>
          <w:sz w:val="24"/>
          <w:szCs w:val="24"/>
        </w:rPr>
        <w:t>, followed by palm oil produced under deforestation</w:t>
      </w:r>
      <w:r w:rsidR="008755C3" w:rsidRPr="005A7FF0">
        <w:rPr>
          <w:sz w:val="24"/>
          <w:szCs w:val="24"/>
        </w:rPr>
        <w:t xml:space="preserve"> ($2.27 vs. 0.68/kg)</w:t>
      </w:r>
      <w:r w:rsidR="007D52F5" w:rsidRPr="005A7FF0">
        <w:rPr>
          <w:sz w:val="24"/>
          <w:szCs w:val="24"/>
        </w:rPr>
        <w:t>,</w:t>
      </w:r>
      <w:r w:rsidR="00C51328" w:rsidRPr="005A7FF0">
        <w:rPr>
          <w:sz w:val="24"/>
          <w:szCs w:val="24"/>
        </w:rPr>
        <w:t xml:space="preserve"> with</w:t>
      </w:r>
      <w:r w:rsidR="007D52F5" w:rsidRPr="005A7FF0">
        <w:rPr>
          <w:sz w:val="24"/>
          <w:szCs w:val="24"/>
        </w:rPr>
        <w:t xml:space="preserve"> </w:t>
      </w:r>
      <w:r w:rsidR="00BD6801" w:rsidRPr="005A7FF0">
        <w:rPr>
          <w:sz w:val="24"/>
          <w:szCs w:val="24"/>
        </w:rPr>
        <w:t xml:space="preserve">palm oil produced under no deforestation </w:t>
      </w:r>
      <w:r w:rsidR="00C51328" w:rsidRPr="005A7FF0">
        <w:rPr>
          <w:sz w:val="24"/>
          <w:szCs w:val="24"/>
        </w:rPr>
        <w:t xml:space="preserve">having </w:t>
      </w:r>
      <w:r w:rsidR="007D52F5" w:rsidRPr="005A7FF0">
        <w:rPr>
          <w:sz w:val="24"/>
          <w:szCs w:val="24"/>
        </w:rPr>
        <w:t xml:space="preserve">the lowest cost by a substantial margin is </w:t>
      </w:r>
      <w:r w:rsidR="008755C3" w:rsidRPr="005A7FF0">
        <w:rPr>
          <w:sz w:val="24"/>
          <w:szCs w:val="24"/>
        </w:rPr>
        <w:t>($0.55 vs. 0.68/kg)</w:t>
      </w:r>
      <w:r w:rsidR="007D52F5" w:rsidRPr="005A7FF0">
        <w:rPr>
          <w:sz w:val="24"/>
          <w:szCs w:val="24"/>
        </w:rPr>
        <w:t xml:space="preserve">. </w:t>
      </w:r>
      <w:r w:rsidR="008755C3" w:rsidRPr="005A7FF0">
        <w:rPr>
          <w:sz w:val="24"/>
          <w:szCs w:val="24"/>
        </w:rPr>
        <w:t xml:space="preserve">External costs from land use change and biodiversity loss were calculated separately, but follow the same pattern, </w:t>
      </w:r>
      <w:r w:rsidR="00DB2E93" w:rsidRPr="005A7FF0">
        <w:rPr>
          <w:sz w:val="24"/>
          <w:szCs w:val="24"/>
        </w:rPr>
        <w:t xml:space="preserve">rapeseed oil </w:t>
      </w:r>
      <w:r w:rsidR="00CA4EA5" w:rsidRPr="005A7FF0">
        <w:rPr>
          <w:sz w:val="24"/>
          <w:szCs w:val="24"/>
        </w:rPr>
        <w:t>with th</w:t>
      </w:r>
      <w:r w:rsidR="00DB2E93" w:rsidRPr="005A7FF0">
        <w:rPr>
          <w:sz w:val="24"/>
          <w:szCs w:val="24"/>
        </w:rPr>
        <w:t>e highest cost ($2.34/kg), followed by palm oil produced under deforestation ($0.82/kg), and</w:t>
      </w:r>
      <w:r w:rsidR="00C51328" w:rsidRPr="005A7FF0">
        <w:rPr>
          <w:sz w:val="24"/>
          <w:szCs w:val="24"/>
        </w:rPr>
        <w:t>, lastly</w:t>
      </w:r>
      <w:r w:rsidR="00DB2E93" w:rsidRPr="005A7FF0">
        <w:rPr>
          <w:sz w:val="24"/>
          <w:szCs w:val="24"/>
        </w:rPr>
        <w:t xml:space="preserve"> under no deforestation ($0.34/kg).</w:t>
      </w:r>
      <w:r w:rsidR="00AD3AE1" w:rsidRPr="005A7FF0">
        <w:rPr>
          <w:sz w:val="24"/>
          <w:szCs w:val="24"/>
        </w:rPr>
        <w:t xml:space="preserve"> </w:t>
      </w:r>
      <w:r w:rsidR="00C51328" w:rsidRPr="005A7FF0">
        <w:rPr>
          <w:sz w:val="24"/>
          <w:szCs w:val="24"/>
        </w:rPr>
        <w:t xml:space="preserve">Aside from production costs, there are significant differences in their nutritional profiles. </w:t>
      </w:r>
      <w:r w:rsidR="00CE475C" w:rsidRPr="005A7FF0">
        <w:rPr>
          <w:sz w:val="24"/>
          <w:szCs w:val="24"/>
        </w:rPr>
        <w:t xml:space="preserve">Palm oil has a substantially higher content of saturated fatty acids, while rapeseed oil has </w:t>
      </w:r>
      <w:r w:rsidR="004D2705" w:rsidRPr="005A7FF0">
        <w:rPr>
          <w:sz w:val="24"/>
          <w:szCs w:val="24"/>
        </w:rPr>
        <w:t xml:space="preserve">higher levels of Vitamin K, </w:t>
      </w:r>
      <w:r w:rsidR="00CE475C" w:rsidRPr="005A7FF0">
        <w:rPr>
          <w:sz w:val="24"/>
          <w:szCs w:val="24"/>
        </w:rPr>
        <w:t>a high level of unsaturated fatty acids</w:t>
      </w:r>
      <w:r w:rsidR="005326A7">
        <w:rPr>
          <w:sz w:val="24"/>
          <w:szCs w:val="24"/>
        </w:rPr>
        <w:t>,</w:t>
      </w:r>
      <w:r w:rsidR="00CE475C" w:rsidRPr="005A7FF0">
        <w:rPr>
          <w:sz w:val="24"/>
          <w:szCs w:val="24"/>
        </w:rPr>
        <w:t xml:space="preserve"> and high quantities of phytosterols</w:t>
      </w:r>
      <w:r w:rsidR="004D2705" w:rsidRPr="005A7FF0">
        <w:rPr>
          <w:sz w:val="24"/>
          <w:szCs w:val="24"/>
        </w:rPr>
        <w:t xml:space="preserve">. </w:t>
      </w:r>
      <w:r w:rsidR="00CA4EA5" w:rsidRPr="005A7FF0">
        <w:rPr>
          <w:sz w:val="24"/>
          <w:szCs w:val="24"/>
        </w:rPr>
        <w:t>Given the</w:t>
      </w:r>
      <w:r w:rsidR="004D2705" w:rsidRPr="005A7FF0">
        <w:rPr>
          <w:sz w:val="24"/>
          <w:szCs w:val="24"/>
        </w:rPr>
        <w:t xml:space="preserve"> amounts and types of fatty acid content, rapeseed oil can be considered superior to palm oil. </w:t>
      </w:r>
      <w:r w:rsidR="007D52F5" w:rsidRPr="005A7FF0">
        <w:rPr>
          <w:sz w:val="24"/>
          <w:szCs w:val="24"/>
        </w:rPr>
        <w:t xml:space="preserve">Regardless of production circumstances, and even though palm oil produced without deforestation generates the smallest environmental </w:t>
      </w:r>
      <w:r w:rsidR="00DB2E93" w:rsidRPr="005A7FF0">
        <w:rPr>
          <w:sz w:val="24"/>
          <w:szCs w:val="24"/>
        </w:rPr>
        <w:t xml:space="preserve">and biodiversity loss </w:t>
      </w:r>
      <w:r w:rsidR="007D52F5" w:rsidRPr="005A7FF0">
        <w:rPr>
          <w:sz w:val="24"/>
          <w:szCs w:val="24"/>
        </w:rPr>
        <w:t>cost</w:t>
      </w:r>
      <w:r w:rsidR="00DB2E93" w:rsidRPr="005A7FF0">
        <w:rPr>
          <w:sz w:val="24"/>
          <w:szCs w:val="24"/>
        </w:rPr>
        <w:t>s</w:t>
      </w:r>
      <w:r w:rsidR="007D52F5" w:rsidRPr="005A7FF0">
        <w:rPr>
          <w:sz w:val="24"/>
          <w:szCs w:val="24"/>
        </w:rPr>
        <w:t xml:space="preserve">, the nutritional profile of this oil is inferior to that of rapeseed oil. The choice of rapeseed versus palm oil depends on how the environmental external costs are weighted against the nutritional properties of both oils. </w:t>
      </w:r>
      <w:r w:rsidR="00081ED1">
        <w:rPr>
          <w:sz w:val="24"/>
          <w:szCs w:val="24"/>
        </w:rPr>
        <w:t xml:space="preserve">For </w:t>
      </w:r>
      <w:r w:rsidR="007D52F5" w:rsidRPr="005A7FF0">
        <w:rPr>
          <w:sz w:val="24"/>
          <w:szCs w:val="24"/>
        </w:rPr>
        <w:t>palm oil, sourcing it from plantations established without deforestation is crucial to minimize its external costs.</w:t>
      </w:r>
      <w:r w:rsidR="001E57E1">
        <w:rPr>
          <w:sz w:val="24"/>
          <w:szCs w:val="24"/>
        </w:rPr>
        <w:t xml:space="preserve"> Our conclusions were based on a partial assessment of elements of natural capital and a complete application of True Cost Accounting would provide fuller information. </w:t>
      </w:r>
    </w:p>
    <w:p w14:paraId="4811F00A" w14:textId="5D0D4AA6" w:rsidR="00C84A71" w:rsidRPr="005A7FF0" w:rsidRDefault="00C84A71" w:rsidP="003632A1">
      <w:pPr>
        <w:spacing w:before="120" w:after="0" w:line="360" w:lineRule="auto"/>
        <w:rPr>
          <w:sz w:val="32"/>
          <w:szCs w:val="32"/>
        </w:rPr>
      </w:pPr>
      <w:r w:rsidRPr="005A7FF0">
        <w:rPr>
          <w:sz w:val="32"/>
          <w:szCs w:val="32"/>
        </w:rPr>
        <w:lastRenderedPageBreak/>
        <w:t>1. Introduction</w:t>
      </w:r>
    </w:p>
    <w:p w14:paraId="732FEB61" w14:textId="6756D4CF" w:rsidR="00C84A71" w:rsidRPr="005A7FF0" w:rsidRDefault="0049499E" w:rsidP="003632A1">
      <w:pPr>
        <w:spacing w:before="120" w:after="0" w:line="360" w:lineRule="auto"/>
        <w:rPr>
          <w:sz w:val="24"/>
          <w:szCs w:val="24"/>
        </w:rPr>
      </w:pPr>
      <w:r w:rsidRPr="005A7FF0">
        <w:rPr>
          <w:sz w:val="24"/>
          <w:szCs w:val="24"/>
        </w:rPr>
        <w:t xml:space="preserve">Edible Plant Oils (EPO) consists of a wide variety of plant-derived oils, with sources ranging from olive, sesame, rice bran, coconut, palm, and corn, just to name a few. Global demand for EPO’s from all sources continues to rise to meet both consumer demands for cooking oils and manufacturing demands for raw ingredients (Zhou et al., 2020). Plant-based milk alternatives and meat alternatives have also contributed to this rising demand, as manufacturers use EPOs like palm oil to replicate the smoothness and creamy texture of animal fats, while also enhancing the taste of the product (Ahmad et al., 2022; Good Food Institute, 2022). Along with rising demand, there has also been an increase of concerns from consumers, scientists, and dieticians around human health impacts and the overall environmental sustainability associated with different EPOs and their production processes (Liao, 2022; </w:t>
      </w:r>
      <w:proofErr w:type="spellStart"/>
      <w:r w:rsidRPr="005A7FF0">
        <w:rPr>
          <w:sz w:val="24"/>
          <w:szCs w:val="24"/>
        </w:rPr>
        <w:t>MacWilliam</w:t>
      </w:r>
      <w:proofErr w:type="spellEnd"/>
      <w:r w:rsidRPr="005A7FF0">
        <w:rPr>
          <w:sz w:val="24"/>
          <w:szCs w:val="24"/>
        </w:rPr>
        <w:t xml:space="preserve"> et al., 2016; </w:t>
      </w:r>
      <w:r w:rsidR="0072368B" w:rsidRPr="005A7FF0">
        <w:rPr>
          <w:sz w:val="24"/>
          <w:szCs w:val="24"/>
        </w:rPr>
        <w:t xml:space="preserve">Parsons et al., 2020, </w:t>
      </w:r>
      <w:r w:rsidRPr="005A7FF0">
        <w:rPr>
          <w:sz w:val="24"/>
          <w:szCs w:val="24"/>
        </w:rPr>
        <w:t xml:space="preserve">Zhou et al., 2020). </w:t>
      </w:r>
      <w:r w:rsidR="00664D7C" w:rsidRPr="005A7FF0">
        <w:rPr>
          <w:sz w:val="24"/>
          <w:szCs w:val="24"/>
        </w:rPr>
        <w:t>African p</w:t>
      </w:r>
      <w:r w:rsidRPr="005A7FF0">
        <w:rPr>
          <w:sz w:val="24"/>
          <w:szCs w:val="24"/>
        </w:rPr>
        <w:t>alm, canola, and soybean oil are the top three leaders in global seed oil production and as such have received the most scrutiny (Fine et al., 2015; Zhou et al., 2020).</w:t>
      </w:r>
    </w:p>
    <w:p w14:paraId="6B0EA75B" w14:textId="579B90F8" w:rsidR="00313D2A" w:rsidRPr="005A7FF0" w:rsidRDefault="00A42849" w:rsidP="003632A1">
      <w:pPr>
        <w:spacing w:before="120" w:after="0" w:line="360" w:lineRule="auto"/>
        <w:rPr>
          <w:sz w:val="24"/>
          <w:szCs w:val="24"/>
        </w:rPr>
      </w:pPr>
      <w:r w:rsidRPr="005A7FF0">
        <w:rPr>
          <w:sz w:val="24"/>
          <w:szCs w:val="24"/>
        </w:rPr>
        <w:t xml:space="preserve">This report is a partnership between the </w:t>
      </w:r>
      <w:proofErr w:type="spellStart"/>
      <w:r w:rsidRPr="005A7FF0">
        <w:rPr>
          <w:sz w:val="24"/>
          <w:szCs w:val="24"/>
        </w:rPr>
        <w:t>Swette</w:t>
      </w:r>
      <w:proofErr w:type="spellEnd"/>
      <w:r w:rsidRPr="005A7FF0">
        <w:rPr>
          <w:sz w:val="24"/>
          <w:szCs w:val="24"/>
        </w:rPr>
        <w:t xml:space="preserve"> Center for Sustainable Food Systems and the KAITEKI Institute</w:t>
      </w:r>
      <w:r w:rsidR="00313D2A" w:rsidRPr="005A7FF0">
        <w:rPr>
          <w:sz w:val="24"/>
          <w:szCs w:val="24"/>
        </w:rPr>
        <w:t xml:space="preserve"> (TKI)</w:t>
      </w:r>
      <w:r w:rsidRPr="005A7FF0">
        <w:rPr>
          <w:sz w:val="24"/>
          <w:szCs w:val="24"/>
        </w:rPr>
        <w:t xml:space="preserve"> </w:t>
      </w:r>
      <w:r w:rsidR="00313D2A" w:rsidRPr="005A7FF0">
        <w:rPr>
          <w:sz w:val="24"/>
          <w:szCs w:val="24"/>
        </w:rPr>
        <w:t>to explore the application of True Cost Accounting (TCA) of food systems to real world situations in order to inform business decision making.</w:t>
      </w:r>
      <w:r w:rsidR="002E2452" w:rsidRPr="005A7FF0">
        <w:rPr>
          <w:sz w:val="24"/>
          <w:szCs w:val="24"/>
        </w:rPr>
        <w:t xml:space="preserve"> TCA is an emerging economic assessment that looks beyond traditional financial </w:t>
      </w:r>
      <w:r w:rsidR="00CF3E5D" w:rsidRPr="005A7FF0">
        <w:rPr>
          <w:sz w:val="24"/>
          <w:szCs w:val="24"/>
        </w:rPr>
        <w:t>metrics</w:t>
      </w:r>
      <w:r w:rsidR="002E2452" w:rsidRPr="005A7FF0">
        <w:rPr>
          <w:sz w:val="24"/>
          <w:szCs w:val="24"/>
        </w:rPr>
        <w:t xml:space="preserve"> and aims to integrate the broader human, social, and ecological impacts of our food systems activities on four types of capital: natural, produced, social and human (Baker et al., 202</w:t>
      </w:r>
      <w:r w:rsidR="00AD2D70">
        <w:rPr>
          <w:sz w:val="24"/>
          <w:szCs w:val="24"/>
        </w:rPr>
        <w:t>1</w:t>
      </w:r>
      <w:r w:rsidR="002E2452" w:rsidRPr="005A7FF0">
        <w:rPr>
          <w:sz w:val="24"/>
          <w:szCs w:val="24"/>
        </w:rPr>
        <w:t xml:space="preserve">). </w:t>
      </w:r>
      <w:r w:rsidR="00313D2A" w:rsidRPr="005A7FF0">
        <w:rPr>
          <w:sz w:val="24"/>
          <w:szCs w:val="24"/>
        </w:rPr>
        <w:t xml:space="preserve">Given the interest of TKI on edible oils, it was </w:t>
      </w:r>
      <w:r w:rsidR="00201AAF" w:rsidRPr="005A7FF0">
        <w:rPr>
          <w:sz w:val="24"/>
          <w:szCs w:val="24"/>
        </w:rPr>
        <w:t xml:space="preserve">agreed to </w:t>
      </w:r>
      <w:r w:rsidR="00313D2A" w:rsidRPr="005A7FF0">
        <w:rPr>
          <w:sz w:val="24"/>
          <w:szCs w:val="24"/>
        </w:rPr>
        <w:t xml:space="preserve">focus on </w:t>
      </w:r>
      <w:r w:rsidR="00201AAF" w:rsidRPr="005A7FF0">
        <w:rPr>
          <w:sz w:val="24"/>
          <w:szCs w:val="24"/>
        </w:rPr>
        <w:t>selected edible oils.</w:t>
      </w:r>
      <w:r w:rsidR="00E935E6" w:rsidRPr="005A7FF0">
        <w:rPr>
          <w:sz w:val="24"/>
          <w:szCs w:val="24"/>
        </w:rPr>
        <w:t xml:space="preserve"> Due to</w:t>
      </w:r>
      <w:r w:rsidR="00201AAF" w:rsidRPr="005A7FF0">
        <w:rPr>
          <w:sz w:val="24"/>
          <w:szCs w:val="24"/>
        </w:rPr>
        <w:t xml:space="preserve"> </w:t>
      </w:r>
      <w:r w:rsidR="004E6EF2">
        <w:rPr>
          <w:sz w:val="24"/>
          <w:szCs w:val="24"/>
        </w:rPr>
        <w:t>short-term business needs</w:t>
      </w:r>
      <w:r w:rsidR="00201AAF" w:rsidRPr="005A7FF0">
        <w:rPr>
          <w:sz w:val="24"/>
          <w:szCs w:val="24"/>
        </w:rPr>
        <w:t xml:space="preserve">, it was decided that a full fledge TCA was not feasible in the </w:t>
      </w:r>
      <w:r w:rsidR="004E6EF2">
        <w:rPr>
          <w:sz w:val="24"/>
          <w:szCs w:val="24"/>
        </w:rPr>
        <w:t xml:space="preserve">time available, </w:t>
      </w:r>
      <w:r w:rsidR="00201AAF" w:rsidRPr="005A7FF0">
        <w:rPr>
          <w:sz w:val="24"/>
          <w:szCs w:val="24"/>
        </w:rPr>
        <w:t>therefore the</w:t>
      </w:r>
      <w:r w:rsidR="002E2452" w:rsidRPr="005A7FF0">
        <w:rPr>
          <w:sz w:val="24"/>
          <w:szCs w:val="24"/>
        </w:rPr>
        <w:t>re</w:t>
      </w:r>
      <w:r w:rsidR="00201AAF" w:rsidRPr="005A7FF0">
        <w:rPr>
          <w:sz w:val="24"/>
          <w:szCs w:val="24"/>
        </w:rPr>
        <w:t xml:space="preserve"> was an agreement to focus on a comparative assessment of the </w:t>
      </w:r>
      <w:r w:rsidR="00A62739" w:rsidRPr="005A7FF0">
        <w:rPr>
          <w:sz w:val="24"/>
          <w:szCs w:val="24"/>
        </w:rPr>
        <w:t xml:space="preserve">negative </w:t>
      </w:r>
      <w:r w:rsidR="00201AAF" w:rsidRPr="005A7FF0">
        <w:rPr>
          <w:sz w:val="24"/>
          <w:szCs w:val="24"/>
        </w:rPr>
        <w:t xml:space="preserve">environmental </w:t>
      </w:r>
      <w:r w:rsidR="00A62739" w:rsidRPr="005A7FF0">
        <w:rPr>
          <w:sz w:val="24"/>
          <w:szCs w:val="24"/>
        </w:rPr>
        <w:t xml:space="preserve">impacts and associated </w:t>
      </w:r>
      <w:r w:rsidR="00E935E6" w:rsidRPr="005A7FF0">
        <w:rPr>
          <w:sz w:val="24"/>
          <w:szCs w:val="24"/>
        </w:rPr>
        <w:t xml:space="preserve">external </w:t>
      </w:r>
      <w:r w:rsidR="00201AAF" w:rsidRPr="005A7FF0">
        <w:rPr>
          <w:sz w:val="24"/>
          <w:szCs w:val="24"/>
        </w:rPr>
        <w:t>costs</w:t>
      </w:r>
      <w:r w:rsidR="00E935E6" w:rsidRPr="005A7FF0">
        <w:rPr>
          <w:rStyle w:val="FootnoteReference"/>
          <w:sz w:val="24"/>
          <w:szCs w:val="24"/>
        </w:rPr>
        <w:footnoteReference w:id="2"/>
      </w:r>
      <w:r w:rsidR="00201AAF" w:rsidRPr="005A7FF0">
        <w:rPr>
          <w:sz w:val="24"/>
          <w:szCs w:val="24"/>
        </w:rPr>
        <w:t xml:space="preserve"> generated by rapeseed oil and </w:t>
      </w:r>
      <w:r w:rsidR="0073041E" w:rsidRPr="005A7FF0">
        <w:rPr>
          <w:sz w:val="24"/>
          <w:szCs w:val="24"/>
        </w:rPr>
        <w:t xml:space="preserve">African </w:t>
      </w:r>
      <w:r w:rsidR="00201AAF" w:rsidRPr="005A7FF0">
        <w:rPr>
          <w:sz w:val="24"/>
          <w:szCs w:val="24"/>
        </w:rPr>
        <w:t>palm oil</w:t>
      </w:r>
      <w:r w:rsidR="00E67753">
        <w:rPr>
          <w:sz w:val="24"/>
          <w:szCs w:val="24"/>
        </w:rPr>
        <w:t xml:space="preserve">, </w:t>
      </w:r>
      <w:r w:rsidR="00E67753" w:rsidRPr="005A7FF0">
        <w:rPr>
          <w:sz w:val="24"/>
          <w:szCs w:val="24"/>
        </w:rPr>
        <w:t>as well as a comparison of key nutrients available in these oils relevant to human health</w:t>
      </w:r>
      <w:r w:rsidR="00201AAF" w:rsidRPr="005A7FF0">
        <w:rPr>
          <w:sz w:val="24"/>
          <w:szCs w:val="24"/>
        </w:rPr>
        <w:t xml:space="preserve">. </w:t>
      </w:r>
      <w:r w:rsidR="00E67753">
        <w:rPr>
          <w:sz w:val="24"/>
          <w:szCs w:val="24"/>
        </w:rPr>
        <w:t>E</w:t>
      </w:r>
      <w:r w:rsidR="00A249A1" w:rsidRPr="005A7FF0">
        <w:rPr>
          <w:sz w:val="24"/>
          <w:szCs w:val="24"/>
        </w:rPr>
        <w:t xml:space="preserve">nvironmental costs are an important component of natural capital in the TCA approach. The other three </w:t>
      </w:r>
      <w:r w:rsidR="00A249A1" w:rsidRPr="005A7FF0">
        <w:rPr>
          <w:sz w:val="24"/>
          <w:szCs w:val="24"/>
        </w:rPr>
        <w:lastRenderedPageBreak/>
        <w:t xml:space="preserve">capitals were not addressed in this study. </w:t>
      </w:r>
      <w:r w:rsidR="007909C7" w:rsidRPr="005A7FF0">
        <w:rPr>
          <w:sz w:val="24"/>
          <w:szCs w:val="24"/>
        </w:rPr>
        <w:t>To assess the environmental impacts of the production of these oils a Life Cycle Assessment (LCA) was carried out</w:t>
      </w:r>
      <w:r w:rsidR="009A3A32" w:rsidRPr="005A7FF0">
        <w:rPr>
          <w:sz w:val="24"/>
          <w:szCs w:val="24"/>
        </w:rPr>
        <w:t xml:space="preserve">. A LCA is a framework that is used to understand the full impacts of the production of a good or service by breaking down material flows into smaller systems where it is easier to quantify environmental impacts (Ling-Chin et al., 2016). The LCA </w:t>
      </w:r>
      <w:r w:rsidR="007909C7" w:rsidRPr="005A7FF0">
        <w:rPr>
          <w:sz w:val="24"/>
          <w:szCs w:val="24"/>
        </w:rPr>
        <w:t>focus</w:t>
      </w:r>
      <w:r w:rsidR="009A3A32" w:rsidRPr="005A7FF0">
        <w:rPr>
          <w:sz w:val="24"/>
          <w:szCs w:val="24"/>
        </w:rPr>
        <w:t>ed</w:t>
      </w:r>
      <w:r w:rsidR="007909C7" w:rsidRPr="005A7FF0">
        <w:rPr>
          <w:sz w:val="24"/>
          <w:szCs w:val="24"/>
        </w:rPr>
        <w:t xml:space="preserve"> on the farm production of rapeseed grain and fresh fruit bunches (FFB)</w:t>
      </w:r>
      <w:r w:rsidR="00E2418E" w:rsidRPr="005A7FF0">
        <w:rPr>
          <w:rStyle w:val="FootnoteReference"/>
          <w:sz w:val="24"/>
          <w:szCs w:val="24"/>
        </w:rPr>
        <w:footnoteReference w:id="3"/>
      </w:r>
      <w:r w:rsidR="007909C7" w:rsidRPr="005A7FF0">
        <w:rPr>
          <w:sz w:val="24"/>
          <w:szCs w:val="24"/>
        </w:rPr>
        <w:t xml:space="preserve"> from African palm, from planting to harvesting. Pressing/extraction of the oil, its refinement, and disposal of waste generated were not included in the analysis. Most environmental impacts take place during the production phase (</w:t>
      </w:r>
      <w:proofErr w:type="spellStart"/>
      <w:r w:rsidR="007909C7" w:rsidRPr="005A7FF0">
        <w:rPr>
          <w:sz w:val="24"/>
          <w:szCs w:val="24"/>
        </w:rPr>
        <w:t>MacWilliams</w:t>
      </w:r>
      <w:proofErr w:type="spellEnd"/>
      <w:r w:rsidR="007909C7" w:rsidRPr="005A7FF0">
        <w:rPr>
          <w:sz w:val="24"/>
          <w:szCs w:val="24"/>
        </w:rPr>
        <w:t xml:space="preserve"> et al., 2016; Reynaud et al., 2016; Schmidt, 2007). The environmental impacts resulting from LCA were then monetized with monetization factors taken from the document </w:t>
      </w:r>
      <w:proofErr w:type="spellStart"/>
      <w:r w:rsidR="007909C7" w:rsidRPr="005A7FF0">
        <w:rPr>
          <w:i/>
          <w:iCs/>
          <w:color w:val="252525"/>
          <w:sz w:val="24"/>
          <w:szCs w:val="24"/>
        </w:rPr>
        <w:t>Monetisation</w:t>
      </w:r>
      <w:proofErr w:type="spellEnd"/>
      <w:r w:rsidR="007909C7" w:rsidRPr="005A7FF0">
        <w:rPr>
          <w:i/>
          <w:iCs/>
          <w:color w:val="252525"/>
          <w:sz w:val="24"/>
          <w:szCs w:val="24"/>
        </w:rPr>
        <w:t xml:space="preserve"> Factors for True Pricing Version 2.0.3 </w:t>
      </w:r>
      <w:r w:rsidR="007909C7" w:rsidRPr="005A7FF0">
        <w:rPr>
          <w:color w:val="252525"/>
          <w:sz w:val="24"/>
          <w:szCs w:val="24"/>
        </w:rPr>
        <w:t>(True Price, 2021).</w:t>
      </w:r>
      <w:r w:rsidR="000F321B" w:rsidRPr="005A7FF0">
        <w:rPr>
          <w:color w:val="252525"/>
          <w:sz w:val="24"/>
          <w:szCs w:val="24"/>
        </w:rPr>
        <w:t xml:space="preserve"> </w:t>
      </w:r>
      <w:r w:rsidR="00A62739" w:rsidRPr="005A7FF0">
        <w:rPr>
          <w:color w:val="252525"/>
          <w:sz w:val="24"/>
          <w:szCs w:val="24"/>
        </w:rPr>
        <w:t>C</w:t>
      </w:r>
      <w:r w:rsidR="00A62739" w:rsidRPr="005A7FF0">
        <w:rPr>
          <w:sz w:val="24"/>
          <w:szCs w:val="24"/>
        </w:rPr>
        <w:t>omparisons are</w:t>
      </w:r>
      <w:r w:rsidR="0073041E" w:rsidRPr="005A7FF0">
        <w:rPr>
          <w:sz w:val="24"/>
          <w:szCs w:val="24"/>
        </w:rPr>
        <w:t xml:space="preserve"> done based on the amount of rapeseed grain and FFB of palm necessary to produce</w:t>
      </w:r>
      <w:r w:rsidR="00596559" w:rsidRPr="005A7FF0">
        <w:rPr>
          <w:sz w:val="24"/>
          <w:szCs w:val="24"/>
        </w:rPr>
        <w:t xml:space="preserve"> one kg of canola crude oil and of palm crude oil </w:t>
      </w:r>
      <w:r w:rsidR="0073041E" w:rsidRPr="005A7FF0">
        <w:rPr>
          <w:sz w:val="24"/>
          <w:szCs w:val="24"/>
        </w:rPr>
        <w:t xml:space="preserve">(details explained in the </w:t>
      </w:r>
      <w:r w:rsidR="00CF3E5D" w:rsidRPr="005A7FF0">
        <w:rPr>
          <w:sz w:val="24"/>
          <w:szCs w:val="24"/>
        </w:rPr>
        <w:t>Methods</w:t>
      </w:r>
      <w:r w:rsidR="0073041E" w:rsidRPr="005A7FF0">
        <w:rPr>
          <w:sz w:val="24"/>
          <w:szCs w:val="24"/>
        </w:rPr>
        <w:t xml:space="preserve"> section). </w:t>
      </w:r>
      <w:r w:rsidR="002E2452" w:rsidRPr="005A7FF0">
        <w:rPr>
          <w:sz w:val="24"/>
          <w:szCs w:val="24"/>
        </w:rPr>
        <w:t>To contextualize the study, two regions were selected for each oil: (1) the province of Saskatchewan in Canada for rapeseed production, and (2) the provinces of Sabah and Sarawak</w:t>
      </w:r>
      <w:r w:rsidR="00CF3E5D" w:rsidRPr="005A7FF0">
        <w:rPr>
          <w:sz w:val="24"/>
          <w:szCs w:val="24"/>
        </w:rPr>
        <w:t xml:space="preserve"> in Malaysia</w:t>
      </w:r>
      <w:r w:rsidR="002E2452" w:rsidRPr="005A7FF0">
        <w:rPr>
          <w:sz w:val="24"/>
          <w:szCs w:val="24"/>
        </w:rPr>
        <w:t xml:space="preserve"> for</w:t>
      </w:r>
      <w:r w:rsidR="0073041E" w:rsidRPr="005A7FF0">
        <w:rPr>
          <w:sz w:val="24"/>
          <w:szCs w:val="24"/>
        </w:rPr>
        <w:t xml:space="preserve"> </w:t>
      </w:r>
      <w:r w:rsidR="002E2452" w:rsidRPr="005A7FF0">
        <w:rPr>
          <w:sz w:val="24"/>
          <w:szCs w:val="24"/>
        </w:rPr>
        <w:t>palm</w:t>
      </w:r>
      <w:r w:rsidR="0073041E" w:rsidRPr="005A7FF0">
        <w:rPr>
          <w:sz w:val="24"/>
          <w:szCs w:val="24"/>
        </w:rPr>
        <w:t xml:space="preserve"> production. These provinces</w:t>
      </w:r>
      <w:r w:rsidR="00A249A1" w:rsidRPr="005A7FF0">
        <w:rPr>
          <w:sz w:val="24"/>
          <w:szCs w:val="24"/>
        </w:rPr>
        <w:t xml:space="preserve"> are</w:t>
      </w:r>
      <w:r w:rsidR="0073041E" w:rsidRPr="005A7FF0">
        <w:rPr>
          <w:sz w:val="24"/>
          <w:szCs w:val="24"/>
        </w:rPr>
        <w:t xml:space="preserve"> globally important areas of production of the respective oils.</w:t>
      </w:r>
      <w:r w:rsidR="00A249A1" w:rsidRPr="005A7FF0">
        <w:rPr>
          <w:sz w:val="24"/>
          <w:szCs w:val="24"/>
        </w:rPr>
        <w:t xml:space="preserve"> </w:t>
      </w:r>
      <w:r w:rsidR="00A62739" w:rsidRPr="005A7FF0">
        <w:rPr>
          <w:sz w:val="24"/>
          <w:szCs w:val="24"/>
        </w:rPr>
        <w:t xml:space="preserve">For palm oil, two production systems were examined: </w:t>
      </w:r>
      <w:r w:rsidR="00CF3E5D" w:rsidRPr="005A7FF0">
        <w:rPr>
          <w:sz w:val="24"/>
          <w:szCs w:val="24"/>
        </w:rPr>
        <w:t xml:space="preserve">(1) </w:t>
      </w:r>
      <w:r w:rsidR="00A62739" w:rsidRPr="005A7FF0">
        <w:rPr>
          <w:sz w:val="24"/>
          <w:szCs w:val="24"/>
        </w:rPr>
        <w:t>production under deforestation</w:t>
      </w:r>
      <w:r w:rsidR="00CF3E5D" w:rsidRPr="005A7FF0">
        <w:rPr>
          <w:sz w:val="24"/>
          <w:szCs w:val="24"/>
        </w:rPr>
        <w:t>,</w:t>
      </w:r>
      <w:r w:rsidR="00A62739" w:rsidRPr="005A7FF0">
        <w:rPr>
          <w:sz w:val="24"/>
          <w:szCs w:val="24"/>
        </w:rPr>
        <w:t xml:space="preserve"> and </w:t>
      </w:r>
      <w:r w:rsidR="00CF3E5D" w:rsidRPr="005A7FF0">
        <w:rPr>
          <w:sz w:val="24"/>
          <w:szCs w:val="24"/>
        </w:rPr>
        <w:t xml:space="preserve">(2) </w:t>
      </w:r>
      <w:r w:rsidR="00A62739" w:rsidRPr="005A7FF0">
        <w:rPr>
          <w:sz w:val="24"/>
          <w:szCs w:val="24"/>
        </w:rPr>
        <w:t xml:space="preserve">under no deforestation. </w:t>
      </w:r>
      <w:r w:rsidR="000F321B" w:rsidRPr="005A7FF0">
        <w:rPr>
          <w:sz w:val="24"/>
          <w:szCs w:val="24"/>
        </w:rPr>
        <w:t>Based on the LCA and the monetization of the resulting impacts, external costs in US$ per kg of oil were calculated and compared with market prices.</w:t>
      </w:r>
      <w:r w:rsidR="00CF3E5D" w:rsidRPr="005A7FF0">
        <w:rPr>
          <w:sz w:val="24"/>
          <w:szCs w:val="24"/>
        </w:rPr>
        <w:t xml:space="preserve"> </w:t>
      </w:r>
      <w:r w:rsidR="00C502C6">
        <w:rPr>
          <w:sz w:val="24"/>
          <w:szCs w:val="24"/>
        </w:rPr>
        <w:t>A</w:t>
      </w:r>
      <w:r w:rsidR="00CF3E5D" w:rsidRPr="005A7FF0">
        <w:rPr>
          <w:sz w:val="24"/>
          <w:szCs w:val="24"/>
        </w:rPr>
        <w:t xml:space="preserve"> comparison of key nutrients available in these oils relevant for human health was also carried out</w:t>
      </w:r>
      <w:r w:rsidR="00C502C6">
        <w:rPr>
          <w:sz w:val="24"/>
          <w:szCs w:val="24"/>
        </w:rPr>
        <w:t xml:space="preserve"> as well</w:t>
      </w:r>
      <w:r w:rsidR="00CF3E5D" w:rsidRPr="005A7FF0">
        <w:rPr>
          <w:sz w:val="24"/>
          <w:szCs w:val="24"/>
        </w:rPr>
        <w:t>. The implications of the external costs</w:t>
      </w:r>
      <w:r w:rsidR="00F122BE" w:rsidRPr="005A7FF0">
        <w:rPr>
          <w:sz w:val="24"/>
          <w:szCs w:val="24"/>
        </w:rPr>
        <w:t xml:space="preserve"> of the production of these oils</w:t>
      </w:r>
      <w:r w:rsidR="00CF3E5D" w:rsidRPr="005A7FF0">
        <w:rPr>
          <w:sz w:val="24"/>
          <w:szCs w:val="24"/>
        </w:rPr>
        <w:t xml:space="preserve"> vis-à-vis the</w:t>
      </w:r>
      <w:r w:rsidR="00F122BE" w:rsidRPr="005A7FF0">
        <w:rPr>
          <w:sz w:val="24"/>
          <w:szCs w:val="24"/>
        </w:rPr>
        <w:t>ir</w:t>
      </w:r>
      <w:r w:rsidR="00CF3E5D" w:rsidRPr="005A7FF0">
        <w:rPr>
          <w:sz w:val="24"/>
          <w:szCs w:val="24"/>
        </w:rPr>
        <w:t xml:space="preserve"> nutritional composition are discussed.</w:t>
      </w:r>
    </w:p>
    <w:p w14:paraId="420C4D95" w14:textId="46B51BF1" w:rsidR="007256A3" w:rsidRPr="005A7FF0" w:rsidRDefault="001E7A35" w:rsidP="003632A1">
      <w:pPr>
        <w:spacing w:before="120" w:after="0" w:line="360" w:lineRule="auto"/>
        <w:rPr>
          <w:sz w:val="28"/>
          <w:szCs w:val="28"/>
        </w:rPr>
      </w:pPr>
      <w:r w:rsidRPr="005A7FF0">
        <w:rPr>
          <w:sz w:val="28"/>
          <w:szCs w:val="28"/>
        </w:rPr>
        <w:t xml:space="preserve">1.1 </w:t>
      </w:r>
      <w:r w:rsidR="007256A3" w:rsidRPr="005A7FF0">
        <w:rPr>
          <w:sz w:val="28"/>
          <w:szCs w:val="28"/>
        </w:rPr>
        <w:t>Overview of Rapeseed Oil</w:t>
      </w:r>
    </w:p>
    <w:p w14:paraId="6D091715" w14:textId="24669D44" w:rsidR="007256A3" w:rsidRPr="005A7FF0" w:rsidRDefault="007256A3" w:rsidP="003632A1">
      <w:pPr>
        <w:spacing w:before="120" w:after="0" w:line="360" w:lineRule="auto"/>
        <w:rPr>
          <w:sz w:val="24"/>
          <w:szCs w:val="24"/>
        </w:rPr>
      </w:pPr>
      <w:r w:rsidRPr="005A7FF0">
        <w:rPr>
          <w:sz w:val="24"/>
          <w:szCs w:val="24"/>
        </w:rPr>
        <w:t>To first clarify our terminology, this report refers to particular type of rapeseed oil</w:t>
      </w:r>
      <w:r w:rsidR="00630B6B" w:rsidRPr="005A7FF0">
        <w:rPr>
          <w:sz w:val="24"/>
          <w:szCs w:val="24"/>
        </w:rPr>
        <w:t>, known as “canola oil</w:t>
      </w:r>
      <w:r w:rsidR="00A81092" w:rsidRPr="005A7FF0">
        <w:rPr>
          <w:sz w:val="24"/>
          <w:szCs w:val="24"/>
        </w:rPr>
        <w:t>,</w:t>
      </w:r>
      <w:r w:rsidR="00630B6B" w:rsidRPr="005A7FF0">
        <w:rPr>
          <w:sz w:val="24"/>
          <w:szCs w:val="24"/>
        </w:rPr>
        <w:t xml:space="preserve">” </w:t>
      </w:r>
      <w:r w:rsidR="00A81092" w:rsidRPr="005A7FF0">
        <w:rPr>
          <w:sz w:val="24"/>
          <w:szCs w:val="24"/>
        </w:rPr>
        <w:t xml:space="preserve">although both terms are used indistinctively throughout this report. </w:t>
      </w:r>
      <w:r w:rsidR="00630B6B" w:rsidRPr="005A7FF0">
        <w:rPr>
          <w:sz w:val="24"/>
          <w:szCs w:val="24"/>
        </w:rPr>
        <w:t xml:space="preserve">Canola refers to a modified cultivar of rapeseed developed in Canada and introduced to commercial production there in the last century. </w:t>
      </w:r>
      <w:r w:rsidR="00A81092" w:rsidRPr="005A7FF0">
        <w:rPr>
          <w:sz w:val="24"/>
          <w:szCs w:val="24"/>
        </w:rPr>
        <w:t xml:space="preserve">Canola is the product of selective breeding to produce a </w:t>
      </w:r>
      <w:r w:rsidR="00A81092" w:rsidRPr="005A7FF0">
        <w:rPr>
          <w:sz w:val="24"/>
          <w:szCs w:val="24"/>
        </w:rPr>
        <w:lastRenderedPageBreak/>
        <w:t>low-erucic</w:t>
      </w:r>
      <w:r w:rsidR="00E13CA9" w:rsidRPr="005A7FF0">
        <w:rPr>
          <w:rStyle w:val="FootnoteReference"/>
          <w:sz w:val="24"/>
          <w:szCs w:val="24"/>
        </w:rPr>
        <w:footnoteReference w:id="4"/>
      </w:r>
      <w:r w:rsidR="00E13CA9" w:rsidRPr="005A7FF0">
        <w:rPr>
          <w:sz w:val="24"/>
          <w:szCs w:val="24"/>
        </w:rPr>
        <w:t xml:space="preserve"> </w:t>
      </w:r>
      <w:r w:rsidR="00A81092" w:rsidRPr="005A7FF0">
        <w:rPr>
          <w:sz w:val="24"/>
          <w:szCs w:val="24"/>
        </w:rPr>
        <w:t>and low-</w:t>
      </w:r>
      <w:proofErr w:type="spellStart"/>
      <w:r w:rsidR="00A81092" w:rsidRPr="005A7FF0">
        <w:rPr>
          <w:sz w:val="24"/>
          <w:szCs w:val="24"/>
        </w:rPr>
        <w:t>glucosinolate</w:t>
      </w:r>
      <w:proofErr w:type="spellEnd"/>
      <w:r w:rsidR="00786312" w:rsidRPr="005A7FF0">
        <w:rPr>
          <w:rStyle w:val="FootnoteReference"/>
          <w:sz w:val="24"/>
          <w:szCs w:val="24"/>
        </w:rPr>
        <w:footnoteReference w:id="5"/>
      </w:r>
      <w:r w:rsidR="00E13CA9" w:rsidRPr="005A7FF0">
        <w:rPr>
          <w:sz w:val="24"/>
          <w:szCs w:val="24"/>
        </w:rPr>
        <w:t xml:space="preserve"> </w:t>
      </w:r>
      <w:r w:rsidR="00A81092" w:rsidRPr="005A7FF0">
        <w:rPr>
          <w:sz w:val="24"/>
          <w:szCs w:val="24"/>
        </w:rPr>
        <w:t>rapeseed that was both healthier and usable as animal feed (</w:t>
      </w:r>
      <w:proofErr w:type="spellStart"/>
      <w:r w:rsidR="00A81092" w:rsidRPr="005A7FF0">
        <w:rPr>
          <w:sz w:val="24"/>
          <w:szCs w:val="24"/>
        </w:rPr>
        <w:t>Daun</w:t>
      </w:r>
      <w:proofErr w:type="spellEnd"/>
      <w:r w:rsidR="00A81092" w:rsidRPr="005A7FF0">
        <w:rPr>
          <w:sz w:val="24"/>
          <w:szCs w:val="24"/>
        </w:rPr>
        <w:t>, 2011). Oil extracted from canola has superior stability against oxidation and rancidity,</w:t>
      </w:r>
      <w:r w:rsidR="00A946B3" w:rsidRPr="005A7FF0">
        <w:rPr>
          <w:sz w:val="24"/>
          <w:szCs w:val="24"/>
        </w:rPr>
        <w:t xml:space="preserve"> while</w:t>
      </w:r>
      <w:r w:rsidR="00A81092" w:rsidRPr="005A7FF0">
        <w:rPr>
          <w:sz w:val="24"/>
          <w:szCs w:val="24"/>
        </w:rPr>
        <w:t xml:space="preserve"> the plant</w:t>
      </w:r>
      <w:r w:rsidR="00A946B3" w:rsidRPr="005A7FF0">
        <w:rPr>
          <w:sz w:val="24"/>
          <w:szCs w:val="24"/>
        </w:rPr>
        <w:t xml:space="preserve"> has</w:t>
      </w:r>
      <w:r w:rsidR="00A81092" w:rsidRPr="005A7FF0">
        <w:rPr>
          <w:sz w:val="24"/>
          <w:szCs w:val="24"/>
        </w:rPr>
        <w:t xml:space="preserve"> cold hardiness, and </w:t>
      </w:r>
      <w:r w:rsidR="00A946B3" w:rsidRPr="005A7FF0">
        <w:rPr>
          <w:sz w:val="24"/>
          <w:szCs w:val="24"/>
        </w:rPr>
        <w:t>a</w:t>
      </w:r>
      <w:r w:rsidR="00A81092" w:rsidRPr="005A7FF0">
        <w:rPr>
          <w:sz w:val="24"/>
          <w:szCs w:val="24"/>
        </w:rPr>
        <w:t xml:space="preserve"> comparative ease of harvest and oil extraction</w:t>
      </w:r>
      <w:r w:rsidR="00A946B3" w:rsidRPr="005A7FF0">
        <w:rPr>
          <w:sz w:val="24"/>
          <w:szCs w:val="24"/>
        </w:rPr>
        <w:t xml:space="preserve"> relative to other seed crops (</w:t>
      </w:r>
      <w:proofErr w:type="spellStart"/>
      <w:r w:rsidR="00A81092" w:rsidRPr="005A7FF0">
        <w:rPr>
          <w:sz w:val="24"/>
          <w:szCs w:val="24"/>
        </w:rPr>
        <w:t>Daun</w:t>
      </w:r>
      <w:proofErr w:type="spellEnd"/>
      <w:r w:rsidR="00A81092" w:rsidRPr="005A7FF0">
        <w:rPr>
          <w:sz w:val="24"/>
          <w:szCs w:val="24"/>
        </w:rPr>
        <w:t xml:space="preserve">, 2011; </w:t>
      </w:r>
      <w:proofErr w:type="spellStart"/>
      <w:r w:rsidR="00A81092" w:rsidRPr="005A7FF0">
        <w:rPr>
          <w:sz w:val="24"/>
          <w:szCs w:val="24"/>
        </w:rPr>
        <w:t>Nykter</w:t>
      </w:r>
      <w:proofErr w:type="spellEnd"/>
      <w:r w:rsidR="00A81092" w:rsidRPr="005A7FF0">
        <w:rPr>
          <w:sz w:val="24"/>
          <w:szCs w:val="24"/>
        </w:rPr>
        <w:t xml:space="preserve"> at al., 2008).</w:t>
      </w:r>
      <w:r w:rsidR="00F36756" w:rsidRPr="005A7FF0">
        <w:rPr>
          <w:sz w:val="24"/>
          <w:szCs w:val="24"/>
        </w:rPr>
        <w:t xml:space="preserve"> </w:t>
      </w:r>
      <w:r w:rsidR="00821DA9" w:rsidRPr="005A7FF0">
        <w:rPr>
          <w:sz w:val="24"/>
          <w:szCs w:val="24"/>
        </w:rPr>
        <w:t xml:space="preserve">Canada is the world largest producer of rapeseed/canola </w:t>
      </w:r>
      <w:r w:rsidR="00E146F4" w:rsidRPr="005A7FF0">
        <w:rPr>
          <w:sz w:val="24"/>
          <w:szCs w:val="24"/>
        </w:rPr>
        <w:t xml:space="preserve">accounting for about 15% of global production (FAOSTAT, 2023a). </w:t>
      </w:r>
      <w:r w:rsidRPr="005A7FF0">
        <w:rPr>
          <w:sz w:val="24"/>
          <w:szCs w:val="24"/>
        </w:rPr>
        <w:t>This report utilizes data sets from Saskatchewan, Canada’s leading province for ca</w:t>
      </w:r>
      <w:r w:rsidR="008D44D0" w:rsidRPr="005A7FF0">
        <w:rPr>
          <w:sz w:val="24"/>
          <w:szCs w:val="24"/>
        </w:rPr>
        <w:t>nola production</w:t>
      </w:r>
      <w:r w:rsidRPr="005A7FF0">
        <w:rPr>
          <w:sz w:val="24"/>
          <w:szCs w:val="24"/>
        </w:rPr>
        <w:t xml:space="preserve">, </w:t>
      </w:r>
      <w:r w:rsidR="008D44D0" w:rsidRPr="005A7FF0">
        <w:rPr>
          <w:sz w:val="24"/>
          <w:szCs w:val="24"/>
        </w:rPr>
        <w:t>accounting for</w:t>
      </w:r>
      <w:r w:rsidR="00F36756" w:rsidRPr="005A7FF0">
        <w:rPr>
          <w:sz w:val="24"/>
          <w:szCs w:val="24"/>
        </w:rPr>
        <w:t xml:space="preserve"> 54% </w:t>
      </w:r>
      <w:r w:rsidR="008D44D0" w:rsidRPr="005A7FF0">
        <w:rPr>
          <w:sz w:val="24"/>
          <w:szCs w:val="24"/>
        </w:rPr>
        <w:t xml:space="preserve">of the </w:t>
      </w:r>
      <w:r w:rsidR="00F36756" w:rsidRPr="005A7FF0">
        <w:rPr>
          <w:sz w:val="24"/>
          <w:szCs w:val="24"/>
        </w:rPr>
        <w:t xml:space="preserve">total </w:t>
      </w:r>
      <w:r w:rsidR="008D44D0" w:rsidRPr="005A7FF0">
        <w:rPr>
          <w:sz w:val="24"/>
          <w:szCs w:val="24"/>
        </w:rPr>
        <w:t xml:space="preserve">area harvested and of </w:t>
      </w:r>
      <w:r w:rsidR="00F36756" w:rsidRPr="005A7FF0">
        <w:rPr>
          <w:sz w:val="24"/>
          <w:szCs w:val="24"/>
        </w:rPr>
        <w:t>production</w:t>
      </w:r>
      <w:r w:rsidR="008D44D0" w:rsidRPr="005A7FF0">
        <w:rPr>
          <w:sz w:val="24"/>
          <w:szCs w:val="24"/>
        </w:rPr>
        <w:t xml:space="preserve"> </w:t>
      </w:r>
      <w:r w:rsidRPr="005A7FF0">
        <w:rPr>
          <w:sz w:val="24"/>
          <w:szCs w:val="24"/>
        </w:rPr>
        <w:t>(Statistics Canada, 2023).</w:t>
      </w:r>
    </w:p>
    <w:p w14:paraId="4C818CEC" w14:textId="7BD318B1" w:rsidR="007256A3" w:rsidRPr="005A7FF0" w:rsidRDefault="001E7A35" w:rsidP="003632A1">
      <w:pPr>
        <w:spacing w:before="120" w:after="0" w:line="360" w:lineRule="auto"/>
        <w:rPr>
          <w:sz w:val="28"/>
          <w:szCs w:val="28"/>
        </w:rPr>
      </w:pPr>
      <w:r w:rsidRPr="005A7FF0">
        <w:rPr>
          <w:sz w:val="28"/>
          <w:szCs w:val="28"/>
        </w:rPr>
        <w:t xml:space="preserve">1.2 </w:t>
      </w:r>
      <w:r w:rsidR="007256A3" w:rsidRPr="005A7FF0">
        <w:rPr>
          <w:sz w:val="28"/>
          <w:szCs w:val="28"/>
        </w:rPr>
        <w:t>Overview of Palm Oil</w:t>
      </w:r>
    </w:p>
    <w:p w14:paraId="57E63319" w14:textId="77202FA2" w:rsidR="00C84A71" w:rsidRPr="005A7FF0" w:rsidRDefault="007256A3" w:rsidP="003632A1">
      <w:pPr>
        <w:spacing w:before="120" w:after="0" w:line="360" w:lineRule="auto"/>
        <w:rPr>
          <w:sz w:val="24"/>
          <w:szCs w:val="24"/>
        </w:rPr>
      </w:pPr>
      <w:r w:rsidRPr="005A7FF0">
        <w:rPr>
          <w:sz w:val="24"/>
          <w:szCs w:val="24"/>
        </w:rPr>
        <w:t xml:space="preserve">Palm oil </w:t>
      </w:r>
      <w:r w:rsidR="000442C1" w:rsidRPr="005A7FF0">
        <w:rPr>
          <w:sz w:val="24"/>
          <w:szCs w:val="24"/>
        </w:rPr>
        <w:t xml:space="preserve">is widely used and traded worldwide and </w:t>
      </w:r>
      <w:r w:rsidRPr="005A7FF0">
        <w:rPr>
          <w:sz w:val="24"/>
          <w:szCs w:val="24"/>
        </w:rPr>
        <w:t>has the highest global yield of any seed oil</w:t>
      </w:r>
      <w:r w:rsidR="000442C1" w:rsidRPr="005A7FF0">
        <w:rPr>
          <w:sz w:val="24"/>
          <w:szCs w:val="24"/>
        </w:rPr>
        <w:t xml:space="preserve"> (Parsons et al., 2020)</w:t>
      </w:r>
      <w:r w:rsidRPr="005A7FF0">
        <w:rPr>
          <w:sz w:val="24"/>
          <w:szCs w:val="24"/>
        </w:rPr>
        <w:t>, with 8</w:t>
      </w:r>
      <w:r w:rsidR="002D10F2" w:rsidRPr="005A7FF0">
        <w:rPr>
          <w:sz w:val="24"/>
          <w:szCs w:val="24"/>
        </w:rPr>
        <w:t>4</w:t>
      </w:r>
      <w:r w:rsidRPr="005A7FF0">
        <w:rPr>
          <w:sz w:val="24"/>
          <w:szCs w:val="24"/>
        </w:rPr>
        <w:t>% of production coming from Malaysia and Indonesia (</w:t>
      </w:r>
      <w:r w:rsidR="00A90575" w:rsidRPr="005A7FF0">
        <w:rPr>
          <w:sz w:val="24"/>
          <w:szCs w:val="24"/>
        </w:rPr>
        <w:t>FAOSTAT, 2023</w:t>
      </w:r>
      <w:r w:rsidR="00E146F4" w:rsidRPr="005A7FF0">
        <w:rPr>
          <w:sz w:val="24"/>
          <w:szCs w:val="24"/>
        </w:rPr>
        <w:t>b</w:t>
      </w:r>
      <w:r w:rsidRPr="005A7FF0">
        <w:rPr>
          <w:sz w:val="24"/>
          <w:szCs w:val="24"/>
        </w:rPr>
        <w:t xml:space="preserve">). </w:t>
      </w:r>
      <w:r w:rsidR="00C17391" w:rsidRPr="005A7FF0">
        <w:rPr>
          <w:sz w:val="24"/>
          <w:szCs w:val="24"/>
        </w:rPr>
        <w:t xml:space="preserve">The provinces of Sabah and Sarawak located in the island of Borneo, account for </w:t>
      </w:r>
      <w:r w:rsidR="00AE07EF" w:rsidRPr="005A7FF0">
        <w:rPr>
          <w:sz w:val="24"/>
          <w:szCs w:val="24"/>
        </w:rPr>
        <w:t xml:space="preserve">45.5% of Malaysian palm oil production and </w:t>
      </w:r>
      <w:r w:rsidR="00A4679F" w:rsidRPr="005A7FF0">
        <w:rPr>
          <w:sz w:val="24"/>
          <w:szCs w:val="24"/>
        </w:rPr>
        <w:t>53.9% of the area planted in Malaysia (</w:t>
      </w:r>
      <w:proofErr w:type="spellStart"/>
      <w:r w:rsidR="00A4679F" w:rsidRPr="005A7FF0">
        <w:rPr>
          <w:sz w:val="24"/>
          <w:szCs w:val="24"/>
        </w:rPr>
        <w:t>Parveez</w:t>
      </w:r>
      <w:proofErr w:type="spellEnd"/>
      <w:r w:rsidR="00A4679F" w:rsidRPr="005A7FF0">
        <w:rPr>
          <w:sz w:val="24"/>
          <w:szCs w:val="24"/>
        </w:rPr>
        <w:t xml:space="preserve"> et al., 2022). </w:t>
      </w:r>
      <w:r w:rsidRPr="005A7FF0">
        <w:rPr>
          <w:sz w:val="24"/>
          <w:szCs w:val="24"/>
        </w:rPr>
        <w:t>The widespread use of palm oil is due to several factors: a neutral flavor, high-smoke point, lower cost in comparison to canola or soybean oil, as well as its unique molecular makeup being nearly evenly split between saturated and unsaturated fatty acids (Parsons et al., 2020). To briefly explain this last point, palm oil can be fractionated into two separate products—the solid and liquid fatty acids—allowing the oil to be used for a wider range of culinary purposes, depending on if a firm solid or free-flowing liquid is desired (</w:t>
      </w:r>
      <w:proofErr w:type="spellStart"/>
      <w:r w:rsidRPr="005A7FF0">
        <w:rPr>
          <w:sz w:val="24"/>
          <w:szCs w:val="24"/>
        </w:rPr>
        <w:t>Mba</w:t>
      </w:r>
      <w:proofErr w:type="spellEnd"/>
      <w:r w:rsidRPr="005A7FF0">
        <w:rPr>
          <w:sz w:val="24"/>
          <w:szCs w:val="24"/>
        </w:rPr>
        <w:t xml:space="preserve"> et al., 2015). While other EPOs can be modified to remain solid or liquid, unlike palm oil this state change can produce trans-fatty acids, which have been shown to negatively impact human health (Parsons et al., 2020). Finally, it is important to note that </w:t>
      </w:r>
      <w:r w:rsidR="00612160" w:rsidRPr="005A7FF0">
        <w:rPr>
          <w:sz w:val="24"/>
          <w:szCs w:val="24"/>
        </w:rPr>
        <w:t xml:space="preserve">while the FFB are the raw material for crude palm oil (CPO) used in human foods, </w:t>
      </w:r>
      <w:r w:rsidRPr="005A7FF0">
        <w:rPr>
          <w:sz w:val="24"/>
          <w:szCs w:val="24"/>
        </w:rPr>
        <w:t xml:space="preserve">the seed kernels of oil palms can also be used as a source of oil production, but since this oil is primarily used in cosmetics and is </w:t>
      </w:r>
      <w:r w:rsidRPr="005A7FF0">
        <w:rPr>
          <w:sz w:val="24"/>
          <w:szCs w:val="24"/>
        </w:rPr>
        <w:lastRenderedPageBreak/>
        <w:t>processed at a different step of production in the supply chain, it is not included in this report’s analysis of edible palm oil (Murphy et al., 2021).</w:t>
      </w:r>
    </w:p>
    <w:p w14:paraId="6097394D" w14:textId="3AF60A37" w:rsidR="00752C6F" w:rsidRPr="005A7FF0" w:rsidRDefault="006C4097" w:rsidP="003632A1">
      <w:pPr>
        <w:spacing w:before="120" w:after="0" w:line="360" w:lineRule="auto"/>
        <w:rPr>
          <w:sz w:val="32"/>
          <w:szCs w:val="32"/>
        </w:rPr>
      </w:pPr>
      <w:r w:rsidRPr="005A7FF0">
        <w:rPr>
          <w:sz w:val="32"/>
          <w:szCs w:val="32"/>
        </w:rPr>
        <w:t xml:space="preserve">2. </w:t>
      </w:r>
      <w:r w:rsidR="00752C6F" w:rsidRPr="005A7FF0">
        <w:rPr>
          <w:sz w:val="32"/>
          <w:szCs w:val="32"/>
        </w:rPr>
        <w:t>Methods</w:t>
      </w:r>
    </w:p>
    <w:p w14:paraId="0EBF6404" w14:textId="1D28D01E" w:rsidR="006C4097" w:rsidRPr="005A7FF0" w:rsidRDefault="006C4097" w:rsidP="003632A1">
      <w:pPr>
        <w:spacing w:before="120" w:after="0" w:line="360" w:lineRule="auto"/>
        <w:rPr>
          <w:sz w:val="28"/>
          <w:szCs w:val="28"/>
        </w:rPr>
      </w:pPr>
      <w:r w:rsidRPr="005A7FF0">
        <w:rPr>
          <w:sz w:val="28"/>
          <w:szCs w:val="28"/>
        </w:rPr>
        <w:t>2.1 Environmental impacts</w:t>
      </w:r>
    </w:p>
    <w:p w14:paraId="3389E254" w14:textId="154F7EBB" w:rsidR="003A0B33" w:rsidRPr="005A7FF0" w:rsidRDefault="00FF67BB" w:rsidP="003632A1">
      <w:pPr>
        <w:spacing w:before="120" w:after="0" w:line="360" w:lineRule="auto"/>
        <w:rPr>
          <w:sz w:val="24"/>
          <w:szCs w:val="24"/>
        </w:rPr>
      </w:pPr>
      <w:r w:rsidRPr="005A7FF0">
        <w:rPr>
          <w:sz w:val="24"/>
          <w:szCs w:val="24"/>
        </w:rPr>
        <w:t>As indicated in the introduction, t</w:t>
      </w:r>
      <w:r w:rsidR="00B9527B" w:rsidRPr="005A7FF0">
        <w:rPr>
          <w:sz w:val="24"/>
          <w:szCs w:val="24"/>
        </w:rPr>
        <w:t>o assess the environmental impacts of the production of rapeseed (canola) oil and African palm oil a Life Cycle Assessment</w:t>
      </w:r>
      <w:r w:rsidR="006D6CFD" w:rsidRPr="005A7FF0">
        <w:rPr>
          <w:sz w:val="24"/>
          <w:szCs w:val="24"/>
        </w:rPr>
        <w:t xml:space="preserve"> (LCA)</w:t>
      </w:r>
      <w:r w:rsidR="00B9527B" w:rsidRPr="005A7FF0">
        <w:rPr>
          <w:sz w:val="24"/>
          <w:szCs w:val="24"/>
        </w:rPr>
        <w:t xml:space="preserve"> was carried out</w:t>
      </w:r>
      <w:r w:rsidR="006D6CFD" w:rsidRPr="005A7FF0">
        <w:rPr>
          <w:sz w:val="24"/>
          <w:szCs w:val="24"/>
        </w:rPr>
        <w:t xml:space="preserve"> with the</w:t>
      </w:r>
      <w:r w:rsidR="006D6CFD" w:rsidRPr="005A7FF0">
        <w:rPr>
          <w:i/>
          <w:iCs/>
          <w:sz w:val="24"/>
          <w:szCs w:val="24"/>
        </w:rPr>
        <w:t xml:space="preserve"> </w:t>
      </w:r>
      <w:proofErr w:type="spellStart"/>
      <w:r w:rsidR="006D6CFD" w:rsidRPr="005A7FF0">
        <w:rPr>
          <w:i/>
          <w:iCs/>
          <w:sz w:val="24"/>
          <w:szCs w:val="24"/>
        </w:rPr>
        <w:t>openLCA</w:t>
      </w:r>
      <w:proofErr w:type="spellEnd"/>
      <w:r w:rsidR="006D6CFD" w:rsidRPr="005A7FF0">
        <w:rPr>
          <w:sz w:val="24"/>
          <w:szCs w:val="24"/>
        </w:rPr>
        <w:t xml:space="preserve"> software</w:t>
      </w:r>
      <w:r w:rsidR="001F3955" w:rsidRPr="005A7FF0">
        <w:rPr>
          <w:sz w:val="24"/>
          <w:szCs w:val="24"/>
        </w:rPr>
        <w:t xml:space="preserve"> and the </w:t>
      </w:r>
      <w:proofErr w:type="spellStart"/>
      <w:r w:rsidR="001F3955" w:rsidRPr="005A7FF0">
        <w:rPr>
          <w:i/>
          <w:iCs/>
          <w:sz w:val="24"/>
          <w:szCs w:val="24"/>
        </w:rPr>
        <w:t>Agribalys</w:t>
      </w:r>
      <w:r w:rsidR="001F3955" w:rsidRPr="005A7FF0">
        <w:rPr>
          <w:sz w:val="24"/>
          <w:szCs w:val="24"/>
        </w:rPr>
        <w:t>e</w:t>
      </w:r>
      <w:proofErr w:type="spellEnd"/>
      <w:r w:rsidR="001F3955" w:rsidRPr="005A7FF0">
        <w:rPr>
          <w:sz w:val="24"/>
          <w:szCs w:val="24"/>
        </w:rPr>
        <w:t xml:space="preserve"> 3.1 database</w:t>
      </w:r>
      <w:r w:rsidR="006D6CFD" w:rsidRPr="005A7FF0">
        <w:rPr>
          <w:sz w:val="24"/>
          <w:szCs w:val="24"/>
        </w:rPr>
        <w:t xml:space="preserve">. </w:t>
      </w:r>
      <w:proofErr w:type="spellStart"/>
      <w:r w:rsidR="00AA3845" w:rsidRPr="005A7FF0">
        <w:rPr>
          <w:sz w:val="24"/>
          <w:szCs w:val="24"/>
        </w:rPr>
        <w:t>O</w:t>
      </w:r>
      <w:r w:rsidR="00AE05F4" w:rsidRPr="005A7FF0">
        <w:rPr>
          <w:i/>
          <w:iCs/>
          <w:sz w:val="24"/>
          <w:szCs w:val="24"/>
        </w:rPr>
        <w:t>penLCA</w:t>
      </w:r>
      <w:proofErr w:type="spellEnd"/>
      <w:r w:rsidR="006D6CFD" w:rsidRPr="005A7FF0">
        <w:rPr>
          <w:sz w:val="24"/>
          <w:szCs w:val="24"/>
        </w:rPr>
        <w:t xml:space="preserve"> is an open-source free program for performing LCA</w:t>
      </w:r>
      <w:r w:rsidR="009F5D10" w:rsidRPr="005A7FF0">
        <w:rPr>
          <w:sz w:val="24"/>
          <w:szCs w:val="24"/>
        </w:rPr>
        <w:t xml:space="preserve"> (</w:t>
      </w:r>
      <w:hyperlink r:id="rId8" w:history="1">
        <w:r w:rsidR="009F5D10" w:rsidRPr="005A7FF0">
          <w:rPr>
            <w:rStyle w:val="Hyperlink"/>
            <w:sz w:val="24"/>
            <w:szCs w:val="24"/>
          </w:rPr>
          <w:t>https://www.openlca.org/</w:t>
        </w:r>
      </w:hyperlink>
      <w:r w:rsidR="009F5D10" w:rsidRPr="005A7FF0">
        <w:rPr>
          <w:sz w:val="24"/>
          <w:szCs w:val="24"/>
        </w:rPr>
        <w:t>)</w:t>
      </w:r>
      <w:r w:rsidR="000560A6" w:rsidRPr="005A7FF0">
        <w:rPr>
          <w:sz w:val="24"/>
          <w:szCs w:val="24"/>
        </w:rPr>
        <w:t xml:space="preserve">. </w:t>
      </w:r>
      <w:proofErr w:type="spellStart"/>
      <w:r w:rsidR="000560A6" w:rsidRPr="005A7FF0">
        <w:rPr>
          <w:sz w:val="24"/>
          <w:szCs w:val="24"/>
        </w:rPr>
        <w:t>Agribalyse</w:t>
      </w:r>
      <w:proofErr w:type="spellEnd"/>
      <w:r w:rsidR="000560A6" w:rsidRPr="005A7FF0">
        <w:rPr>
          <w:sz w:val="24"/>
          <w:szCs w:val="24"/>
        </w:rPr>
        <w:t xml:space="preserve"> 3.1 is</w:t>
      </w:r>
      <w:r w:rsidR="00026751" w:rsidRPr="005A7FF0">
        <w:rPr>
          <w:sz w:val="24"/>
          <w:szCs w:val="24"/>
        </w:rPr>
        <w:t xml:space="preserve"> </w:t>
      </w:r>
      <w:r w:rsidR="00AA3845" w:rsidRPr="005A7FF0">
        <w:rPr>
          <w:sz w:val="24"/>
          <w:szCs w:val="24"/>
        </w:rPr>
        <w:t xml:space="preserve">a </w:t>
      </w:r>
      <w:r w:rsidR="00026751" w:rsidRPr="005A7FF0">
        <w:rPr>
          <w:sz w:val="24"/>
          <w:szCs w:val="24"/>
        </w:rPr>
        <w:t>French</w:t>
      </w:r>
      <w:r w:rsidR="000560A6" w:rsidRPr="005A7FF0">
        <w:rPr>
          <w:sz w:val="24"/>
          <w:szCs w:val="24"/>
        </w:rPr>
        <w:t xml:space="preserve"> Life Cycle Inventory (LCI) database</w:t>
      </w:r>
      <w:r w:rsidR="00D476A1" w:rsidRPr="005A7FF0">
        <w:rPr>
          <w:sz w:val="24"/>
          <w:szCs w:val="24"/>
        </w:rPr>
        <w:t xml:space="preserve"> (</w:t>
      </w:r>
      <w:hyperlink r:id="rId9" w:history="1">
        <w:r w:rsidR="00D476A1" w:rsidRPr="005A7FF0">
          <w:rPr>
            <w:rStyle w:val="Hyperlink"/>
            <w:sz w:val="24"/>
            <w:szCs w:val="24"/>
          </w:rPr>
          <w:t>https://agribalyse.ademe.fr/</w:t>
        </w:r>
      </w:hyperlink>
      <w:r w:rsidR="00D476A1" w:rsidRPr="005A7FF0">
        <w:rPr>
          <w:sz w:val="24"/>
          <w:szCs w:val="24"/>
        </w:rPr>
        <w:t xml:space="preserve">). It </w:t>
      </w:r>
      <w:r w:rsidR="00026751" w:rsidRPr="005A7FF0">
        <w:rPr>
          <w:sz w:val="24"/>
          <w:szCs w:val="24"/>
        </w:rPr>
        <w:t xml:space="preserve">incorporates data from </w:t>
      </w:r>
      <w:r w:rsidR="00AA3845" w:rsidRPr="005A7FF0">
        <w:rPr>
          <w:sz w:val="24"/>
          <w:szCs w:val="24"/>
        </w:rPr>
        <w:t xml:space="preserve">the </w:t>
      </w:r>
      <w:r w:rsidR="00026751" w:rsidRPr="005A7FF0">
        <w:rPr>
          <w:i/>
          <w:iCs/>
          <w:sz w:val="24"/>
          <w:szCs w:val="24"/>
        </w:rPr>
        <w:t xml:space="preserve">World Food LCA Database (WFLDB) </w:t>
      </w:r>
      <w:r w:rsidR="00026751" w:rsidRPr="005A7FF0">
        <w:rPr>
          <w:sz w:val="24"/>
          <w:szCs w:val="24"/>
        </w:rPr>
        <w:t>(</w:t>
      </w:r>
      <w:hyperlink r:id="rId10" w:history="1">
        <w:r w:rsidR="00831749" w:rsidRPr="005A7FF0">
          <w:rPr>
            <w:rStyle w:val="Hyperlink"/>
            <w:sz w:val="24"/>
            <w:szCs w:val="24"/>
          </w:rPr>
          <w:t>https://quantis.com/who-we-guide/our-impact/sustainability-initiatives/wfldb-food/</w:t>
        </w:r>
      </w:hyperlink>
      <w:r w:rsidR="00831749" w:rsidRPr="005A7FF0">
        <w:rPr>
          <w:sz w:val="24"/>
          <w:szCs w:val="24"/>
        </w:rPr>
        <w:t xml:space="preserve">) and the </w:t>
      </w:r>
      <w:proofErr w:type="spellStart"/>
      <w:r w:rsidR="00831749" w:rsidRPr="005A7FF0">
        <w:rPr>
          <w:i/>
          <w:iCs/>
          <w:sz w:val="24"/>
          <w:szCs w:val="24"/>
        </w:rPr>
        <w:t>ecoinvent</w:t>
      </w:r>
      <w:proofErr w:type="spellEnd"/>
      <w:r w:rsidR="00831749" w:rsidRPr="005A7FF0">
        <w:rPr>
          <w:sz w:val="24"/>
          <w:szCs w:val="24"/>
        </w:rPr>
        <w:t xml:space="preserve"> Database (</w:t>
      </w:r>
      <w:hyperlink r:id="rId11" w:history="1">
        <w:r w:rsidR="00831749" w:rsidRPr="005A7FF0">
          <w:rPr>
            <w:rStyle w:val="Hyperlink"/>
            <w:sz w:val="24"/>
            <w:szCs w:val="24"/>
          </w:rPr>
          <w:t>https://ecoinvent.org/the-ecoinvent-database</w:t>
        </w:r>
      </w:hyperlink>
      <w:r w:rsidR="00831749" w:rsidRPr="005A7FF0">
        <w:rPr>
          <w:sz w:val="24"/>
          <w:szCs w:val="24"/>
        </w:rPr>
        <w:t>) for non-French products</w:t>
      </w:r>
      <w:r w:rsidR="00462868" w:rsidRPr="005A7FF0">
        <w:rPr>
          <w:sz w:val="24"/>
          <w:szCs w:val="24"/>
        </w:rPr>
        <w:t xml:space="preserve">. </w:t>
      </w:r>
      <w:r w:rsidR="001F3955" w:rsidRPr="005A7FF0">
        <w:rPr>
          <w:sz w:val="24"/>
          <w:szCs w:val="24"/>
        </w:rPr>
        <w:t xml:space="preserve">The </w:t>
      </w:r>
      <w:proofErr w:type="spellStart"/>
      <w:r w:rsidR="003A0B33" w:rsidRPr="005A7FF0">
        <w:rPr>
          <w:sz w:val="24"/>
          <w:szCs w:val="24"/>
        </w:rPr>
        <w:t>ReCiPe</w:t>
      </w:r>
      <w:proofErr w:type="spellEnd"/>
      <w:r w:rsidR="003A0B33" w:rsidRPr="005A7FF0">
        <w:rPr>
          <w:sz w:val="24"/>
          <w:szCs w:val="24"/>
        </w:rPr>
        <w:t xml:space="preserve"> 2016 </w:t>
      </w:r>
      <w:r w:rsidR="001F3955" w:rsidRPr="005A7FF0">
        <w:rPr>
          <w:sz w:val="24"/>
          <w:szCs w:val="24"/>
        </w:rPr>
        <w:t xml:space="preserve">Life Cycle Assessment Impact </w:t>
      </w:r>
      <w:r w:rsidR="003A0B33" w:rsidRPr="005A7FF0">
        <w:rPr>
          <w:sz w:val="24"/>
          <w:szCs w:val="24"/>
        </w:rPr>
        <w:t xml:space="preserve">(LCIA) </w:t>
      </w:r>
      <w:r w:rsidR="001F3955" w:rsidRPr="005A7FF0">
        <w:rPr>
          <w:sz w:val="24"/>
          <w:szCs w:val="24"/>
        </w:rPr>
        <w:t>method was used to translate</w:t>
      </w:r>
      <w:r w:rsidR="003A0B33" w:rsidRPr="005A7FF0">
        <w:rPr>
          <w:sz w:val="24"/>
          <w:szCs w:val="24"/>
        </w:rPr>
        <w:t xml:space="preserve"> the</w:t>
      </w:r>
      <w:r w:rsidR="001F3955" w:rsidRPr="005A7FF0">
        <w:rPr>
          <w:sz w:val="24"/>
          <w:szCs w:val="24"/>
        </w:rPr>
        <w:t xml:space="preserve"> emissions and resources used</w:t>
      </w:r>
      <w:r w:rsidR="003A0B33" w:rsidRPr="005A7FF0">
        <w:rPr>
          <w:sz w:val="24"/>
          <w:szCs w:val="24"/>
        </w:rPr>
        <w:t xml:space="preserve"> calculated with the LCA into a limited number of environmental impact scores that characterize the product analyzed (</w:t>
      </w:r>
      <w:proofErr w:type="spellStart"/>
      <w:r w:rsidR="003A0B33" w:rsidRPr="005A7FF0">
        <w:rPr>
          <w:sz w:val="24"/>
          <w:szCs w:val="24"/>
        </w:rPr>
        <w:t>Huijbregts</w:t>
      </w:r>
      <w:proofErr w:type="spellEnd"/>
      <w:r w:rsidR="002623A4" w:rsidRPr="005A7FF0">
        <w:rPr>
          <w:sz w:val="24"/>
          <w:szCs w:val="24"/>
        </w:rPr>
        <w:t xml:space="preserve"> et al.</w:t>
      </w:r>
      <w:r w:rsidR="003A0B33" w:rsidRPr="005A7FF0">
        <w:rPr>
          <w:sz w:val="24"/>
          <w:szCs w:val="24"/>
        </w:rPr>
        <w:t>, 201</w:t>
      </w:r>
      <w:r w:rsidR="002623A4" w:rsidRPr="005A7FF0">
        <w:rPr>
          <w:sz w:val="24"/>
          <w:szCs w:val="24"/>
        </w:rPr>
        <w:t>7</w:t>
      </w:r>
      <w:r w:rsidR="003A0B33" w:rsidRPr="005A7FF0">
        <w:rPr>
          <w:sz w:val="24"/>
          <w:szCs w:val="24"/>
        </w:rPr>
        <w:t>).</w:t>
      </w:r>
      <w:r w:rsidR="001944C5" w:rsidRPr="005A7FF0">
        <w:rPr>
          <w:sz w:val="24"/>
          <w:szCs w:val="24"/>
        </w:rPr>
        <w:t xml:space="preserve"> </w:t>
      </w:r>
      <w:r w:rsidR="002623A4" w:rsidRPr="005A7FF0">
        <w:rPr>
          <w:sz w:val="24"/>
          <w:szCs w:val="24"/>
        </w:rPr>
        <w:t>The impact scores are determined through “</w:t>
      </w:r>
      <w:r w:rsidR="009F5D10" w:rsidRPr="005A7FF0">
        <w:rPr>
          <w:sz w:val="24"/>
          <w:szCs w:val="24"/>
        </w:rPr>
        <w:t>…</w:t>
      </w:r>
      <w:proofErr w:type="spellStart"/>
      <w:r w:rsidR="002623A4" w:rsidRPr="005A7FF0">
        <w:rPr>
          <w:sz w:val="24"/>
          <w:szCs w:val="24"/>
        </w:rPr>
        <w:t>characterisation</w:t>
      </w:r>
      <w:proofErr w:type="spellEnd"/>
      <w:r w:rsidR="002623A4" w:rsidRPr="005A7FF0">
        <w:rPr>
          <w:sz w:val="24"/>
          <w:szCs w:val="24"/>
        </w:rPr>
        <w:t xml:space="preserve"> factors, which indicates the environmental impact per unit of stressor (</w:t>
      </w:r>
      <w:r w:rsidR="008846A1" w:rsidRPr="005A7FF0">
        <w:rPr>
          <w:sz w:val="24"/>
          <w:szCs w:val="24"/>
        </w:rPr>
        <w:t>e.g.,</w:t>
      </w:r>
      <w:r w:rsidR="002623A4" w:rsidRPr="005A7FF0">
        <w:rPr>
          <w:sz w:val="24"/>
          <w:szCs w:val="24"/>
        </w:rPr>
        <w:t xml:space="preserve"> per kg of resource</w:t>
      </w:r>
      <w:r w:rsidR="009F5D10" w:rsidRPr="005A7FF0">
        <w:rPr>
          <w:sz w:val="24"/>
          <w:szCs w:val="24"/>
        </w:rPr>
        <w:t xml:space="preserve"> extracted or emission released)” (</w:t>
      </w:r>
      <w:proofErr w:type="spellStart"/>
      <w:r w:rsidR="009F5D10" w:rsidRPr="005A7FF0">
        <w:rPr>
          <w:sz w:val="24"/>
          <w:szCs w:val="24"/>
        </w:rPr>
        <w:t>Huijbregts</w:t>
      </w:r>
      <w:proofErr w:type="spellEnd"/>
      <w:r w:rsidR="009F5D10" w:rsidRPr="005A7FF0">
        <w:rPr>
          <w:sz w:val="24"/>
          <w:szCs w:val="24"/>
        </w:rPr>
        <w:t xml:space="preserve"> et al., 2017, 139). These factors can be derived at midpoint or endpoint levels. </w:t>
      </w:r>
      <w:r w:rsidR="00D94CAA" w:rsidRPr="005A7FF0">
        <w:rPr>
          <w:sz w:val="24"/>
          <w:szCs w:val="24"/>
        </w:rPr>
        <w:t>Midpoint factors usually are located at the point after which the environmental mechanism is similar for all environmental flows, while endpoint characterization factors correspond to three areas of protection in terms of damages to human health, the ecosystem, and resource availability. Midpoint and endpoint characterization factors are complementary</w:t>
      </w:r>
      <w:r w:rsidR="00140B46" w:rsidRPr="005A7FF0">
        <w:rPr>
          <w:sz w:val="24"/>
          <w:szCs w:val="24"/>
        </w:rPr>
        <w:t xml:space="preserve"> (</w:t>
      </w:r>
      <w:proofErr w:type="spellStart"/>
      <w:r w:rsidR="00140B46" w:rsidRPr="005A7FF0">
        <w:rPr>
          <w:sz w:val="24"/>
          <w:szCs w:val="24"/>
        </w:rPr>
        <w:t>Huijbregts</w:t>
      </w:r>
      <w:proofErr w:type="spellEnd"/>
      <w:r w:rsidR="00140B46" w:rsidRPr="005A7FF0">
        <w:rPr>
          <w:sz w:val="24"/>
          <w:szCs w:val="24"/>
        </w:rPr>
        <w:t xml:space="preserve"> et al., 2017). Given that there are different values and degrees of uncertainty, the </w:t>
      </w:r>
      <w:proofErr w:type="spellStart"/>
      <w:r w:rsidR="00140B46" w:rsidRPr="005A7FF0">
        <w:rPr>
          <w:sz w:val="24"/>
          <w:szCs w:val="24"/>
        </w:rPr>
        <w:t>ReCiPe</w:t>
      </w:r>
      <w:proofErr w:type="spellEnd"/>
      <w:r w:rsidR="00140B46" w:rsidRPr="005A7FF0">
        <w:rPr>
          <w:sz w:val="24"/>
          <w:szCs w:val="24"/>
        </w:rPr>
        <w:t xml:space="preserve"> method provides three different perspectives for the characterization factors. Here,</w:t>
      </w:r>
      <w:r w:rsidR="001B530C" w:rsidRPr="005A7FF0">
        <w:rPr>
          <w:sz w:val="24"/>
          <w:szCs w:val="24"/>
        </w:rPr>
        <w:t xml:space="preserve"> the so-called “</w:t>
      </w:r>
      <w:proofErr w:type="spellStart"/>
      <w:r w:rsidR="001B530C" w:rsidRPr="005A7FF0">
        <w:rPr>
          <w:sz w:val="24"/>
          <w:szCs w:val="24"/>
        </w:rPr>
        <w:t>hierarchist</w:t>
      </w:r>
      <w:proofErr w:type="spellEnd"/>
      <w:r w:rsidR="001B530C" w:rsidRPr="005A7FF0">
        <w:rPr>
          <w:sz w:val="24"/>
          <w:szCs w:val="24"/>
        </w:rPr>
        <w:t xml:space="preserve">” perspective was used. This perspective is based on scientific consensus and </w:t>
      </w:r>
      <w:r w:rsidR="006F663B" w:rsidRPr="005A7FF0">
        <w:rPr>
          <w:sz w:val="24"/>
          <w:szCs w:val="24"/>
        </w:rPr>
        <w:t>often considered the default</w:t>
      </w:r>
      <w:r w:rsidR="001B530C" w:rsidRPr="005A7FF0">
        <w:rPr>
          <w:sz w:val="24"/>
          <w:szCs w:val="24"/>
        </w:rPr>
        <w:t xml:space="preserve"> (</w:t>
      </w:r>
      <w:proofErr w:type="spellStart"/>
      <w:r w:rsidR="001B530C" w:rsidRPr="005A7FF0">
        <w:rPr>
          <w:sz w:val="24"/>
          <w:szCs w:val="24"/>
        </w:rPr>
        <w:t>Huijbregts</w:t>
      </w:r>
      <w:proofErr w:type="spellEnd"/>
      <w:r w:rsidR="001B530C" w:rsidRPr="005A7FF0">
        <w:rPr>
          <w:sz w:val="24"/>
          <w:szCs w:val="24"/>
        </w:rPr>
        <w:t xml:space="preserve"> et al., 2017).</w:t>
      </w:r>
    </w:p>
    <w:p w14:paraId="1E82D215" w14:textId="0BEC4C77" w:rsidR="00F11AA4" w:rsidRPr="005A7FF0" w:rsidRDefault="006F663B" w:rsidP="003632A1">
      <w:pPr>
        <w:spacing w:before="120" w:after="0" w:line="360" w:lineRule="auto"/>
        <w:rPr>
          <w:sz w:val="24"/>
          <w:szCs w:val="24"/>
        </w:rPr>
      </w:pPr>
      <w:r w:rsidRPr="005A7FF0">
        <w:rPr>
          <w:sz w:val="24"/>
          <w:szCs w:val="24"/>
        </w:rPr>
        <w:t>The focus of the analysis is on the farm production of rapeseed grain and fresh fruit bunches (FFB) from oil palm</w:t>
      </w:r>
      <w:r w:rsidR="00AA3845" w:rsidRPr="005A7FF0">
        <w:rPr>
          <w:sz w:val="24"/>
          <w:szCs w:val="24"/>
        </w:rPr>
        <w:t>,</w:t>
      </w:r>
      <w:r w:rsidR="00D30144" w:rsidRPr="005A7FF0">
        <w:rPr>
          <w:sz w:val="24"/>
          <w:szCs w:val="24"/>
        </w:rPr>
        <w:t xml:space="preserve"> from planting to harvesting. Pressing/extraction of the oil and its </w:t>
      </w:r>
      <w:r w:rsidR="00D30144" w:rsidRPr="005A7FF0">
        <w:rPr>
          <w:sz w:val="24"/>
          <w:szCs w:val="24"/>
        </w:rPr>
        <w:lastRenderedPageBreak/>
        <w:t>refinement were not included in the analysis. Most environmental impacts take place during the production phase</w:t>
      </w:r>
      <w:r w:rsidR="005E62DD" w:rsidRPr="005A7FF0">
        <w:rPr>
          <w:sz w:val="24"/>
          <w:szCs w:val="24"/>
        </w:rPr>
        <w:t xml:space="preserve"> (</w:t>
      </w:r>
      <w:proofErr w:type="spellStart"/>
      <w:r w:rsidR="00D476A1" w:rsidRPr="005A7FF0">
        <w:rPr>
          <w:sz w:val="24"/>
          <w:szCs w:val="24"/>
        </w:rPr>
        <w:t>MacWilliams</w:t>
      </w:r>
      <w:proofErr w:type="spellEnd"/>
      <w:r w:rsidR="00D476A1" w:rsidRPr="005A7FF0">
        <w:rPr>
          <w:sz w:val="24"/>
          <w:szCs w:val="24"/>
        </w:rPr>
        <w:t xml:space="preserve"> et al., 2016; </w:t>
      </w:r>
      <w:r w:rsidR="00310985" w:rsidRPr="005A7FF0">
        <w:rPr>
          <w:sz w:val="24"/>
          <w:szCs w:val="24"/>
        </w:rPr>
        <w:t xml:space="preserve">Reynaud et al., 2016; </w:t>
      </w:r>
      <w:r w:rsidR="00D476A1" w:rsidRPr="005A7FF0">
        <w:rPr>
          <w:sz w:val="24"/>
          <w:szCs w:val="24"/>
        </w:rPr>
        <w:t>Schmidt, 2007</w:t>
      </w:r>
      <w:r w:rsidR="005E62DD" w:rsidRPr="005A7FF0">
        <w:rPr>
          <w:sz w:val="24"/>
          <w:szCs w:val="24"/>
        </w:rPr>
        <w:t>)</w:t>
      </w:r>
      <w:r w:rsidR="00D30144" w:rsidRPr="005A7FF0">
        <w:rPr>
          <w:sz w:val="24"/>
          <w:szCs w:val="24"/>
        </w:rPr>
        <w:t xml:space="preserve">. However, to be able to compare both rapeseed and palm oil, the respective environmental impacts were calculated for the </w:t>
      </w:r>
      <w:r w:rsidR="005E62DD" w:rsidRPr="005A7FF0">
        <w:rPr>
          <w:sz w:val="24"/>
          <w:szCs w:val="24"/>
        </w:rPr>
        <w:t xml:space="preserve">average </w:t>
      </w:r>
      <w:r w:rsidR="00D30144" w:rsidRPr="005A7FF0">
        <w:rPr>
          <w:sz w:val="24"/>
          <w:szCs w:val="24"/>
        </w:rPr>
        <w:t xml:space="preserve">amount of </w:t>
      </w:r>
      <w:r w:rsidR="001A73E6" w:rsidRPr="005A7FF0">
        <w:rPr>
          <w:sz w:val="24"/>
          <w:szCs w:val="24"/>
        </w:rPr>
        <w:t>seed</w:t>
      </w:r>
      <w:r w:rsidR="00D30144" w:rsidRPr="005A7FF0">
        <w:rPr>
          <w:sz w:val="24"/>
          <w:szCs w:val="24"/>
        </w:rPr>
        <w:t xml:space="preserve"> and FFB necessary to produce 1 kg of </w:t>
      </w:r>
      <w:r w:rsidR="00EF208C">
        <w:rPr>
          <w:sz w:val="24"/>
          <w:szCs w:val="24"/>
        </w:rPr>
        <w:t>crude</w:t>
      </w:r>
      <w:r w:rsidR="005E62DD" w:rsidRPr="005A7FF0">
        <w:rPr>
          <w:sz w:val="24"/>
          <w:szCs w:val="24"/>
        </w:rPr>
        <w:t xml:space="preserve"> rapeseed</w:t>
      </w:r>
      <w:r w:rsidR="00D30144" w:rsidRPr="005A7FF0">
        <w:rPr>
          <w:sz w:val="24"/>
          <w:szCs w:val="24"/>
        </w:rPr>
        <w:t xml:space="preserve"> oil</w:t>
      </w:r>
      <w:r w:rsidR="005E62DD" w:rsidRPr="005A7FF0">
        <w:rPr>
          <w:sz w:val="24"/>
          <w:szCs w:val="24"/>
        </w:rPr>
        <w:t xml:space="preserve"> and crude palm oil (CPO) respectively. To contextualize the analysis in terms of production, yields, area planted and prices, data from the provinces of Saskatchewan</w:t>
      </w:r>
      <w:r w:rsidR="00462868" w:rsidRPr="005A7FF0">
        <w:rPr>
          <w:sz w:val="24"/>
          <w:szCs w:val="24"/>
        </w:rPr>
        <w:t xml:space="preserve"> in</w:t>
      </w:r>
      <w:r w:rsidR="005E62DD" w:rsidRPr="005A7FF0">
        <w:rPr>
          <w:sz w:val="24"/>
          <w:szCs w:val="24"/>
        </w:rPr>
        <w:t xml:space="preserve"> Canada</w:t>
      </w:r>
      <w:r w:rsidR="00462868" w:rsidRPr="005A7FF0">
        <w:rPr>
          <w:sz w:val="24"/>
          <w:szCs w:val="24"/>
        </w:rPr>
        <w:t>,</w:t>
      </w:r>
      <w:r w:rsidR="005E62DD" w:rsidRPr="005A7FF0">
        <w:rPr>
          <w:sz w:val="24"/>
          <w:szCs w:val="24"/>
        </w:rPr>
        <w:t xml:space="preserve"> and Sabah</w:t>
      </w:r>
      <w:r w:rsidR="00462868" w:rsidRPr="005A7FF0">
        <w:rPr>
          <w:sz w:val="24"/>
          <w:szCs w:val="24"/>
        </w:rPr>
        <w:t xml:space="preserve"> Sarawak in </w:t>
      </w:r>
      <w:r w:rsidR="005E62DD" w:rsidRPr="005A7FF0">
        <w:rPr>
          <w:sz w:val="24"/>
          <w:szCs w:val="24"/>
        </w:rPr>
        <w:t xml:space="preserve">Malaysia were used for rapeseed and </w:t>
      </w:r>
      <w:r w:rsidR="00E33CBD" w:rsidRPr="005A7FF0">
        <w:rPr>
          <w:sz w:val="24"/>
          <w:szCs w:val="24"/>
        </w:rPr>
        <w:t>palm,</w:t>
      </w:r>
      <w:r w:rsidR="005E62DD" w:rsidRPr="005A7FF0">
        <w:rPr>
          <w:sz w:val="24"/>
          <w:szCs w:val="24"/>
        </w:rPr>
        <w:t xml:space="preserve"> respectively. </w:t>
      </w:r>
      <w:r w:rsidR="00354A82" w:rsidRPr="005A7FF0">
        <w:rPr>
          <w:sz w:val="24"/>
          <w:szCs w:val="24"/>
        </w:rPr>
        <w:t xml:space="preserve">Canada and Malaysia are important producers and exporters of these oils worldwide. Within these countries, the </w:t>
      </w:r>
      <w:r w:rsidR="004B543A" w:rsidRPr="005A7FF0">
        <w:rPr>
          <w:sz w:val="24"/>
          <w:szCs w:val="24"/>
        </w:rPr>
        <w:t>selected</w:t>
      </w:r>
      <w:r w:rsidR="00354A82" w:rsidRPr="005A7FF0">
        <w:rPr>
          <w:sz w:val="24"/>
          <w:szCs w:val="24"/>
        </w:rPr>
        <w:t xml:space="preserve"> provinces are important producers of the</w:t>
      </w:r>
      <w:r w:rsidR="006514EF" w:rsidRPr="005A7FF0">
        <w:rPr>
          <w:sz w:val="24"/>
          <w:szCs w:val="24"/>
        </w:rPr>
        <w:t>se</w:t>
      </w:r>
      <w:r w:rsidR="00354A82" w:rsidRPr="005A7FF0">
        <w:rPr>
          <w:sz w:val="24"/>
          <w:szCs w:val="24"/>
        </w:rPr>
        <w:t xml:space="preserve"> oils.</w:t>
      </w:r>
    </w:p>
    <w:p w14:paraId="16477BFB" w14:textId="2E472B9B" w:rsidR="00F11AA4" w:rsidRPr="005A7FF0" w:rsidRDefault="00AA3845" w:rsidP="003632A1">
      <w:pPr>
        <w:spacing w:before="120" w:after="0" w:line="360" w:lineRule="auto"/>
        <w:rPr>
          <w:sz w:val="24"/>
          <w:szCs w:val="24"/>
        </w:rPr>
      </w:pPr>
      <w:r w:rsidRPr="005A7FF0">
        <w:rPr>
          <w:sz w:val="24"/>
          <w:szCs w:val="24"/>
        </w:rPr>
        <w:t>T</w:t>
      </w:r>
      <w:r w:rsidR="00CE3645" w:rsidRPr="005A7FF0">
        <w:rPr>
          <w:sz w:val="24"/>
          <w:szCs w:val="24"/>
        </w:rPr>
        <w:t>hree p</w:t>
      </w:r>
      <w:r w:rsidR="00F11AA4" w:rsidRPr="005A7FF0">
        <w:rPr>
          <w:sz w:val="24"/>
          <w:szCs w:val="24"/>
        </w:rPr>
        <w:t>roduct systems</w:t>
      </w:r>
      <w:r w:rsidR="00F11AA4" w:rsidRPr="005A7FF0">
        <w:rPr>
          <w:rStyle w:val="FootnoteReference"/>
          <w:sz w:val="24"/>
          <w:szCs w:val="24"/>
        </w:rPr>
        <w:footnoteReference w:id="6"/>
      </w:r>
      <w:r w:rsidR="00F11AA4" w:rsidRPr="005A7FF0">
        <w:rPr>
          <w:sz w:val="24"/>
          <w:szCs w:val="24"/>
        </w:rPr>
        <w:t xml:space="preserve"> were used</w:t>
      </w:r>
      <w:r w:rsidRPr="005A7FF0">
        <w:rPr>
          <w:sz w:val="24"/>
          <w:szCs w:val="24"/>
        </w:rPr>
        <w:t xml:space="preserve"> for the assessment</w:t>
      </w:r>
      <w:r w:rsidR="00F11AA4" w:rsidRPr="005A7FF0">
        <w:rPr>
          <w:sz w:val="24"/>
          <w:szCs w:val="24"/>
        </w:rPr>
        <w:t>:</w:t>
      </w:r>
    </w:p>
    <w:p w14:paraId="37049B54" w14:textId="57306544" w:rsidR="007B59B6" w:rsidRPr="005A7FF0" w:rsidRDefault="00F11AA4" w:rsidP="003632A1">
      <w:pPr>
        <w:spacing w:before="120" w:after="0" w:line="360" w:lineRule="auto"/>
        <w:rPr>
          <w:rFonts w:ascii="Calibri" w:eastAsia="Times New Roman" w:hAnsi="Calibri" w:cs="Calibri"/>
          <w:color w:val="000000"/>
          <w:sz w:val="24"/>
          <w:szCs w:val="24"/>
        </w:rPr>
      </w:pPr>
      <w:r w:rsidRPr="005A7FF0">
        <w:rPr>
          <w:b/>
          <w:bCs/>
          <w:sz w:val="24"/>
          <w:szCs w:val="24"/>
        </w:rPr>
        <w:t>Rapeseed, at farm (WFLDB 3.1), location Canada</w:t>
      </w:r>
      <w:r w:rsidRPr="005A7FF0">
        <w:rPr>
          <w:sz w:val="24"/>
          <w:szCs w:val="24"/>
        </w:rPr>
        <w:t>.</w:t>
      </w:r>
      <w:r w:rsidR="003C6D38" w:rsidRPr="005A7FF0">
        <w:rPr>
          <w:sz w:val="24"/>
          <w:szCs w:val="24"/>
        </w:rPr>
        <w:t xml:space="preserve"> For this</w:t>
      </w:r>
      <w:r w:rsidR="007B59B6" w:rsidRPr="005A7FF0">
        <w:rPr>
          <w:sz w:val="24"/>
          <w:szCs w:val="24"/>
        </w:rPr>
        <w:t xml:space="preserve"> system, </w:t>
      </w:r>
      <w:r w:rsidR="007B59B6" w:rsidRPr="005A7FF0">
        <w:rPr>
          <w:rFonts w:ascii="Calibri" w:eastAsia="Times New Roman" w:hAnsi="Calibri" w:cs="Calibri"/>
          <w:color w:val="000000"/>
          <w:sz w:val="24"/>
          <w:szCs w:val="24"/>
        </w:rPr>
        <w:t xml:space="preserve">the inventory includes representative production practices for non-irrigated rapeseed grain production in western Canada. Practices </w:t>
      </w:r>
      <w:r w:rsidR="00B8139C" w:rsidRPr="005A7FF0">
        <w:rPr>
          <w:rFonts w:ascii="Calibri" w:eastAsia="Times New Roman" w:hAnsi="Calibri" w:cs="Calibri"/>
          <w:color w:val="000000"/>
          <w:sz w:val="24"/>
          <w:szCs w:val="24"/>
        </w:rPr>
        <w:t>include</w:t>
      </w:r>
      <w:r w:rsidR="007B59B6" w:rsidRPr="005A7FF0">
        <w:rPr>
          <w:rFonts w:ascii="Calibri" w:eastAsia="Times New Roman" w:hAnsi="Calibri" w:cs="Calibri"/>
          <w:color w:val="000000"/>
          <w:sz w:val="24"/>
          <w:szCs w:val="24"/>
        </w:rPr>
        <w:t xml:space="preserve"> sowing, pesticide application, fertilization, harvest, grain drying</w:t>
      </w:r>
      <w:r w:rsidR="00AA3845" w:rsidRPr="005A7FF0">
        <w:rPr>
          <w:rFonts w:ascii="Calibri" w:eastAsia="Times New Roman" w:hAnsi="Calibri" w:cs="Calibri"/>
          <w:color w:val="000000"/>
          <w:sz w:val="24"/>
          <w:szCs w:val="24"/>
        </w:rPr>
        <w:t>, m</w:t>
      </w:r>
      <w:r w:rsidR="007B59B6" w:rsidRPr="005A7FF0">
        <w:rPr>
          <w:rFonts w:ascii="Calibri" w:eastAsia="Times New Roman" w:hAnsi="Calibri" w:cs="Calibri"/>
          <w:color w:val="000000"/>
          <w:sz w:val="24"/>
          <w:szCs w:val="24"/>
        </w:rPr>
        <w:t>achin</w:t>
      </w:r>
      <w:r w:rsidR="001A73E6" w:rsidRPr="005A7FF0">
        <w:rPr>
          <w:rFonts w:ascii="Calibri" w:eastAsia="Times New Roman" w:hAnsi="Calibri" w:cs="Calibri"/>
          <w:color w:val="000000"/>
          <w:sz w:val="24"/>
          <w:szCs w:val="24"/>
        </w:rPr>
        <w:t>e</w:t>
      </w:r>
      <w:r w:rsidR="007B59B6" w:rsidRPr="005A7FF0">
        <w:rPr>
          <w:rFonts w:ascii="Calibri" w:eastAsia="Times New Roman" w:hAnsi="Calibri" w:cs="Calibri"/>
          <w:color w:val="000000"/>
          <w:sz w:val="24"/>
          <w:szCs w:val="24"/>
        </w:rPr>
        <w:t xml:space="preserve"> infrastructure, fu</w:t>
      </w:r>
      <w:r w:rsidR="00AF3F45" w:rsidRPr="005A7FF0">
        <w:rPr>
          <w:rFonts w:ascii="Calibri" w:eastAsia="Times New Roman" w:hAnsi="Calibri" w:cs="Calibri"/>
          <w:color w:val="000000"/>
          <w:sz w:val="24"/>
          <w:szCs w:val="24"/>
        </w:rPr>
        <w:t>el</w:t>
      </w:r>
      <w:r w:rsidR="007B59B6" w:rsidRPr="005A7FF0">
        <w:rPr>
          <w:rFonts w:ascii="Calibri" w:eastAsia="Times New Roman" w:hAnsi="Calibri" w:cs="Calibri"/>
          <w:color w:val="000000"/>
          <w:sz w:val="24"/>
          <w:szCs w:val="24"/>
        </w:rPr>
        <w:t xml:space="preserve"> use and transport on farm.</w:t>
      </w:r>
    </w:p>
    <w:p w14:paraId="7D4A276B" w14:textId="328AF1F1" w:rsidR="00F11AA4" w:rsidRPr="005A7FF0" w:rsidRDefault="00F11AA4" w:rsidP="003632A1">
      <w:pPr>
        <w:spacing w:before="120" w:after="0" w:line="360" w:lineRule="auto"/>
        <w:rPr>
          <w:sz w:val="24"/>
          <w:szCs w:val="24"/>
        </w:rPr>
      </w:pPr>
      <w:r w:rsidRPr="005A7FF0">
        <w:rPr>
          <w:b/>
          <w:bCs/>
          <w:sz w:val="24"/>
          <w:szCs w:val="24"/>
        </w:rPr>
        <w:t>Palm fruit bunch production, on recently transformed</w:t>
      </w:r>
      <w:r w:rsidR="00AA3845" w:rsidRPr="005A7FF0">
        <w:rPr>
          <w:b/>
          <w:bCs/>
          <w:sz w:val="24"/>
          <w:szCs w:val="24"/>
        </w:rPr>
        <w:t xml:space="preserve"> land</w:t>
      </w:r>
      <w:r w:rsidRPr="005A7FF0">
        <w:rPr>
          <w:b/>
          <w:bCs/>
          <w:sz w:val="24"/>
          <w:szCs w:val="24"/>
        </w:rPr>
        <w:t>, location Malaysia</w:t>
      </w:r>
      <w:r w:rsidRPr="005A7FF0">
        <w:rPr>
          <w:sz w:val="24"/>
          <w:szCs w:val="24"/>
        </w:rPr>
        <w:t>.</w:t>
      </w:r>
      <w:r w:rsidR="00DD6562" w:rsidRPr="005A7FF0">
        <w:rPr>
          <w:sz w:val="24"/>
          <w:szCs w:val="24"/>
        </w:rPr>
        <w:t xml:space="preserve"> For this system, the inventory includes all</w:t>
      </w:r>
      <w:r w:rsidR="00737CF0" w:rsidRPr="005A7FF0">
        <w:rPr>
          <w:sz w:val="24"/>
          <w:szCs w:val="24"/>
        </w:rPr>
        <w:t xml:space="preserve"> inputs,</w:t>
      </w:r>
      <w:r w:rsidR="00DD6562" w:rsidRPr="005A7FF0">
        <w:rPr>
          <w:sz w:val="24"/>
          <w:szCs w:val="24"/>
        </w:rPr>
        <w:t xml:space="preserve"> machine operations and infrastructure</w:t>
      </w:r>
      <w:r w:rsidR="00737CF0" w:rsidRPr="005A7FF0">
        <w:rPr>
          <w:sz w:val="24"/>
          <w:szCs w:val="24"/>
        </w:rPr>
        <w:t>,</w:t>
      </w:r>
      <w:r w:rsidR="00DD6562" w:rsidRPr="005A7FF0">
        <w:rPr>
          <w:sz w:val="24"/>
          <w:szCs w:val="24"/>
        </w:rPr>
        <w:t xml:space="preserve"> use</w:t>
      </w:r>
      <w:r w:rsidR="00AA3845" w:rsidRPr="005A7FF0">
        <w:rPr>
          <w:sz w:val="24"/>
          <w:szCs w:val="24"/>
        </w:rPr>
        <w:t>d</w:t>
      </w:r>
      <w:r w:rsidR="00DD6562" w:rsidRPr="005A7FF0">
        <w:rPr>
          <w:sz w:val="24"/>
          <w:szCs w:val="24"/>
        </w:rPr>
        <w:t xml:space="preserve"> to produce 1 kg of FFB. Operations include fertilizer and pesticide application, irrigation, weed, pest and pathogen control, transport of harvested fruit to farm and clearing of the plantation. It assumes that arable land for the plantation is provided by </w:t>
      </w:r>
      <w:r w:rsidR="00162EB3" w:rsidRPr="005A7FF0">
        <w:rPr>
          <w:sz w:val="24"/>
          <w:szCs w:val="24"/>
        </w:rPr>
        <w:t xml:space="preserve">the recent </w:t>
      </w:r>
      <w:r w:rsidR="00DD6562" w:rsidRPr="005A7FF0">
        <w:rPr>
          <w:sz w:val="24"/>
          <w:szCs w:val="24"/>
        </w:rPr>
        <w:t>clear-cutting of rainforest</w:t>
      </w:r>
      <w:r w:rsidR="000E1C0F" w:rsidRPr="005A7FF0">
        <w:rPr>
          <w:sz w:val="24"/>
          <w:szCs w:val="24"/>
        </w:rPr>
        <w:t xml:space="preserve"> and a lifetime of 20 years for the plantation. Production costs are averaged across the whole lifetime of the plantation</w:t>
      </w:r>
      <w:r w:rsidR="00737CF0" w:rsidRPr="005A7FF0">
        <w:rPr>
          <w:sz w:val="24"/>
          <w:szCs w:val="24"/>
        </w:rPr>
        <w:t xml:space="preserve">. It is assumed that most operations are done by hand. This activity ends after harvest and transport to the farm at the farm gate. </w:t>
      </w:r>
    </w:p>
    <w:p w14:paraId="35982EE2" w14:textId="165FDE3B" w:rsidR="00F357EC" w:rsidRPr="005A7FF0" w:rsidRDefault="00F11AA4" w:rsidP="003632A1">
      <w:pPr>
        <w:spacing w:before="120" w:after="0" w:line="360" w:lineRule="auto"/>
        <w:rPr>
          <w:sz w:val="24"/>
          <w:szCs w:val="24"/>
        </w:rPr>
      </w:pPr>
      <w:r w:rsidRPr="005A7FF0">
        <w:rPr>
          <w:b/>
          <w:bCs/>
          <w:sz w:val="24"/>
          <w:szCs w:val="24"/>
        </w:rPr>
        <w:t>Palm fruit bunch, without deforestation, at farm gate, location Malaysia</w:t>
      </w:r>
      <w:r w:rsidR="00162EB3" w:rsidRPr="005A7FF0">
        <w:rPr>
          <w:sz w:val="24"/>
          <w:szCs w:val="24"/>
        </w:rPr>
        <w:t xml:space="preserve">. This product system is similar to the previous one, except that no recent clear-cutting of rainforest took place for its </w:t>
      </w:r>
      <w:r w:rsidR="009E27FD" w:rsidRPr="005A7FF0">
        <w:rPr>
          <w:sz w:val="24"/>
          <w:szCs w:val="24"/>
        </w:rPr>
        <w:t xml:space="preserve">establishment. Therefore, except for that aspect, operations, inputs, and assumptions are </w:t>
      </w:r>
      <w:r w:rsidR="001A73E6" w:rsidRPr="005A7FF0">
        <w:rPr>
          <w:sz w:val="24"/>
          <w:szCs w:val="24"/>
        </w:rPr>
        <w:t>similar</w:t>
      </w:r>
      <w:r w:rsidR="009E27FD" w:rsidRPr="005A7FF0">
        <w:rPr>
          <w:sz w:val="24"/>
          <w:szCs w:val="24"/>
        </w:rPr>
        <w:t>.</w:t>
      </w:r>
    </w:p>
    <w:p w14:paraId="7F78045F" w14:textId="36495B26" w:rsidR="00F33555" w:rsidRPr="005A7FF0" w:rsidRDefault="00692ABC" w:rsidP="003632A1">
      <w:pPr>
        <w:spacing w:after="0" w:line="360" w:lineRule="auto"/>
        <w:rPr>
          <w:sz w:val="24"/>
          <w:szCs w:val="24"/>
        </w:rPr>
      </w:pPr>
      <w:r w:rsidRPr="005A7FF0">
        <w:rPr>
          <w:sz w:val="24"/>
          <w:szCs w:val="24"/>
        </w:rPr>
        <w:lastRenderedPageBreak/>
        <w:t>Since 1 kg of rapeseed</w:t>
      </w:r>
      <w:r w:rsidR="001A73E6" w:rsidRPr="005A7FF0">
        <w:rPr>
          <w:sz w:val="24"/>
          <w:szCs w:val="24"/>
        </w:rPr>
        <w:t xml:space="preserve"> seed</w:t>
      </w:r>
      <w:r w:rsidRPr="005A7FF0">
        <w:rPr>
          <w:sz w:val="24"/>
          <w:szCs w:val="24"/>
        </w:rPr>
        <w:t xml:space="preserve"> </w:t>
      </w:r>
      <w:r w:rsidR="001A73E6" w:rsidRPr="005A7FF0">
        <w:rPr>
          <w:sz w:val="24"/>
          <w:szCs w:val="24"/>
        </w:rPr>
        <w:t xml:space="preserve">and </w:t>
      </w:r>
      <w:r w:rsidRPr="005A7FF0">
        <w:rPr>
          <w:sz w:val="24"/>
          <w:szCs w:val="24"/>
        </w:rPr>
        <w:t>palm</w:t>
      </w:r>
      <w:r w:rsidR="001A73E6" w:rsidRPr="005A7FF0">
        <w:rPr>
          <w:sz w:val="24"/>
          <w:szCs w:val="24"/>
        </w:rPr>
        <w:t xml:space="preserve"> </w:t>
      </w:r>
      <w:r w:rsidRPr="005A7FF0">
        <w:rPr>
          <w:sz w:val="24"/>
          <w:szCs w:val="24"/>
        </w:rPr>
        <w:t>FBB</w:t>
      </w:r>
      <w:r w:rsidR="001A73E6" w:rsidRPr="005A7FF0">
        <w:rPr>
          <w:sz w:val="24"/>
          <w:szCs w:val="24"/>
        </w:rPr>
        <w:t xml:space="preserve"> are not comparable</w:t>
      </w:r>
      <w:r w:rsidRPr="005A7FF0">
        <w:rPr>
          <w:sz w:val="24"/>
          <w:szCs w:val="24"/>
        </w:rPr>
        <w:t xml:space="preserve">, as explained above, the respective environmental impacts were calculated for the average amount of </w:t>
      </w:r>
      <w:r w:rsidR="001A73E6" w:rsidRPr="005A7FF0">
        <w:rPr>
          <w:sz w:val="24"/>
          <w:szCs w:val="24"/>
        </w:rPr>
        <w:t>seed</w:t>
      </w:r>
      <w:r w:rsidRPr="005A7FF0">
        <w:rPr>
          <w:sz w:val="24"/>
          <w:szCs w:val="24"/>
        </w:rPr>
        <w:t xml:space="preserve"> and FFB necessary to produce 1 kg of </w:t>
      </w:r>
      <w:r w:rsidR="009E702F">
        <w:rPr>
          <w:sz w:val="24"/>
          <w:szCs w:val="24"/>
        </w:rPr>
        <w:t>crude</w:t>
      </w:r>
      <w:r w:rsidRPr="005A7FF0">
        <w:rPr>
          <w:sz w:val="24"/>
          <w:szCs w:val="24"/>
        </w:rPr>
        <w:t xml:space="preserve"> rapeseed oil and crude palm oil (CPO) respectively. For rapeseed,</w:t>
      </w:r>
      <w:r w:rsidR="00F33555" w:rsidRPr="005A7FF0">
        <w:rPr>
          <w:sz w:val="24"/>
          <w:szCs w:val="24"/>
        </w:rPr>
        <w:t xml:space="preserve"> </w:t>
      </w:r>
      <w:r w:rsidR="00E567E3" w:rsidRPr="005A7FF0">
        <w:rPr>
          <w:sz w:val="24"/>
          <w:szCs w:val="24"/>
        </w:rPr>
        <w:t xml:space="preserve">the </w:t>
      </w:r>
      <w:r w:rsidR="00B86DBD" w:rsidRPr="005A7FF0">
        <w:rPr>
          <w:sz w:val="24"/>
          <w:szCs w:val="24"/>
        </w:rPr>
        <w:t xml:space="preserve">conversion rate of crushed </w:t>
      </w:r>
      <w:r w:rsidR="000C1ABB" w:rsidRPr="005A7FF0">
        <w:rPr>
          <w:sz w:val="24"/>
          <w:szCs w:val="24"/>
        </w:rPr>
        <w:t>seed</w:t>
      </w:r>
      <w:r w:rsidR="00B86DBD" w:rsidRPr="005A7FF0">
        <w:rPr>
          <w:sz w:val="24"/>
          <w:szCs w:val="24"/>
        </w:rPr>
        <w:t xml:space="preserve"> to </w:t>
      </w:r>
      <w:r w:rsidR="009E702F">
        <w:rPr>
          <w:sz w:val="24"/>
          <w:szCs w:val="24"/>
        </w:rPr>
        <w:t xml:space="preserve">crude </w:t>
      </w:r>
      <w:r w:rsidR="00B86DBD" w:rsidRPr="005A7FF0">
        <w:rPr>
          <w:sz w:val="24"/>
          <w:szCs w:val="24"/>
        </w:rPr>
        <w:t xml:space="preserve">oil </w:t>
      </w:r>
      <w:r w:rsidR="009E702F">
        <w:rPr>
          <w:sz w:val="24"/>
          <w:szCs w:val="24"/>
        </w:rPr>
        <w:t>is</w:t>
      </w:r>
      <w:r w:rsidR="00F33555" w:rsidRPr="005A7FF0">
        <w:rPr>
          <w:sz w:val="24"/>
          <w:szCs w:val="24"/>
        </w:rPr>
        <w:t xml:space="preserve"> 0.4387 </w:t>
      </w:r>
      <w:r w:rsidR="009E702F">
        <w:rPr>
          <w:sz w:val="24"/>
          <w:szCs w:val="24"/>
        </w:rPr>
        <w:t xml:space="preserve">and it </w:t>
      </w:r>
      <w:r w:rsidR="00F33555" w:rsidRPr="005A7FF0">
        <w:rPr>
          <w:sz w:val="24"/>
          <w:szCs w:val="24"/>
        </w:rPr>
        <w:t>was calculated</w:t>
      </w:r>
      <w:r w:rsidR="00B86DBD" w:rsidRPr="005A7FF0">
        <w:rPr>
          <w:sz w:val="24"/>
          <w:szCs w:val="24"/>
        </w:rPr>
        <w:t xml:space="preserve"> </w:t>
      </w:r>
      <w:r w:rsidR="00F33555" w:rsidRPr="005A7FF0">
        <w:rPr>
          <w:sz w:val="24"/>
          <w:szCs w:val="24"/>
        </w:rPr>
        <w:t xml:space="preserve">based on data </w:t>
      </w:r>
      <w:r w:rsidR="00B86DBD" w:rsidRPr="005A7FF0">
        <w:rPr>
          <w:sz w:val="24"/>
          <w:szCs w:val="24"/>
        </w:rPr>
        <w:t>from</w:t>
      </w:r>
      <w:r w:rsidR="00F33555" w:rsidRPr="005A7FF0">
        <w:rPr>
          <w:sz w:val="24"/>
          <w:szCs w:val="24"/>
        </w:rPr>
        <w:t xml:space="preserve"> Statistics Canada,</w:t>
      </w:r>
      <w:r w:rsidR="00B86DBD" w:rsidRPr="005A7FF0">
        <w:rPr>
          <w:sz w:val="24"/>
          <w:szCs w:val="24"/>
        </w:rPr>
        <w:t xml:space="preserve"> </w:t>
      </w:r>
      <w:r w:rsidR="000C1ABB" w:rsidRPr="005A7FF0">
        <w:rPr>
          <w:sz w:val="24"/>
          <w:szCs w:val="24"/>
        </w:rPr>
        <w:t>“</w:t>
      </w:r>
      <w:r w:rsidR="000C1ABB" w:rsidRPr="005A7FF0">
        <w:rPr>
          <w:rFonts w:ascii="Calibri" w:eastAsia="Times New Roman" w:hAnsi="Calibri" w:cs="Calibri"/>
          <w:color w:val="000000"/>
          <w:sz w:val="24"/>
          <w:szCs w:val="24"/>
        </w:rPr>
        <w:t>Crushing statistics of major oilseeds”</w:t>
      </w:r>
      <w:r w:rsidR="00F33555" w:rsidRPr="005A7FF0">
        <w:rPr>
          <w:rFonts w:ascii="Calibri" w:eastAsia="Times New Roman" w:hAnsi="Calibri" w:cs="Calibri"/>
          <w:color w:val="000000"/>
          <w:sz w:val="24"/>
          <w:szCs w:val="24"/>
        </w:rPr>
        <w:t xml:space="preserve"> (</w:t>
      </w:r>
      <w:hyperlink r:id="rId12" w:history="1">
        <w:r w:rsidR="00F33555" w:rsidRPr="005A7FF0">
          <w:rPr>
            <w:rStyle w:val="Hyperlink"/>
            <w:sz w:val="24"/>
            <w:szCs w:val="24"/>
          </w:rPr>
          <w:t>Table 32-10-0352-01 Crushing statistics of major oilseeds</w:t>
        </w:r>
      </w:hyperlink>
      <w:r w:rsidR="00F33555" w:rsidRPr="005A7FF0">
        <w:rPr>
          <w:sz w:val="24"/>
          <w:szCs w:val="24"/>
        </w:rPr>
        <w:t xml:space="preserve">, </w:t>
      </w:r>
      <w:hyperlink r:id="rId13" w:history="1">
        <w:r w:rsidR="00F33555" w:rsidRPr="005A7FF0">
          <w:rPr>
            <w:rStyle w:val="Hyperlink"/>
            <w:sz w:val="24"/>
            <w:szCs w:val="24"/>
          </w:rPr>
          <w:t>https://doi.org/10.25318/3210035201-eng</w:t>
        </w:r>
      </w:hyperlink>
      <w:r w:rsidR="00F33555" w:rsidRPr="005A7FF0">
        <w:rPr>
          <w:sz w:val="24"/>
          <w:szCs w:val="24"/>
        </w:rPr>
        <w:t xml:space="preserve">). This means that 1 kg of crushed seed yields approximately 438.7 grams of oil. Therefore, 2.2794 kg of crushed canola seed are necessary to produce 1 kg of oil. </w:t>
      </w:r>
      <w:r w:rsidR="0025732A" w:rsidRPr="005A7FF0">
        <w:rPr>
          <w:sz w:val="24"/>
          <w:szCs w:val="24"/>
        </w:rPr>
        <w:t xml:space="preserve">For FFB, according to Hashim et al. </w:t>
      </w:r>
      <w:r w:rsidR="000E71CB" w:rsidRPr="005A7FF0">
        <w:rPr>
          <w:sz w:val="24"/>
          <w:szCs w:val="24"/>
        </w:rPr>
        <w:t>(</w:t>
      </w:r>
      <w:r w:rsidR="001B1B94" w:rsidRPr="005A7FF0">
        <w:rPr>
          <w:sz w:val="24"/>
          <w:szCs w:val="24"/>
        </w:rPr>
        <w:t>2012</w:t>
      </w:r>
      <w:r w:rsidR="000E71CB" w:rsidRPr="005A7FF0">
        <w:rPr>
          <w:sz w:val="24"/>
          <w:szCs w:val="24"/>
        </w:rPr>
        <w:t xml:space="preserve">) </w:t>
      </w:r>
      <w:r w:rsidR="0025732A" w:rsidRPr="005A7FF0">
        <w:rPr>
          <w:sz w:val="24"/>
          <w:szCs w:val="24"/>
        </w:rPr>
        <w:t xml:space="preserve">the typical crude extraction rate during the milling process is between 18-23% by weight of FFB. </w:t>
      </w:r>
      <w:proofErr w:type="spellStart"/>
      <w:r w:rsidR="005C73FB" w:rsidRPr="005A7FF0">
        <w:rPr>
          <w:sz w:val="24"/>
          <w:szCs w:val="24"/>
        </w:rPr>
        <w:t>Parveez</w:t>
      </w:r>
      <w:proofErr w:type="spellEnd"/>
      <w:r w:rsidR="005C73FB" w:rsidRPr="005A7FF0">
        <w:rPr>
          <w:sz w:val="24"/>
          <w:szCs w:val="24"/>
        </w:rPr>
        <w:t xml:space="preserve"> et al. (2022) report an extraction rate for Malaysia of 19.92% for 2020. This is the ratio used here. </w:t>
      </w:r>
      <w:r w:rsidR="00EC7FD0" w:rsidRPr="005A7FF0">
        <w:rPr>
          <w:sz w:val="24"/>
          <w:szCs w:val="24"/>
        </w:rPr>
        <w:t xml:space="preserve">This means that 1 kg of FFB yields approximately </w:t>
      </w:r>
      <w:r w:rsidR="005C73FB" w:rsidRPr="005A7FF0">
        <w:rPr>
          <w:sz w:val="24"/>
          <w:szCs w:val="24"/>
        </w:rPr>
        <w:t>199.2</w:t>
      </w:r>
      <w:r w:rsidR="00EC7FD0" w:rsidRPr="005A7FF0">
        <w:rPr>
          <w:sz w:val="24"/>
          <w:szCs w:val="24"/>
        </w:rPr>
        <w:t xml:space="preserve"> grams of CPO. Therefore, </w:t>
      </w:r>
      <w:r w:rsidR="005C73FB" w:rsidRPr="005A7FF0">
        <w:rPr>
          <w:sz w:val="24"/>
          <w:szCs w:val="24"/>
        </w:rPr>
        <w:t>5.0201</w:t>
      </w:r>
      <w:r w:rsidR="00EC7FD0" w:rsidRPr="005A7FF0">
        <w:rPr>
          <w:sz w:val="24"/>
          <w:szCs w:val="24"/>
        </w:rPr>
        <w:t xml:space="preserve"> kg of FFB are needed to produce 1 kg of CPO. </w:t>
      </w:r>
    </w:p>
    <w:p w14:paraId="486257BB" w14:textId="025E4380" w:rsidR="00F33555" w:rsidRPr="005A7FF0" w:rsidRDefault="000156E6" w:rsidP="003632A1">
      <w:pPr>
        <w:spacing w:before="120" w:after="0" w:line="360" w:lineRule="auto"/>
        <w:rPr>
          <w:sz w:val="24"/>
          <w:szCs w:val="24"/>
        </w:rPr>
      </w:pPr>
      <w:r w:rsidRPr="005A7FF0">
        <w:rPr>
          <w:sz w:val="24"/>
          <w:szCs w:val="24"/>
        </w:rPr>
        <w:t xml:space="preserve">The environmental impacts were calculated per kg of oil, but also per hectare. To accomplish this, the average yields of rapeseed for Saskatchewan, Canada and for FFB from Sabah and Sarawak, Malaysia for 2020 were used. </w:t>
      </w:r>
      <w:r w:rsidR="005459EE" w:rsidRPr="005A7FF0">
        <w:rPr>
          <w:sz w:val="24"/>
          <w:szCs w:val="24"/>
        </w:rPr>
        <w:t>The key parameters used in this assessment are presented in Table 1.</w:t>
      </w:r>
    </w:p>
    <w:p w14:paraId="736515A2" w14:textId="77777777" w:rsidR="00A04486" w:rsidRPr="005A7FF0" w:rsidRDefault="00A04486">
      <w:pPr>
        <w:rPr>
          <w:rFonts w:ascii="Calibri" w:eastAsia="Times New Roman" w:hAnsi="Calibri" w:cs="Calibri"/>
          <w:color w:val="000000"/>
          <w:sz w:val="24"/>
          <w:szCs w:val="24"/>
        </w:rPr>
      </w:pPr>
      <w:r w:rsidRPr="005A7FF0">
        <w:rPr>
          <w:rFonts w:ascii="Calibri" w:eastAsia="Times New Roman" w:hAnsi="Calibri" w:cs="Calibri"/>
          <w:color w:val="000000"/>
          <w:sz w:val="24"/>
          <w:szCs w:val="24"/>
        </w:rPr>
        <w:br w:type="page"/>
      </w:r>
    </w:p>
    <w:p w14:paraId="79DE29F2" w14:textId="0917DC24" w:rsidR="00F33555" w:rsidRPr="005A7FF0" w:rsidRDefault="00803E63" w:rsidP="003632A1">
      <w:pPr>
        <w:spacing w:before="120"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lastRenderedPageBreak/>
        <w:t>Table 1. Parameters used in assessment</w:t>
      </w:r>
      <w:r w:rsidR="00C63AEC" w:rsidRPr="005A7FF0">
        <w:rPr>
          <w:rFonts w:ascii="Calibri" w:eastAsia="Times New Roman" w:hAnsi="Calibri" w:cs="Calibri"/>
          <w:color w:val="000000"/>
          <w:sz w:val="24"/>
          <w:szCs w:val="24"/>
        </w:rPr>
        <w:t xml:space="preserve"> (year 2020)</w:t>
      </w:r>
    </w:p>
    <w:tbl>
      <w:tblPr>
        <w:tblStyle w:val="TableGrid"/>
        <w:tblW w:w="0" w:type="auto"/>
        <w:tblLook w:val="04A0" w:firstRow="1" w:lastRow="0" w:firstColumn="1" w:lastColumn="0" w:noHBand="0" w:noVBand="1"/>
      </w:tblPr>
      <w:tblGrid>
        <w:gridCol w:w="4931"/>
        <w:gridCol w:w="2141"/>
        <w:gridCol w:w="2278"/>
      </w:tblGrid>
      <w:tr w:rsidR="00E0323E" w:rsidRPr="005A7FF0" w14:paraId="2BBFD156" w14:textId="77777777" w:rsidTr="00803E63">
        <w:tc>
          <w:tcPr>
            <w:tcW w:w="0" w:type="auto"/>
          </w:tcPr>
          <w:p w14:paraId="72B7D505" w14:textId="77777777" w:rsidR="00EF7713" w:rsidRPr="005A7FF0" w:rsidRDefault="00EF7713" w:rsidP="003632A1">
            <w:pPr>
              <w:spacing w:before="120" w:line="360" w:lineRule="auto"/>
              <w:rPr>
                <w:sz w:val="24"/>
                <w:szCs w:val="24"/>
              </w:rPr>
            </w:pPr>
          </w:p>
        </w:tc>
        <w:tc>
          <w:tcPr>
            <w:tcW w:w="0" w:type="auto"/>
          </w:tcPr>
          <w:p w14:paraId="117414BC" w14:textId="258D4089" w:rsidR="00EF7713" w:rsidRPr="005A7FF0" w:rsidRDefault="00EF7713" w:rsidP="003632A1">
            <w:pPr>
              <w:spacing w:before="120" w:line="360" w:lineRule="auto"/>
              <w:jc w:val="center"/>
              <w:rPr>
                <w:sz w:val="24"/>
                <w:szCs w:val="24"/>
              </w:rPr>
            </w:pPr>
            <w:r w:rsidRPr="005A7FF0">
              <w:rPr>
                <w:sz w:val="24"/>
                <w:szCs w:val="24"/>
              </w:rPr>
              <w:t>Rapeseed</w:t>
            </w:r>
            <w:r w:rsidR="0045087A" w:rsidRPr="005A7FF0">
              <w:rPr>
                <w:sz w:val="24"/>
                <w:szCs w:val="24"/>
                <w:vertAlign w:val="superscript"/>
              </w:rPr>
              <w:t>1</w:t>
            </w:r>
          </w:p>
        </w:tc>
        <w:tc>
          <w:tcPr>
            <w:tcW w:w="0" w:type="auto"/>
          </w:tcPr>
          <w:p w14:paraId="2D4C23C6" w14:textId="36F17BFF" w:rsidR="00EF7713" w:rsidRPr="005A7FF0" w:rsidRDefault="00EF7713" w:rsidP="003632A1">
            <w:pPr>
              <w:spacing w:before="120" w:line="360" w:lineRule="auto"/>
              <w:jc w:val="center"/>
              <w:rPr>
                <w:sz w:val="24"/>
                <w:szCs w:val="24"/>
              </w:rPr>
            </w:pPr>
            <w:r w:rsidRPr="005A7FF0">
              <w:rPr>
                <w:sz w:val="24"/>
                <w:szCs w:val="24"/>
              </w:rPr>
              <w:t>African palm</w:t>
            </w:r>
            <w:r w:rsidR="0045087A" w:rsidRPr="005A7FF0">
              <w:rPr>
                <w:sz w:val="24"/>
                <w:szCs w:val="24"/>
                <w:vertAlign w:val="superscript"/>
              </w:rPr>
              <w:t>2</w:t>
            </w:r>
          </w:p>
        </w:tc>
      </w:tr>
      <w:tr w:rsidR="00E0323E" w:rsidRPr="005A7FF0" w14:paraId="4D2520B0" w14:textId="77777777" w:rsidTr="00803E63">
        <w:tc>
          <w:tcPr>
            <w:tcW w:w="0" w:type="auto"/>
          </w:tcPr>
          <w:p w14:paraId="7A337FF1" w14:textId="19FDD149" w:rsidR="00EF7713" w:rsidRPr="005A7FF0" w:rsidRDefault="00803E63" w:rsidP="003632A1">
            <w:pPr>
              <w:spacing w:before="120" w:line="360" w:lineRule="auto"/>
              <w:rPr>
                <w:sz w:val="24"/>
                <w:szCs w:val="24"/>
              </w:rPr>
            </w:pPr>
            <w:r w:rsidRPr="005A7FF0">
              <w:rPr>
                <w:sz w:val="24"/>
                <w:szCs w:val="24"/>
              </w:rPr>
              <w:t>Location</w:t>
            </w:r>
          </w:p>
        </w:tc>
        <w:tc>
          <w:tcPr>
            <w:tcW w:w="0" w:type="auto"/>
          </w:tcPr>
          <w:p w14:paraId="24C043E7" w14:textId="578E2BB0" w:rsidR="00EF7713" w:rsidRPr="005A7FF0" w:rsidRDefault="00EF7713" w:rsidP="003632A1">
            <w:pPr>
              <w:spacing w:before="120" w:line="360" w:lineRule="auto"/>
              <w:jc w:val="center"/>
              <w:rPr>
                <w:sz w:val="24"/>
                <w:szCs w:val="24"/>
              </w:rPr>
            </w:pPr>
            <w:r w:rsidRPr="005A7FF0">
              <w:rPr>
                <w:sz w:val="24"/>
                <w:szCs w:val="24"/>
              </w:rPr>
              <w:t>Saskatchewan, Canada</w:t>
            </w:r>
          </w:p>
        </w:tc>
        <w:tc>
          <w:tcPr>
            <w:tcW w:w="0" w:type="auto"/>
          </w:tcPr>
          <w:p w14:paraId="7EF9B86D" w14:textId="4A7602FC" w:rsidR="00EF7713" w:rsidRPr="005A7FF0" w:rsidRDefault="00EF7713" w:rsidP="003632A1">
            <w:pPr>
              <w:spacing w:before="120" w:line="360" w:lineRule="auto"/>
              <w:jc w:val="center"/>
              <w:rPr>
                <w:sz w:val="24"/>
                <w:szCs w:val="24"/>
              </w:rPr>
            </w:pPr>
            <w:r w:rsidRPr="005A7FF0">
              <w:rPr>
                <w:sz w:val="24"/>
                <w:szCs w:val="24"/>
              </w:rPr>
              <w:t>Sabah &amp; Sarawak, Malaysia</w:t>
            </w:r>
          </w:p>
        </w:tc>
      </w:tr>
      <w:tr w:rsidR="00E0323E" w:rsidRPr="005A7FF0" w14:paraId="177FA08B" w14:textId="77777777" w:rsidTr="00803E63">
        <w:tc>
          <w:tcPr>
            <w:tcW w:w="0" w:type="auto"/>
          </w:tcPr>
          <w:p w14:paraId="78CE9E77" w14:textId="0DA44666" w:rsidR="00EF7713" w:rsidRPr="005A7FF0" w:rsidRDefault="00EF7713" w:rsidP="003632A1">
            <w:pPr>
              <w:spacing w:before="120" w:line="360" w:lineRule="auto"/>
              <w:rPr>
                <w:sz w:val="24"/>
                <w:szCs w:val="24"/>
              </w:rPr>
            </w:pPr>
            <w:r w:rsidRPr="005A7FF0">
              <w:rPr>
                <w:sz w:val="24"/>
                <w:szCs w:val="24"/>
              </w:rPr>
              <w:t>Oil content</w:t>
            </w:r>
          </w:p>
        </w:tc>
        <w:tc>
          <w:tcPr>
            <w:tcW w:w="0" w:type="auto"/>
          </w:tcPr>
          <w:p w14:paraId="29A22D59" w14:textId="4C29B2DE" w:rsidR="00EF7713" w:rsidRPr="005A7FF0" w:rsidRDefault="00EF7713" w:rsidP="003632A1">
            <w:pPr>
              <w:spacing w:before="120" w:line="360" w:lineRule="auto"/>
              <w:jc w:val="center"/>
              <w:rPr>
                <w:sz w:val="24"/>
                <w:szCs w:val="24"/>
              </w:rPr>
            </w:pPr>
            <w:r w:rsidRPr="005A7FF0">
              <w:rPr>
                <w:sz w:val="24"/>
                <w:szCs w:val="24"/>
              </w:rPr>
              <w:t>0.4387</w:t>
            </w:r>
          </w:p>
        </w:tc>
        <w:tc>
          <w:tcPr>
            <w:tcW w:w="0" w:type="auto"/>
          </w:tcPr>
          <w:p w14:paraId="4DB27B62" w14:textId="44524CFE" w:rsidR="00EF7713" w:rsidRPr="005A7FF0" w:rsidRDefault="00EF7713" w:rsidP="003632A1">
            <w:pPr>
              <w:spacing w:before="120" w:line="360" w:lineRule="auto"/>
              <w:jc w:val="center"/>
              <w:rPr>
                <w:sz w:val="24"/>
                <w:szCs w:val="24"/>
              </w:rPr>
            </w:pPr>
            <w:r w:rsidRPr="005A7FF0">
              <w:rPr>
                <w:sz w:val="24"/>
                <w:szCs w:val="24"/>
              </w:rPr>
              <w:t>0.</w:t>
            </w:r>
            <w:r w:rsidR="00A0349D" w:rsidRPr="005A7FF0">
              <w:rPr>
                <w:sz w:val="24"/>
                <w:szCs w:val="24"/>
              </w:rPr>
              <w:t>1992</w:t>
            </w:r>
          </w:p>
        </w:tc>
      </w:tr>
      <w:tr w:rsidR="00E0323E" w:rsidRPr="005A7FF0" w14:paraId="00AB77E9" w14:textId="77777777" w:rsidTr="00803E63">
        <w:tc>
          <w:tcPr>
            <w:tcW w:w="0" w:type="auto"/>
          </w:tcPr>
          <w:p w14:paraId="163EA427" w14:textId="33ADFA21" w:rsidR="00EF7713" w:rsidRPr="005A7FF0" w:rsidRDefault="00EF7713" w:rsidP="003632A1">
            <w:pPr>
              <w:spacing w:before="120" w:line="360" w:lineRule="auto"/>
              <w:rPr>
                <w:sz w:val="24"/>
                <w:szCs w:val="24"/>
              </w:rPr>
            </w:pPr>
            <w:r w:rsidRPr="005A7FF0">
              <w:rPr>
                <w:sz w:val="24"/>
                <w:szCs w:val="24"/>
              </w:rPr>
              <w:t>Kg of seed/FFB needed to produce 1 kg of oil</w:t>
            </w:r>
          </w:p>
        </w:tc>
        <w:tc>
          <w:tcPr>
            <w:tcW w:w="0" w:type="auto"/>
          </w:tcPr>
          <w:p w14:paraId="7C2C33B9" w14:textId="262EE289" w:rsidR="00EF7713" w:rsidRPr="005A7FF0" w:rsidRDefault="00EF7713" w:rsidP="003632A1">
            <w:pPr>
              <w:spacing w:before="120" w:line="360" w:lineRule="auto"/>
              <w:jc w:val="center"/>
              <w:rPr>
                <w:sz w:val="24"/>
                <w:szCs w:val="24"/>
              </w:rPr>
            </w:pPr>
            <w:r w:rsidRPr="005A7FF0">
              <w:rPr>
                <w:sz w:val="24"/>
                <w:szCs w:val="24"/>
              </w:rPr>
              <w:t>2.2794</w:t>
            </w:r>
          </w:p>
        </w:tc>
        <w:tc>
          <w:tcPr>
            <w:tcW w:w="0" w:type="auto"/>
          </w:tcPr>
          <w:p w14:paraId="46C92BF4" w14:textId="322C6DFD" w:rsidR="00EF7713" w:rsidRPr="005A7FF0" w:rsidRDefault="00A0349D" w:rsidP="003632A1">
            <w:pPr>
              <w:spacing w:before="120" w:line="360" w:lineRule="auto"/>
              <w:jc w:val="center"/>
              <w:rPr>
                <w:sz w:val="24"/>
                <w:szCs w:val="24"/>
              </w:rPr>
            </w:pPr>
            <w:r w:rsidRPr="005A7FF0">
              <w:rPr>
                <w:sz w:val="24"/>
                <w:szCs w:val="24"/>
              </w:rPr>
              <w:t>5.0201</w:t>
            </w:r>
          </w:p>
        </w:tc>
      </w:tr>
      <w:tr w:rsidR="00E0323E" w:rsidRPr="005A7FF0" w14:paraId="094C0762" w14:textId="77777777" w:rsidTr="00803E63">
        <w:tc>
          <w:tcPr>
            <w:tcW w:w="0" w:type="auto"/>
          </w:tcPr>
          <w:p w14:paraId="61FB0288" w14:textId="54E60C17" w:rsidR="00EF7713" w:rsidRPr="005A7FF0" w:rsidRDefault="00EF7713" w:rsidP="003632A1">
            <w:pPr>
              <w:spacing w:before="120" w:line="360" w:lineRule="auto"/>
              <w:rPr>
                <w:sz w:val="24"/>
                <w:szCs w:val="24"/>
              </w:rPr>
            </w:pPr>
            <w:r w:rsidRPr="005A7FF0">
              <w:rPr>
                <w:sz w:val="24"/>
                <w:szCs w:val="24"/>
              </w:rPr>
              <w:t>Average yield</w:t>
            </w:r>
            <w:r w:rsidR="00CF4E9F" w:rsidRPr="005A7FF0">
              <w:rPr>
                <w:sz w:val="24"/>
                <w:szCs w:val="24"/>
              </w:rPr>
              <w:t>,</w:t>
            </w:r>
            <w:r w:rsidR="00B11341" w:rsidRPr="005A7FF0">
              <w:rPr>
                <w:sz w:val="24"/>
                <w:szCs w:val="24"/>
              </w:rPr>
              <w:t xml:space="preserve"> seed/FFB</w:t>
            </w:r>
            <w:r w:rsidRPr="005A7FF0">
              <w:rPr>
                <w:sz w:val="24"/>
                <w:szCs w:val="24"/>
              </w:rPr>
              <w:t xml:space="preserve"> (ton/ha)</w:t>
            </w:r>
          </w:p>
        </w:tc>
        <w:tc>
          <w:tcPr>
            <w:tcW w:w="0" w:type="auto"/>
          </w:tcPr>
          <w:p w14:paraId="759D1084" w14:textId="1C808E30" w:rsidR="00EF7713" w:rsidRPr="005A7FF0" w:rsidRDefault="004F6663" w:rsidP="003632A1">
            <w:pPr>
              <w:spacing w:before="120" w:line="360" w:lineRule="auto"/>
              <w:jc w:val="center"/>
              <w:rPr>
                <w:sz w:val="24"/>
                <w:szCs w:val="24"/>
              </w:rPr>
            </w:pPr>
            <w:r w:rsidRPr="005A7FF0">
              <w:rPr>
                <w:sz w:val="24"/>
                <w:szCs w:val="24"/>
              </w:rPr>
              <w:t>2.395</w:t>
            </w:r>
          </w:p>
        </w:tc>
        <w:tc>
          <w:tcPr>
            <w:tcW w:w="0" w:type="auto"/>
          </w:tcPr>
          <w:p w14:paraId="258F947C" w14:textId="03ECC76B" w:rsidR="00EF7713" w:rsidRPr="005A7FF0" w:rsidRDefault="006355D5" w:rsidP="003632A1">
            <w:pPr>
              <w:spacing w:before="120" w:line="360" w:lineRule="auto"/>
              <w:jc w:val="center"/>
              <w:rPr>
                <w:sz w:val="24"/>
                <w:szCs w:val="24"/>
              </w:rPr>
            </w:pPr>
            <w:r w:rsidRPr="005A7FF0">
              <w:rPr>
                <w:sz w:val="24"/>
                <w:szCs w:val="24"/>
              </w:rPr>
              <w:t>15.915</w:t>
            </w:r>
          </w:p>
        </w:tc>
      </w:tr>
      <w:tr w:rsidR="00E0323E" w:rsidRPr="005A7FF0" w14:paraId="19106C1D" w14:textId="77777777" w:rsidTr="00803E63">
        <w:tc>
          <w:tcPr>
            <w:tcW w:w="0" w:type="auto"/>
          </w:tcPr>
          <w:p w14:paraId="69B728B1" w14:textId="3CCAF4CF" w:rsidR="00A250FB" w:rsidRPr="005A7FF0" w:rsidRDefault="00A250FB" w:rsidP="003632A1">
            <w:pPr>
              <w:spacing w:before="120" w:line="360" w:lineRule="auto"/>
              <w:rPr>
                <w:sz w:val="24"/>
                <w:szCs w:val="24"/>
              </w:rPr>
            </w:pPr>
            <w:r w:rsidRPr="005A7FF0">
              <w:rPr>
                <w:sz w:val="24"/>
                <w:szCs w:val="24"/>
              </w:rPr>
              <w:t>Average oil yield (ton/ha)</w:t>
            </w:r>
          </w:p>
        </w:tc>
        <w:tc>
          <w:tcPr>
            <w:tcW w:w="0" w:type="auto"/>
          </w:tcPr>
          <w:p w14:paraId="32A0EB96" w14:textId="67F2C772" w:rsidR="00A250FB" w:rsidRPr="005A7FF0" w:rsidRDefault="0033178E" w:rsidP="003632A1">
            <w:pPr>
              <w:spacing w:before="120" w:line="360" w:lineRule="auto"/>
              <w:jc w:val="center"/>
              <w:rPr>
                <w:sz w:val="24"/>
                <w:szCs w:val="24"/>
              </w:rPr>
            </w:pPr>
            <w:r w:rsidRPr="005A7FF0">
              <w:rPr>
                <w:sz w:val="24"/>
                <w:szCs w:val="24"/>
              </w:rPr>
              <w:t>1.051</w:t>
            </w:r>
          </w:p>
        </w:tc>
        <w:tc>
          <w:tcPr>
            <w:tcW w:w="0" w:type="auto"/>
          </w:tcPr>
          <w:p w14:paraId="627AB8CD" w14:textId="6E67C735" w:rsidR="00A250FB" w:rsidRPr="005A7FF0" w:rsidRDefault="00A0349D" w:rsidP="003632A1">
            <w:pPr>
              <w:spacing w:before="120" w:line="360" w:lineRule="auto"/>
              <w:jc w:val="center"/>
              <w:rPr>
                <w:sz w:val="24"/>
                <w:szCs w:val="24"/>
              </w:rPr>
            </w:pPr>
            <w:r w:rsidRPr="005A7FF0">
              <w:rPr>
                <w:sz w:val="24"/>
                <w:szCs w:val="24"/>
              </w:rPr>
              <w:t>3.170</w:t>
            </w:r>
          </w:p>
        </w:tc>
      </w:tr>
      <w:tr w:rsidR="00E0323E" w:rsidRPr="005A7FF0" w14:paraId="511E91F1" w14:textId="77777777" w:rsidTr="00803E63">
        <w:tc>
          <w:tcPr>
            <w:tcW w:w="0" w:type="auto"/>
          </w:tcPr>
          <w:p w14:paraId="0C4F8778" w14:textId="677B27AE" w:rsidR="00A371D5" w:rsidRPr="005A7FF0" w:rsidRDefault="00A371D5" w:rsidP="003632A1">
            <w:pPr>
              <w:spacing w:before="120" w:line="360" w:lineRule="auto"/>
              <w:rPr>
                <w:sz w:val="24"/>
                <w:szCs w:val="24"/>
              </w:rPr>
            </w:pPr>
            <w:r w:rsidRPr="005A7FF0">
              <w:rPr>
                <w:sz w:val="24"/>
                <w:szCs w:val="24"/>
              </w:rPr>
              <w:t xml:space="preserve">Area needed to produce 1 </w:t>
            </w:r>
            <w:r w:rsidR="00E0323E" w:rsidRPr="005A7FF0">
              <w:rPr>
                <w:sz w:val="24"/>
                <w:szCs w:val="24"/>
              </w:rPr>
              <w:t>kg</w:t>
            </w:r>
            <w:r w:rsidRPr="005A7FF0">
              <w:rPr>
                <w:sz w:val="24"/>
                <w:szCs w:val="24"/>
              </w:rPr>
              <w:t xml:space="preserve"> of oil (inverse of yield</w:t>
            </w:r>
            <w:r w:rsidR="00E0323E" w:rsidRPr="005A7FF0">
              <w:rPr>
                <w:sz w:val="24"/>
                <w:szCs w:val="24"/>
              </w:rPr>
              <w:t xml:space="preserve"> expressed in m</w:t>
            </w:r>
            <w:r w:rsidR="00E0323E" w:rsidRPr="005A7FF0">
              <w:rPr>
                <w:sz w:val="24"/>
                <w:szCs w:val="24"/>
                <w:vertAlign w:val="superscript"/>
              </w:rPr>
              <w:t>2</w:t>
            </w:r>
            <w:r w:rsidR="00E0323E" w:rsidRPr="005A7FF0">
              <w:rPr>
                <w:sz w:val="24"/>
                <w:szCs w:val="24"/>
              </w:rPr>
              <w:t>/kg</w:t>
            </w:r>
            <w:r w:rsidRPr="005A7FF0">
              <w:rPr>
                <w:sz w:val="24"/>
                <w:szCs w:val="24"/>
              </w:rPr>
              <w:t>)</w:t>
            </w:r>
          </w:p>
        </w:tc>
        <w:tc>
          <w:tcPr>
            <w:tcW w:w="0" w:type="auto"/>
          </w:tcPr>
          <w:p w14:paraId="620CB293" w14:textId="0A8B91E7" w:rsidR="00A371D5" w:rsidRPr="005A7FF0" w:rsidRDefault="00A371D5" w:rsidP="003632A1">
            <w:pPr>
              <w:spacing w:before="120" w:line="360" w:lineRule="auto"/>
              <w:jc w:val="center"/>
              <w:rPr>
                <w:sz w:val="24"/>
                <w:szCs w:val="24"/>
              </w:rPr>
            </w:pPr>
            <w:r w:rsidRPr="005A7FF0">
              <w:rPr>
                <w:sz w:val="24"/>
                <w:szCs w:val="24"/>
              </w:rPr>
              <w:t>9</w:t>
            </w:r>
            <w:r w:rsidR="0050115B" w:rsidRPr="005A7FF0">
              <w:rPr>
                <w:sz w:val="24"/>
                <w:szCs w:val="24"/>
              </w:rPr>
              <w:t>.</w:t>
            </w:r>
            <w:r w:rsidRPr="005A7FF0">
              <w:rPr>
                <w:sz w:val="24"/>
                <w:szCs w:val="24"/>
              </w:rPr>
              <w:t>5</w:t>
            </w:r>
            <w:r w:rsidR="00480A47" w:rsidRPr="005A7FF0">
              <w:rPr>
                <w:sz w:val="24"/>
                <w:szCs w:val="24"/>
              </w:rPr>
              <w:t>15</w:t>
            </w:r>
          </w:p>
        </w:tc>
        <w:tc>
          <w:tcPr>
            <w:tcW w:w="0" w:type="auto"/>
          </w:tcPr>
          <w:p w14:paraId="1C2BA325" w14:textId="0AA8DD3A" w:rsidR="00A371D5" w:rsidRPr="005A7FF0" w:rsidRDefault="00D209CB" w:rsidP="003632A1">
            <w:pPr>
              <w:spacing w:before="120" w:line="360" w:lineRule="auto"/>
              <w:jc w:val="center"/>
              <w:rPr>
                <w:sz w:val="24"/>
                <w:szCs w:val="24"/>
              </w:rPr>
            </w:pPr>
            <w:r w:rsidRPr="005A7FF0">
              <w:rPr>
                <w:sz w:val="24"/>
                <w:szCs w:val="24"/>
              </w:rPr>
              <w:t>3</w:t>
            </w:r>
            <w:r w:rsidR="0050115B" w:rsidRPr="005A7FF0">
              <w:rPr>
                <w:sz w:val="24"/>
                <w:szCs w:val="24"/>
              </w:rPr>
              <w:t>.</w:t>
            </w:r>
            <w:r w:rsidR="00A0349D" w:rsidRPr="005A7FF0">
              <w:rPr>
                <w:sz w:val="24"/>
                <w:szCs w:val="24"/>
              </w:rPr>
              <w:t>15</w:t>
            </w:r>
            <w:r w:rsidR="00480A47" w:rsidRPr="005A7FF0">
              <w:rPr>
                <w:sz w:val="24"/>
                <w:szCs w:val="24"/>
              </w:rPr>
              <w:t>5</w:t>
            </w:r>
          </w:p>
        </w:tc>
      </w:tr>
      <w:tr w:rsidR="00E0323E" w:rsidRPr="005A7FF0" w14:paraId="1B5A3EAB" w14:textId="77777777" w:rsidTr="00803E63">
        <w:tc>
          <w:tcPr>
            <w:tcW w:w="0" w:type="auto"/>
          </w:tcPr>
          <w:p w14:paraId="4D23D214" w14:textId="1A5F4AC4" w:rsidR="00EF7713" w:rsidRPr="005A7FF0" w:rsidRDefault="00EF7713" w:rsidP="003632A1">
            <w:pPr>
              <w:spacing w:before="120" w:line="360" w:lineRule="auto"/>
              <w:rPr>
                <w:sz w:val="24"/>
                <w:szCs w:val="24"/>
              </w:rPr>
            </w:pPr>
            <w:r w:rsidRPr="005A7FF0">
              <w:rPr>
                <w:sz w:val="24"/>
                <w:szCs w:val="24"/>
              </w:rPr>
              <w:t>Area planted (ha)</w:t>
            </w:r>
          </w:p>
        </w:tc>
        <w:tc>
          <w:tcPr>
            <w:tcW w:w="0" w:type="auto"/>
          </w:tcPr>
          <w:p w14:paraId="723F1817" w14:textId="21AB0D4F" w:rsidR="00EF7713" w:rsidRPr="005A7FF0" w:rsidRDefault="004F6663" w:rsidP="003632A1">
            <w:pPr>
              <w:spacing w:before="120" w:line="360" w:lineRule="auto"/>
              <w:jc w:val="center"/>
              <w:rPr>
                <w:sz w:val="24"/>
                <w:szCs w:val="24"/>
              </w:rPr>
            </w:pPr>
            <w:r w:rsidRPr="005A7FF0">
              <w:rPr>
                <w:sz w:val="24"/>
                <w:szCs w:val="24"/>
              </w:rPr>
              <w:t>4,588,800</w:t>
            </w:r>
          </w:p>
        </w:tc>
        <w:tc>
          <w:tcPr>
            <w:tcW w:w="0" w:type="auto"/>
          </w:tcPr>
          <w:p w14:paraId="798C12F4" w14:textId="76B28EB6" w:rsidR="00EF7713" w:rsidRPr="005A7FF0" w:rsidRDefault="00FF1349" w:rsidP="003632A1">
            <w:pPr>
              <w:spacing w:before="120" w:line="360" w:lineRule="auto"/>
              <w:jc w:val="center"/>
              <w:rPr>
                <w:sz w:val="24"/>
                <w:szCs w:val="24"/>
              </w:rPr>
            </w:pPr>
            <w:r w:rsidRPr="005A7FF0">
              <w:rPr>
                <w:sz w:val="24"/>
                <w:szCs w:val="24"/>
              </w:rPr>
              <w:t>3,127,574</w:t>
            </w:r>
          </w:p>
        </w:tc>
      </w:tr>
      <w:tr w:rsidR="00E0323E" w:rsidRPr="005A7FF0" w14:paraId="4D3EB4DC" w14:textId="77777777" w:rsidTr="00803E63">
        <w:tc>
          <w:tcPr>
            <w:tcW w:w="0" w:type="auto"/>
          </w:tcPr>
          <w:p w14:paraId="4239F078" w14:textId="44A49C28" w:rsidR="00380F15" w:rsidRPr="005A7FF0" w:rsidRDefault="000D0244" w:rsidP="003632A1">
            <w:pPr>
              <w:spacing w:before="120" w:line="360" w:lineRule="auto"/>
              <w:rPr>
                <w:sz w:val="24"/>
                <w:szCs w:val="24"/>
              </w:rPr>
            </w:pPr>
            <w:r w:rsidRPr="005A7FF0">
              <w:rPr>
                <w:sz w:val="24"/>
                <w:szCs w:val="24"/>
              </w:rPr>
              <w:t>Mature area planted (only for palm)</w:t>
            </w:r>
            <w:r w:rsidR="00C63AEC" w:rsidRPr="005A7FF0">
              <w:rPr>
                <w:sz w:val="24"/>
                <w:szCs w:val="24"/>
              </w:rPr>
              <w:t xml:space="preserve"> (ha)</w:t>
            </w:r>
          </w:p>
        </w:tc>
        <w:tc>
          <w:tcPr>
            <w:tcW w:w="0" w:type="auto"/>
          </w:tcPr>
          <w:p w14:paraId="43CB1132" w14:textId="7A14CDF9" w:rsidR="00380F15" w:rsidRPr="005A7FF0" w:rsidRDefault="00CF4E9F" w:rsidP="003632A1">
            <w:pPr>
              <w:spacing w:before="120" w:line="360" w:lineRule="auto"/>
              <w:jc w:val="center"/>
              <w:rPr>
                <w:sz w:val="24"/>
                <w:szCs w:val="24"/>
              </w:rPr>
            </w:pPr>
            <w:r w:rsidRPr="005A7FF0">
              <w:rPr>
                <w:sz w:val="24"/>
                <w:szCs w:val="24"/>
              </w:rPr>
              <w:t>NA</w:t>
            </w:r>
          </w:p>
        </w:tc>
        <w:tc>
          <w:tcPr>
            <w:tcW w:w="0" w:type="auto"/>
          </w:tcPr>
          <w:p w14:paraId="605F90B1" w14:textId="4E6D3529" w:rsidR="00380F15" w:rsidRPr="005A7FF0" w:rsidRDefault="00380F15" w:rsidP="003632A1">
            <w:pPr>
              <w:spacing w:before="120" w:line="360" w:lineRule="auto"/>
              <w:jc w:val="center"/>
              <w:rPr>
                <w:sz w:val="24"/>
                <w:szCs w:val="24"/>
              </w:rPr>
            </w:pPr>
            <w:r w:rsidRPr="005A7FF0">
              <w:rPr>
                <w:sz w:val="24"/>
                <w:szCs w:val="24"/>
              </w:rPr>
              <w:t>2,776,208</w:t>
            </w:r>
          </w:p>
        </w:tc>
      </w:tr>
      <w:tr w:rsidR="00E0323E" w:rsidRPr="005A7FF0" w14:paraId="13C3D5D3" w14:textId="77777777" w:rsidTr="00803E63">
        <w:tc>
          <w:tcPr>
            <w:tcW w:w="0" w:type="auto"/>
          </w:tcPr>
          <w:p w14:paraId="5B92CC40" w14:textId="2E2C6867" w:rsidR="0033178E" w:rsidRPr="005A7FF0" w:rsidRDefault="0033178E" w:rsidP="003632A1">
            <w:pPr>
              <w:spacing w:before="120" w:line="360" w:lineRule="auto"/>
              <w:rPr>
                <w:sz w:val="24"/>
                <w:szCs w:val="24"/>
              </w:rPr>
            </w:pPr>
            <w:r w:rsidRPr="005A7FF0">
              <w:rPr>
                <w:sz w:val="24"/>
                <w:szCs w:val="24"/>
              </w:rPr>
              <w:t>Total production (ton seed</w:t>
            </w:r>
            <w:r w:rsidR="0063281D" w:rsidRPr="005A7FF0">
              <w:rPr>
                <w:sz w:val="24"/>
                <w:szCs w:val="24"/>
              </w:rPr>
              <w:t>/FFB</w:t>
            </w:r>
            <w:r w:rsidRPr="005A7FF0">
              <w:rPr>
                <w:sz w:val="24"/>
                <w:szCs w:val="24"/>
              </w:rPr>
              <w:t>)</w:t>
            </w:r>
          </w:p>
        </w:tc>
        <w:tc>
          <w:tcPr>
            <w:tcW w:w="0" w:type="auto"/>
          </w:tcPr>
          <w:p w14:paraId="29B2A944" w14:textId="6CD16BDF" w:rsidR="0033178E" w:rsidRPr="005A7FF0" w:rsidRDefault="0033178E" w:rsidP="003632A1">
            <w:pPr>
              <w:spacing w:before="120" w:line="360" w:lineRule="auto"/>
              <w:jc w:val="center"/>
              <w:rPr>
                <w:sz w:val="24"/>
                <w:szCs w:val="24"/>
              </w:rPr>
            </w:pPr>
            <w:r w:rsidRPr="005A7FF0">
              <w:rPr>
                <w:sz w:val="24"/>
                <w:szCs w:val="24"/>
              </w:rPr>
              <w:t>10,967,900</w:t>
            </w:r>
          </w:p>
        </w:tc>
        <w:tc>
          <w:tcPr>
            <w:tcW w:w="0" w:type="auto"/>
          </w:tcPr>
          <w:p w14:paraId="46144C67" w14:textId="3973889D" w:rsidR="0033178E" w:rsidRPr="005A7FF0" w:rsidRDefault="00A0349D" w:rsidP="003632A1">
            <w:pPr>
              <w:spacing w:before="120" w:line="360" w:lineRule="auto"/>
              <w:jc w:val="center"/>
              <w:rPr>
                <w:sz w:val="24"/>
                <w:szCs w:val="24"/>
              </w:rPr>
            </w:pPr>
            <w:r w:rsidRPr="005A7FF0">
              <w:rPr>
                <w:sz w:val="24"/>
                <w:szCs w:val="24"/>
              </w:rPr>
              <w:t>43,683,303</w:t>
            </w:r>
          </w:p>
        </w:tc>
      </w:tr>
      <w:tr w:rsidR="00E0323E" w:rsidRPr="005A7FF0" w14:paraId="631E7ACD" w14:textId="77777777" w:rsidTr="00803E63">
        <w:tc>
          <w:tcPr>
            <w:tcW w:w="0" w:type="auto"/>
          </w:tcPr>
          <w:p w14:paraId="52D567C3" w14:textId="1E709AC8" w:rsidR="00EF7713" w:rsidRPr="005A7FF0" w:rsidRDefault="00EF7713" w:rsidP="003632A1">
            <w:pPr>
              <w:spacing w:before="120" w:line="360" w:lineRule="auto"/>
              <w:rPr>
                <w:sz w:val="24"/>
                <w:szCs w:val="24"/>
              </w:rPr>
            </w:pPr>
            <w:r w:rsidRPr="005A7FF0">
              <w:rPr>
                <w:sz w:val="24"/>
                <w:szCs w:val="24"/>
              </w:rPr>
              <w:t xml:space="preserve">Total production </w:t>
            </w:r>
            <w:r w:rsidR="000D0244" w:rsidRPr="005A7FF0">
              <w:rPr>
                <w:sz w:val="24"/>
                <w:szCs w:val="24"/>
              </w:rPr>
              <w:t>(</w:t>
            </w:r>
            <w:r w:rsidRPr="005A7FF0">
              <w:rPr>
                <w:sz w:val="24"/>
                <w:szCs w:val="24"/>
              </w:rPr>
              <w:t>ton</w:t>
            </w:r>
            <w:r w:rsidR="00B11341" w:rsidRPr="005A7FF0">
              <w:rPr>
                <w:sz w:val="24"/>
                <w:szCs w:val="24"/>
              </w:rPr>
              <w:t xml:space="preserve"> of oil</w:t>
            </w:r>
            <w:r w:rsidRPr="005A7FF0">
              <w:rPr>
                <w:sz w:val="24"/>
                <w:szCs w:val="24"/>
              </w:rPr>
              <w:t>)</w:t>
            </w:r>
          </w:p>
        </w:tc>
        <w:tc>
          <w:tcPr>
            <w:tcW w:w="0" w:type="auto"/>
          </w:tcPr>
          <w:p w14:paraId="5FFA9368" w14:textId="24C3BEE4" w:rsidR="00EF7713" w:rsidRPr="005A7FF0" w:rsidRDefault="0033178E" w:rsidP="003632A1">
            <w:pPr>
              <w:spacing w:before="120" w:line="360" w:lineRule="auto"/>
              <w:jc w:val="center"/>
              <w:rPr>
                <w:sz w:val="24"/>
                <w:szCs w:val="24"/>
              </w:rPr>
            </w:pPr>
            <w:r w:rsidRPr="005A7FF0">
              <w:rPr>
                <w:sz w:val="24"/>
                <w:szCs w:val="24"/>
              </w:rPr>
              <w:t>4,811,618</w:t>
            </w:r>
          </w:p>
        </w:tc>
        <w:tc>
          <w:tcPr>
            <w:tcW w:w="0" w:type="auto"/>
          </w:tcPr>
          <w:p w14:paraId="2AF5E861" w14:textId="187A41DA" w:rsidR="00EF7713" w:rsidRPr="005A7FF0" w:rsidRDefault="00FF1349" w:rsidP="003632A1">
            <w:pPr>
              <w:spacing w:before="120" w:line="360" w:lineRule="auto"/>
              <w:jc w:val="center"/>
              <w:rPr>
                <w:sz w:val="24"/>
                <w:szCs w:val="24"/>
              </w:rPr>
            </w:pPr>
            <w:r w:rsidRPr="005A7FF0">
              <w:rPr>
                <w:sz w:val="24"/>
                <w:szCs w:val="24"/>
              </w:rPr>
              <w:t>8,701,714</w:t>
            </w:r>
          </w:p>
        </w:tc>
      </w:tr>
      <w:tr w:rsidR="00E0323E" w:rsidRPr="005A7FF0" w14:paraId="0158F061" w14:textId="77777777" w:rsidTr="00803E63">
        <w:tc>
          <w:tcPr>
            <w:tcW w:w="0" w:type="auto"/>
          </w:tcPr>
          <w:p w14:paraId="2359E4C3" w14:textId="2DCF0A34" w:rsidR="00EF7713" w:rsidRPr="005A7FF0" w:rsidRDefault="005459EE" w:rsidP="003632A1">
            <w:pPr>
              <w:spacing w:before="120" w:line="360" w:lineRule="auto"/>
              <w:rPr>
                <w:sz w:val="24"/>
                <w:szCs w:val="24"/>
              </w:rPr>
            </w:pPr>
            <w:r w:rsidRPr="005A7FF0">
              <w:rPr>
                <w:sz w:val="24"/>
                <w:szCs w:val="24"/>
              </w:rPr>
              <w:t>Price</w:t>
            </w:r>
            <w:r w:rsidR="000E71CB" w:rsidRPr="005A7FF0">
              <w:rPr>
                <w:sz w:val="24"/>
                <w:szCs w:val="24"/>
              </w:rPr>
              <w:t xml:space="preserve"> per ton</w:t>
            </w:r>
            <w:r w:rsidR="00C63AEC" w:rsidRPr="005A7FF0">
              <w:rPr>
                <w:sz w:val="24"/>
                <w:szCs w:val="24"/>
              </w:rPr>
              <w:t xml:space="preserve"> </w:t>
            </w:r>
            <w:r w:rsidR="00091B17" w:rsidRPr="005A7FF0">
              <w:rPr>
                <w:sz w:val="24"/>
                <w:szCs w:val="24"/>
              </w:rPr>
              <w:t>of oil local currency</w:t>
            </w:r>
          </w:p>
        </w:tc>
        <w:tc>
          <w:tcPr>
            <w:tcW w:w="0" w:type="auto"/>
          </w:tcPr>
          <w:p w14:paraId="4AA9E1F5" w14:textId="72E45002" w:rsidR="00EF7713" w:rsidRPr="005A7FF0" w:rsidRDefault="00C63AEC" w:rsidP="003632A1">
            <w:pPr>
              <w:spacing w:before="120" w:line="360" w:lineRule="auto"/>
              <w:jc w:val="center"/>
              <w:rPr>
                <w:sz w:val="24"/>
                <w:szCs w:val="24"/>
              </w:rPr>
            </w:pPr>
            <w:r w:rsidRPr="005A7FF0">
              <w:rPr>
                <w:sz w:val="24"/>
                <w:szCs w:val="24"/>
              </w:rPr>
              <w:t>C</w:t>
            </w:r>
            <w:r w:rsidR="005E383C" w:rsidRPr="005A7FF0">
              <w:rPr>
                <w:sz w:val="24"/>
                <w:szCs w:val="24"/>
              </w:rPr>
              <w:t>AD</w:t>
            </w:r>
            <w:r w:rsidRPr="005A7FF0">
              <w:rPr>
                <w:sz w:val="24"/>
                <w:szCs w:val="24"/>
              </w:rPr>
              <w:t>$ 532.95</w:t>
            </w:r>
            <w:r w:rsidRPr="005A7FF0">
              <w:rPr>
                <w:sz w:val="24"/>
                <w:szCs w:val="24"/>
                <w:vertAlign w:val="superscript"/>
              </w:rPr>
              <w:t>3</w:t>
            </w:r>
          </w:p>
        </w:tc>
        <w:tc>
          <w:tcPr>
            <w:tcW w:w="0" w:type="auto"/>
          </w:tcPr>
          <w:p w14:paraId="724E5B07" w14:textId="063C376B" w:rsidR="00EF7713" w:rsidRPr="005A7FF0" w:rsidRDefault="000E71CB" w:rsidP="003632A1">
            <w:pPr>
              <w:spacing w:before="120" w:line="360" w:lineRule="auto"/>
              <w:jc w:val="center"/>
              <w:rPr>
                <w:sz w:val="24"/>
                <w:szCs w:val="24"/>
              </w:rPr>
            </w:pPr>
            <w:r w:rsidRPr="005A7FF0">
              <w:rPr>
                <w:sz w:val="24"/>
                <w:szCs w:val="24"/>
              </w:rPr>
              <w:t>R 2</w:t>
            </w:r>
            <w:r w:rsidR="005E383C" w:rsidRPr="005A7FF0">
              <w:rPr>
                <w:sz w:val="24"/>
                <w:szCs w:val="24"/>
              </w:rPr>
              <w:t>,685.50</w:t>
            </w:r>
            <w:r w:rsidR="005E383C" w:rsidRPr="005A7FF0">
              <w:rPr>
                <w:sz w:val="24"/>
                <w:szCs w:val="24"/>
                <w:vertAlign w:val="superscript"/>
              </w:rPr>
              <w:t>4</w:t>
            </w:r>
          </w:p>
        </w:tc>
      </w:tr>
      <w:tr w:rsidR="00091B17" w:rsidRPr="005A7FF0" w14:paraId="6237C8D6" w14:textId="77777777" w:rsidTr="00803E63">
        <w:tc>
          <w:tcPr>
            <w:tcW w:w="0" w:type="auto"/>
          </w:tcPr>
          <w:p w14:paraId="19E9433D" w14:textId="007A9B7A" w:rsidR="00091B17" w:rsidRPr="005A7FF0" w:rsidRDefault="00091B17" w:rsidP="003632A1">
            <w:pPr>
              <w:spacing w:before="120" w:line="360" w:lineRule="auto"/>
              <w:rPr>
                <w:sz w:val="24"/>
                <w:szCs w:val="24"/>
              </w:rPr>
            </w:pPr>
            <w:r w:rsidRPr="005A7FF0">
              <w:rPr>
                <w:sz w:val="24"/>
                <w:szCs w:val="24"/>
              </w:rPr>
              <w:t>Price per ton of oil US$ (2021)</w:t>
            </w:r>
          </w:p>
        </w:tc>
        <w:tc>
          <w:tcPr>
            <w:tcW w:w="0" w:type="auto"/>
          </w:tcPr>
          <w:p w14:paraId="24C52DF7" w14:textId="5CFD20F5" w:rsidR="00091B17" w:rsidRPr="005A7FF0" w:rsidRDefault="00091B17" w:rsidP="003632A1">
            <w:pPr>
              <w:spacing w:before="120" w:line="360" w:lineRule="auto"/>
              <w:jc w:val="center"/>
              <w:rPr>
                <w:sz w:val="24"/>
                <w:szCs w:val="24"/>
              </w:rPr>
            </w:pPr>
            <w:r w:rsidRPr="005A7FF0">
              <w:rPr>
                <w:rFonts w:ascii="Calibri" w:eastAsia="Times New Roman" w:hAnsi="Calibri" w:cs="Calibri"/>
                <w:color w:val="000000"/>
                <w:sz w:val="24"/>
                <w:szCs w:val="24"/>
              </w:rPr>
              <w:t>0.80</w:t>
            </w:r>
            <w:r w:rsidRPr="005A7FF0">
              <w:rPr>
                <w:rFonts w:ascii="Calibri" w:eastAsia="Times New Roman" w:hAnsi="Calibri" w:cs="Calibri"/>
                <w:color w:val="000000"/>
                <w:sz w:val="24"/>
                <w:szCs w:val="24"/>
                <w:vertAlign w:val="superscript"/>
              </w:rPr>
              <w:t>5</w:t>
            </w:r>
          </w:p>
        </w:tc>
        <w:tc>
          <w:tcPr>
            <w:tcW w:w="0" w:type="auto"/>
          </w:tcPr>
          <w:p w14:paraId="3B81160D" w14:textId="3797C9A0" w:rsidR="00091B17" w:rsidRPr="005A7FF0" w:rsidRDefault="00091B17" w:rsidP="003632A1">
            <w:pPr>
              <w:spacing w:before="120" w:line="360" w:lineRule="auto"/>
              <w:jc w:val="center"/>
              <w:rPr>
                <w:sz w:val="24"/>
                <w:szCs w:val="24"/>
              </w:rPr>
            </w:pPr>
            <w:r w:rsidRPr="005A7FF0">
              <w:rPr>
                <w:rFonts w:ascii="Calibri" w:eastAsia="Times New Roman" w:hAnsi="Calibri" w:cs="Calibri"/>
                <w:color w:val="000000"/>
                <w:sz w:val="24"/>
                <w:szCs w:val="24"/>
              </w:rPr>
              <w:t>0.68</w:t>
            </w:r>
            <w:r w:rsidRPr="005A7FF0">
              <w:rPr>
                <w:rFonts w:ascii="Calibri" w:eastAsia="Times New Roman" w:hAnsi="Calibri" w:cs="Calibri"/>
                <w:color w:val="000000"/>
                <w:sz w:val="24"/>
                <w:szCs w:val="24"/>
                <w:vertAlign w:val="superscript"/>
              </w:rPr>
              <w:t>5</w:t>
            </w:r>
          </w:p>
        </w:tc>
      </w:tr>
    </w:tbl>
    <w:p w14:paraId="02E2F4E8" w14:textId="1BDCA0CF" w:rsidR="0045087A" w:rsidRPr="005A7FF0" w:rsidRDefault="0045087A" w:rsidP="00BD6801">
      <w:pPr>
        <w:spacing w:after="0" w:line="240" w:lineRule="auto"/>
      </w:pPr>
      <w:r w:rsidRPr="005A7FF0">
        <w:rPr>
          <w:vertAlign w:val="superscript"/>
        </w:rPr>
        <w:t>1</w:t>
      </w:r>
      <w:r w:rsidR="004F6663" w:rsidRPr="005A7FF0">
        <w:t xml:space="preserve"> Statistics Canada. Estimated areas, yield, production, average farm price and total farm value of principal field crops, in metric and imperial units. </w:t>
      </w:r>
      <w:hyperlink r:id="rId14" w:history="1">
        <w:r w:rsidR="00CF4E9F" w:rsidRPr="005A7FF0">
          <w:rPr>
            <w:rStyle w:val="Hyperlink"/>
          </w:rPr>
          <w:t>https://www150.statcan.gc.ca/t1/tbl1/en/tv.action?pid=3210035901</w:t>
        </w:r>
      </w:hyperlink>
    </w:p>
    <w:p w14:paraId="0BBFE732" w14:textId="256EABF3" w:rsidR="0045087A" w:rsidRPr="005A7FF0" w:rsidRDefault="0045087A" w:rsidP="00BD6801">
      <w:pPr>
        <w:spacing w:after="0" w:line="240" w:lineRule="auto"/>
      </w:pPr>
      <w:r w:rsidRPr="005A7FF0">
        <w:rPr>
          <w:vertAlign w:val="superscript"/>
        </w:rPr>
        <w:t>2</w:t>
      </w:r>
      <w:r w:rsidRPr="005A7FF0">
        <w:t>Parveez et al. (2022)</w:t>
      </w:r>
      <w:r w:rsidR="005E383C" w:rsidRPr="005A7FF0">
        <w:t>.</w:t>
      </w:r>
    </w:p>
    <w:p w14:paraId="67217D64" w14:textId="4241B003" w:rsidR="005E383C" w:rsidRPr="005A7FF0" w:rsidRDefault="00C63AEC" w:rsidP="00BD6801">
      <w:pPr>
        <w:spacing w:after="0" w:line="240" w:lineRule="auto"/>
        <w:rPr>
          <w:rFonts w:ascii="Calibri" w:eastAsia="Times New Roman" w:hAnsi="Calibri" w:cs="Calibri"/>
          <w:color w:val="0563C1"/>
          <w:u w:val="single"/>
        </w:rPr>
      </w:pPr>
      <w:r w:rsidRPr="005A7FF0">
        <w:rPr>
          <w:vertAlign w:val="superscript"/>
        </w:rPr>
        <w:t>3</w:t>
      </w:r>
      <w:r w:rsidRPr="005A7FF0">
        <w:t xml:space="preserve"> Statistics Canada, Canadian International Merchandise Trade Database. </w:t>
      </w:r>
      <w:r w:rsidR="005E383C" w:rsidRPr="005A7FF0">
        <w:t xml:space="preserve">Canadian canola seed average export values. </w:t>
      </w:r>
      <w:hyperlink r:id="rId15" w:anchor="export-values" w:history="1">
        <w:r w:rsidR="005E383C" w:rsidRPr="005A7FF0">
          <w:rPr>
            <w:rStyle w:val="Hyperlink"/>
            <w:rFonts w:ascii="Calibri" w:eastAsia="Times New Roman" w:hAnsi="Calibri" w:cs="Calibri"/>
          </w:rPr>
          <w:t>https://www.canolacouncil.org/markets-stats/exports/#export-values</w:t>
        </w:r>
      </w:hyperlink>
      <w:r w:rsidR="005E383C" w:rsidRPr="005A7FF0">
        <w:rPr>
          <w:rFonts w:ascii="Calibri" w:eastAsia="Times New Roman" w:hAnsi="Calibri" w:cs="Calibri"/>
          <w:color w:val="0563C1"/>
          <w:u w:val="single"/>
        </w:rPr>
        <w:t xml:space="preserve">. </w:t>
      </w:r>
    </w:p>
    <w:p w14:paraId="6E86F613" w14:textId="2FBC6DAD" w:rsidR="005E383C" w:rsidRPr="005A7FF0" w:rsidRDefault="005E383C" w:rsidP="00BD6801">
      <w:pPr>
        <w:spacing w:after="0" w:line="240" w:lineRule="auto"/>
      </w:pPr>
      <w:r w:rsidRPr="005A7FF0">
        <w:rPr>
          <w:vertAlign w:val="superscript"/>
        </w:rPr>
        <w:t>4</w:t>
      </w:r>
      <w:r w:rsidRPr="005A7FF0">
        <w:t xml:space="preserve">CPO (local delivered). </w:t>
      </w:r>
      <w:proofErr w:type="spellStart"/>
      <w:r w:rsidRPr="005A7FF0">
        <w:t>Parveez</w:t>
      </w:r>
      <w:proofErr w:type="spellEnd"/>
      <w:r w:rsidRPr="005A7FF0">
        <w:t xml:space="preserve"> et al. (2022).</w:t>
      </w:r>
    </w:p>
    <w:p w14:paraId="6AC85186" w14:textId="4F4A655B" w:rsidR="00DA4A72" w:rsidRPr="005A7FF0" w:rsidRDefault="00DA4A72" w:rsidP="00BD6801">
      <w:pPr>
        <w:spacing w:after="0" w:line="240" w:lineRule="auto"/>
      </w:pPr>
      <w:r w:rsidRPr="005A7FF0">
        <w:rPr>
          <w:vertAlign w:val="superscript"/>
        </w:rPr>
        <w:t>5</w:t>
      </w:r>
      <w:r w:rsidRPr="005A7FF0">
        <w:t>S</w:t>
      </w:r>
      <w:r w:rsidR="00091B17" w:rsidRPr="005A7FF0">
        <w:t>ee footnotes</w:t>
      </w:r>
      <w:r w:rsidR="006F2C62" w:rsidRPr="005A7FF0">
        <w:t xml:space="preserve"> bottom of</w:t>
      </w:r>
      <w:r w:rsidR="00091B17" w:rsidRPr="005A7FF0">
        <w:t xml:space="preserve"> Table 3 below for explanation on </w:t>
      </w:r>
      <w:r w:rsidR="006F2C62" w:rsidRPr="005A7FF0">
        <w:t>conversion rates and adjustments.</w:t>
      </w:r>
    </w:p>
    <w:p w14:paraId="2BB6400D" w14:textId="77777777" w:rsidR="00D25B7C" w:rsidRPr="005A7FF0" w:rsidRDefault="00D25B7C" w:rsidP="003632A1">
      <w:pPr>
        <w:spacing w:before="120" w:after="0" w:line="360" w:lineRule="auto"/>
        <w:rPr>
          <w:sz w:val="24"/>
          <w:szCs w:val="24"/>
        </w:rPr>
      </w:pPr>
    </w:p>
    <w:p w14:paraId="16095C9A" w14:textId="39707E9E" w:rsidR="004F279C" w:rsidRPr="005A7FF0" w:rsidRDefault="007C5F2C" w:rsidP="003632A1">
      <w:pPr>
        <w:spacing w:before="120" w:after="0" w:line="360" w:lineRule="auto"/>
        <w:rPr>
          <w:sz w:val="24"/>
          <w:szCs w:val="24"/>
        </w:rPr>
      </w:pPr>
      <w:r w:rsidRPr="005A7FF0">
        <w:rPr>
          <w:sz w:val="24"/>
          <w:szCs w:val="24"/>
        </w:rPr>
        <w:t xml:space="preserve">An LCA was run for each of the product systems per kg of oil and per hectare. The LCIA for each of these combinations </w:t>
      </w:r>
      <w:r w:rsidR="00130548" w:rsidRPr="005A7FF0">
        <w:rPr>
          <w:sz w:val="24"/>
          <w:szCs w:val="24"/>
        </w:rPr>
        <w:t>provided impact results at midpoint for 17 categories</w:t>
      </w:r>
      <w:r w:rsidR="00E567E3" w:rsidRPr="005A7FF0">
        <w:rPr>
          <w:sz w:val="24"/>
          <w:szCs w:val="24"/>
        </w:rPr>
        <w:t xml:space="preserve"> in</w:t>
      </w:r>
      <w:r w:rsidR="00130548" w:rsidRPr="005A7FF0">
        <w:rPr>
          <w:sz w:val="24"/>
          <w:szCs w:val="24"/>
        </w:rPr>
        <w:t xml:space="preserve"> different units according to the category.</w:t>
      </w:r>
      <w:r w:rsidR="004F279C" w:rsidRPr="005A7FF0">
        <w:rPr>
          <w:sz w:val="24"/>
          <w:szCs w:val="24"/>
        </w:rPr>
        <w:t xml:space="preserve"> Figure 1 presents an overview of the impact categories covered in </w:t>
      </w:r>
      <w:r w:rsidR="004F279C" w:rsidRPr="005A7FF0">
        <w:rPr>
          <w:sz w:val="24"/>
          <w:szCs w:val="24"/>
        </w:rPr>
        <w:lastRenderedPageBreak/>
        <w:t>the ReCiPe2016 LCIA method to the damage pathway and endpoints in terms of damages to human health, the ecosystem, and resource availability (</w:t>
      </w:r>
      <w:proofErr w:type="spellStart"/>
      <w:r w:rsidR="004F279C" w:rsidRPr="005A7FF0">
        <w:rPr>
          <w:sz w:val="24"/>
          <w:szCs w:val="24"/>
        </w:rPr>
        <w:t>Huijbregts</w:t>
      </w:r>
      <w:proofErr w:type="spellEnd"/>
      <w:r w:rsidR="004F279C" w:rsidRPr="005A7FF0">
        <w:rPr>
          <w:sz w:val="24"/>
          <w:szCs w:val="24"/>
        </w:rPr>
        <w:t xml:space="preserve"> et al., 2017)</w:t>
      </w:r>
    </w:p>
    <w:p w14:paraId="212AD091" w14:textId="77777777" w:rsidR="004F279C" w:rsidRPr="005A7FF0" w:rsidRDefault="004F279C" w:rsidP="003632A1">
      <w:pPr>
        <w:spacing w:before="120" w:after="0" w:line="360" w:lineRule="auto"/>
        <w:rPr>
          <w:sz w:val="24"/>
          <w:szCs w:val="24"/>
        </w:rPr>
      </w:pPr>
    </w:p>
    <w:p w14:paraId="1AC35F19" w14:textId="5CD20A1D" w:rsidR="004F279C" w:rsidRPr="005A7FF0" w:rsidRDefault="004F279C" w:rsidP="003632A1">
      <w:pPr>
        <w:spacing w:before="120" w:after="0" w:line="360" w:lineRule="auto"/>
        <w:jc w:val="center"/>
        <w:rPr>
          <w:sz w:val="24"/>
          <w:szCs w:val="24"/>
        </w:rPr>
      </w:pPr>
      <w:r w:rsidRPr="005A7FF0">
        <w:rPr>
          <w:noProof/>
          <w:sz w:val="24"/>
          <w:szCs w:val="24"/>
        </w:rPr>
        <w:drawing>
          <wp:inline distT="0" distB="0" distL="0" distR="0" wp14:anchorId="6CEBCB8A" wp14:editId="285A6EB7">
            <wp:extent cx="3933157" cy="4315968"/>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3157" cy="4315968"/>
                    </a:xfrm>
                    <a:prstGeom prst="rect">
                      <a:avLst/>
                    </a:prstGeom>
                    <a:noFill/>
                    <a:ln>
                      <a:noFill/>
                    </a:ln>
                  </pic:spPr>
                </pic:pic>
              </a:graphicData>
            </a:graphic>
          </wp:inline>
        </w:drawing>
      </w:r>
    </w:p>
    <w:p w14:paraId="65DD6B66" w14:textId="0DE468CD" w:rsidR="00130548" w:rsidRPr="005A7FF0" w:rsidRDefault="004F5066" w:rsidP="003632A1">
      <w:pPr>
        <w:spacing w:before="120" w:after="0" w:line="360" w:lineRule="auto"/>
        <w:rPr>
          <w:sz w:val="24"/>
          <w:szCs w:val="24"/>
        </w:rPr>
      </w:pPr>
      <w:r w:rsidRPr="005A7FF0">
        <w:rPr>
          <w:sz w:val="24"/>
          <w:szCs w:val="24"/>
        </w:rPr>
        <w:t>Figure 1. Overview of impact categories, damage pathways, and endpoints in terms of damages. R</w:t>
      </w:r>
      <w:r w:rsidR="004F279C" w:rsidRPr="005A7FF0">
        <w:rPr>
          <w:sz w:val="24"/>
          <w:szCs w:val="24"/>
        </w:rPr>
        <w:t xml:space="preserve">eproduced from </w:t>
      </w:r>
      <w:proofErr w:type="spellStart"/>
      <w:r w:rsidR="004F279C" w:rsidRPr="005A7FF0">
        <w:rPr>
          <w:sz w:val="24"/>
          <w:szCs w:val="24"/>
        </w:rPr>
        <w:t>Huijbregts</w:t>
      </w:r>
      <w:proofErr w:type="spellEnd"/>
      <w:r w:rsidR="004F279C" w:rsidRPr="005A7FF0">
        <w:rPr>
          <w:sz w:val="24"/>
          <w:szCs w:val="24"/>
        </w:rPr>
        <w:t xml:space="preserve"> et al., </w:t>
      </w:r>
      <w:r w:rsidR="00B22084" w:rsidRPr="005A7FF0">
        <w:rPr>
          <w:sz w:val="24"/>
          <w:szCs w:val="24"/>
        </w:rPr>
        <w:t>(</w:t>
      </w:r>
      <w:r w:rsidR="004F279C" w:rsidRPr="005A7FF0">
        <w:rPr>
          <w:sz w:val="24"/>
          <w:szCs w:val="24"/>
        </w:rPr>
        <w:t>2017</w:t>
      </w:r>
      <w:r w:rsidR="00B22084" w:rsidRPr="005A7FF0">
        <w:rPr>
          <w:sz w:val="24"/>
          <w:szCs w:val="24"/>
        </w:rPr>
        <w:t>)</w:t>
      </w:r>
      <w:r w:rsidR="004F279C" w:rsidRPr="005A7FF0">
        <w:rPr>
          <w:sz w:val="24"/>
          <w:szCs w:val="24"/>
        </w:rPr>
        <w:t>.</w:t>
      </w:r>
    </w:p>
    <w:p w14:paraId="0E2D5017" w14:textId="1B478D0D" w:rsidR="00F11AA4" w:rsidRPr="005A7FF0" w:rsidRDefault="006C4097" w:rsidP="003632A1">
      <w:pPr>
        <w:spacing w:before="120" w:after="0" w:line="360" w:lineRule="auto"/>
        <w:rPr>
          <w:sz w:val="24"/>
          <w:szCs w:val="24"/>
        </w:rPr>
      </w:pPr>
      <w:r w:rsidRPr="005A7FF0">
        <w:rPr>
          <w:sz w:val="24"/>
          <w:szCs w:val="24"/>
        </w:rPr>
        <w:t xml:space="preserve">2.2 </w:t>
      </w:r>
      <w:r w:rsidR="00F11AA4" w:rsidRPr="005A7FF0">
        <w:rPr>
          <w:sz w:val="24"/>
          <w:szCs w:val="24"/>
        </w:rPr>
        <w:t>Monetization</w:t>
      </w:r>
    </w:p>
    <w:p w14:paraId="07BB8E74" w14:textId="2E5BFDB5" w:rsidR="00836C1D" w:rsidRPr="005A7FF0" w:rsidRDefault="007C5F2C" w:rsidP="003632A1">
      <w:pPr>
        <w:spacing w:before="120" w:after="0" w:line="360" w:lineRule="auto"/>
        <w:rPr>
          <w:sz w:val="24"/>
          <w:szCs w:val="24"/>
        </w:rPr>
      </w:pPr>
      <w:r w:rsidRPr="005A7FF0">
        <w:rPr>
          <w:sz w:val="24"/>
          <w:szCs w:val="24"/>
        </w:rPr>
        <w:t>To monetize the 17 impact results estimated by the LCIA at midpoint, each impact was multiplied by a monetization factor</w:t>
      </w:r>
      <w:r w:rsidR="004F279C" w:rsidRPr="005A7FF0">
        <w:rPr>
          <w:sz w:val="24"/>
          <w:szCs w:val="24"/>
        </w:rPr>
        <w:t xml:space="preserve"> </w:t>
      </w:r>
      <w:r w:rsidR="00B22084" w:rsidRPr="005A7FF0">
        <w:rPr>
          <w:sz w:val="24"/>
          <w:szCs w:val="24"/>
        </w:rPr>
        <w:t>taken from</w:t>
      </w:r>
      <w:r w:rsidR="00E567E3" w:rsidRPr="005A7FF0">
        <w:rPr>
          <w:sz w:val="24"/>
          <w:szCs w:val="24"/>
        </w:rPr>
        <w:t xml:space="preserve"> the document</w:t>
      </w:r>
      <w:r w:rsidR="009C3096" w:rsidRPr="005A7FF0">
        <w:rPr>
          <w:sz w:val="24"/>
          <w:szCs w:val="24"/>
        </w:rPr>
        <w:t xml:space="preserve"> </w:t>
      </w:r>
      <w:proofErr w:type="spellStart"/>
      <w:r w:rsidR="009C3096" w:rsidRPr="005A7FF0">
        <w:rPr>
          <w:i/>
          <w:iCs/>
          <w:color w:val="252525"/>
          <w:sz w:val="24"/>
          <w:szCs w:val="24"/>
        </w:rPr>
        <w:t>Monetisation</w:t>
      </w:r>
      <w:proofErr w:type="spellEnd"/>
      <w:r w:rsidR="009C3096" w:rsidRPr="005A7FF0">
        <w:rPr>
          <w:i/>
          <w:iCs/>
          <w:color w:val="252525"/>
          <w:sz w:val="24"/>
          <w:szCs w:val="24"/>
        </w:rPr>
        <w:t xml:space="preserve"> Factors for True Pricing Version 2.0.3 </w:t>
      </w:r>
      <w:r w:rsidR="009C3096" w:rsidRPr="005A7FF0">
        <w:rPr>
          <w:color w:val="252525"/>
          <w:sz w:val="24"/>
          <w:szCs w:val="24"/>
        </w:rPr>
        <w:t>(</w:t>
      </w:r>
      <w:r w:rsidR="00C24F19" w:rsidRPr="005A7FF0">
        <w:rPr>
          <w:color w:val="252525"/>
          <w:sz w:val="24"/>
          <w:szCs w:val="24"/>
        </w:rPr>
        <w:t xml:space="preserve">True Price, 2021). These monetization factors have been developed by </w:t>
      </w:r>
      <w:r w:rsidR="00C24F19" w:rsidRPr="005A7FF0">
        <w:rPr>
          <w:sz w:val="24"/>
          <w:szCs w:val="24"/>
        </w:rPr>
        <w:t xml:space="preserve">True Price and Wageningen Economic Research within the Public Private Partnership True and Fair Price for Sustainable Products. </w:t>
      </w:r>
      <w:r w:rsidR="001475C4" w:rsidRPr="005A7FF0">
        <w:rPr>
          <w:sz w:val="24"/>
          <w:szCs w:val="24"/>
        </w:rPr>
        <w:t>T</w:t>
      </w:r>
      <w:r w:rsidR="00C24F19" w:rsidRPr="005A7FF0">
        <w:rPr>
          <w:sz w:val="24"/>
          <w:szCs w:val="24"/>
        </w:rPr>
        <w:t xml:space="preserve">he methodology used is presented in </w:t>
      </w:r>
      <w:proofErr w:type="spellStart"/>
      <w:r w:rsidR="00B22084" w:rsidRPr="005A7FF0">
        <w:rPr>
          <w:sz w:val="24"/>
          <w:szCs w:val="24"/>
        </w:rPr>
        <w:t>Galgani</w:t>
      </w:r>
      <w:proofErr w:type="spellEnd"/>
      <w:r w:rsidR="00B22084" w:rsidRPr="005A7FF0">
        <w:rPr>
          <w:sz w:val="24"/>
          <w:szCs w:val="24"/>
        </w:rPr>
        <w:t xml:space="preserve"> et al. (202</w:t>
      </w:r>
      <w:r w:rsidR="00FD73FA" w:rsidRPr="005A7FF0">
        <w:rPr>
          <w:sz w:val="24"/>
          <w:szCs w:val="24"/>
        </w:rPr>
        <w:t>3</w:t>
      </w:r>
      <w:r w:rsidR="00B22084" w:rsidRPr="005A7FF0">
        <w:rPr>
          <w:sz w:val="24"/>
          <w:szCs w:val="24"/>
        </w:rPr>
        <w:t xml:space="preserve">). </w:t>
      </w:r>
      <w:r w:rsidR="00836C1D" w:rsidRPr="005A7FF0">
        <w:rPr>
          <w:sz w:val="24"/>
          <w:szCs w:val="24"/>
        </w:rPr>
        <w:t>According to the authors, “[M]</w:t>
      </w:r>
      <w:proofErr w:type="spellStart"/>
      <w:r w:rsidR="00836C1D" w:rsidRPr="005A7FF0">
        <w:rPr>
          <w:sz w:val="24"/>
          <w:szCs w:val="24"/>
        </w:rPr>
        <w:t>onetisation</w:t>
      </w:r>
      <w:proofErr w:type="spellEnd"/>
      <w:r w:rsidR="00836C1D" w:rsidRPr="005A7FF0">
        <w:rPr>
          <w:sz w:val="24"/>
          <w:szCs w:val="24"/>
        </w:rPr>
        <w:t xml:space="preserve"> factors are estimates of the remediation cost of the </w:t>
      </w:r>
      <w:r w:rsidR="00836C1D" w:rsidRPr="005A7FF0">
        <w:rPr>
          <w:sz w:val="24"/>
          <w:szCs w:val="24"/>
        </w:rPr>
        <w:lastRenderedPageBreak/>
        <w:t xml:space="preserve">social and environmental impacts that must be included to estimate the true price of a product. These impacts are measured by a set of footprint indicators and every footprint indicator can be converted to a monetary unit using the corresponding </w:t>
      </w:r>
      <w:proofErr w:type="spellStart"/>
      <w:r w:rsidR="00836C1D" w:rsidRPr="005A7FF0">
        <w:rPr>
          <w:sz w:val="24"/>
          <w:szCs w:val="24"/>
        </w:rPr>
        <w:t>monetisation</w:t>
      </w:r>
      <w:proofErr w:type="spellEnd"/>
      <w:r w:rsidR="00836C1D" w:rsidRPr="005A7FF0">
        <w:rPr>
          <w:sz w:val="24"/>
          <w:szCs w:val="24"/>
        </w:rPr>
        <w:t xml:space="preserve"> factor. When all footprint indicators are measured and </w:t>
      </w:r>
      <w:proofErr w:type="spellStart"/>
      <w:r w:rsidR="00836C1D" w:rsidRPr="005A7FF0">
        <w:rPr>
          <w:sz w:val="24"/>
          <w:szCs w:val="24"/>
        </w:rPr>
        <w:t>monetised</w:t>
      </w:r>
      <w:proofErr w:type="spellEnd"/>
      <w:r w:rsidR="00836C1D" w:rsidRPr="005A7FF0">
        <w:rPr>
          <w:sz w:val="24"/>
          <w:szCs w:val="24"/>
        </w:rPr>
        <w:t xml:space="preserve"> for a product, the true price can be calculated.” (True Price, 2021, p. 5)</w:t>
      </w:r>
    </w:p>
    <w:p w14:paraId="7805F36A" w14:textId="5A36D849" w:rsidR="00F11AA4" w:rsidRPr="005A7FF0" w:rsidRDefault="009C3096" w:rsidP="003632A1">
      <w:pPr>
        <w:spacing w:before="120" w:after="0" w:line="360" w:lineRule="auto"/>
        <w:rPr>
          <w:sz w:val="24"/>
          <w:szCs w:val="24"/>
        </w:rPr>
      </w:pPr>
      <w:r w:rsidRPr="005A7FF0">
        <w:rPr>
          <w:sz w:val="24"/>
          <w:szCs w:val="24"/>
        </w:rPr>
        <w:t>The</w:t>
      </w:r>
      <w:r w:rsidR="001475C4" w:rsidRPr="005A7FF0">
        <w:rPr>
          <w:sz w:val="24"/>
          <w:szCs w:val="24"/>
        </w:rPr>
        <w:t xml:space="preserve"> monetization factors are provided in Euro and International US $ of 2021</w:t>
      </w:r>
      <w:r w:rsidR="00B44F29" w:rsidRPr="005A7FF0">
        <w:rPr>
          <w:sz w:val="24"/>
          <w:szCs w:val="24"/>
        </w:rPr>
        <w:t xml:space="preserve"> per unit of impact. The categories and </w:t>
      </w:r>
      <w:r w:rsidR="007918FB" w:rsidRPr="005A7FF0">
        <w:rPr>
          <w:sz w:val="24"/>
          <w:szCs w:val="24"/>
        </w:rPr>
        <w:t>units</w:t>
      </w:r>
      <w:r w:rsidR="00B44F29" w:rsidRPr="005A7FF0">
        <w:rPr>
          <w:sz w:val="24"/>
          <w:szCs w:val="24"/>
        </w:rPr>
        <w:t xml:space="preserve"> are compatible with the ReCiPe2016 </w:t>
      </w:r>
      <w:r w:rsidR="007918FB" w:rsidRPr="005A7FF0">
        <w:rPr>
          <w:sz w:val="24"/>
          <w:szCs w:val="24"/>
        </w:rPr>
        <w:t>method;</w:t>
      </w:r>
      <w:r w:rsidR="00B44F29" w:rsidRPr="005A7FF0">
        <w:rPr>
          <w:sz w:val="24"/>
          <w:szCs w:val="24"/>
        </w:rPr>
        <w:t xml:space="preserve"> </w:t>
      </w:r>
      <w:r w:rsidR="00605B4C" w:rsidRPr="005A7FF0">
        <w:rPr>
          <w:sz w:val="24"/>
          <w:szCs w:val="24"/>
        </w:rPr>
        <w:t>therefore,</w:t>
      </w:r>
      <w:r w:rsidR="00B44F29" w:rsidRPr="005A7FF0">
        <w:rPr>
          <w:sz w:val="24"/>
          <w:szCs w:val="24"/>
        </w:rPr>
        <w:t xml:space="preserve"> they can be applied directly to the impact estimates calculated here. However, there is an exception</w:t>
      </w:r>
      <w:r w:rsidR="007918FB" w:rsidRPr="005A7FF0">
        <w:rPr>
          <w:sz w:val="24"/>
          <w:szCs w:val="24"/>
        </w:rPr>
        <w:t>. I</w:t>
      </w:r>
      <w:r w:rsidR="00B44F29" w:rsidRPr="005A7FF0">
        <w:rPr>
          <w:sz w:val="24"/>
          <w:szCs w:val="24"/>
        </w:rPr>
        <w:t>n the case of land use/transformation</w:t>
      </w:r>
      <w:r w:rsidR="007918FB" w:rsidRPr="005A7FF0">
        <w:rPr>
          <w:sz w:val="24"/>
          <w:szCs w:val="24"/>
        </w:rPr>
        <w:t>,</w:t>
      </w:r>
      <w:r w:rsidR="00B44F29" w:rsidRPr="005A7FF0">
        <w:rPr>
          <w:sz w:val="24"/>
          <w:szCs w:val="24"/>
        </w:rPr>
        <w:t xml:space="preserve"> the units provided are not the same and it is not clear how to convert the units of the midpoint result to make them compatible with the monetization factor provided by True Price. For this reason,</w:t>
      </w:r>
      <w:r w:rsidR="00144E34" w:rsidRPr="005A7FF0">
        <w:rPr>
          <w:sz w:val="24"/>
          <w:szCs w:val="24"/>
        </w:rPr>
        <w:t xml:space="preserve"> land use impacts </w:t>
      </w:r>
      <w:r w:rsidR="00E567E3" w:rsidRPr="005A7FF0">
        <w:rPr>
          <w:sz w:val="24"/>
          <w:szCs w:val="24"/>
        </w:rPr>
        <w:t xml:space="preserve">are reported, but </w:t>
      </w:r>
      <w:r w:rsidR="00144E34" w:rsidRPr="005A7FF0">
        <w:rPr>
          <w:sz w:val="24"/>
          <w:szCs w:val="24"/>
        </w:rPr>
        <w:t xml:space="preserve">not monetized. To compensate partly for this problem, </w:t>
      </w:r>
      <w:r w:rsidR="00B44F29" w:rsidRPr="005A7FF0">
        <w:rPr>
          <w:sz w:val="24"/>
          <w:szCs w:val="24"/>
        </w:rPr>
        <w:t xml:space="preserve">a separate calculation was done for </w:t>
      </w:r>
      <w:r w:rsidR="00144E34" w:rsidRPr="005A7FF0">
        <w:rPr>
          <w:sz w:val="24"/>
          <w:szCs w:val="24"/>
        </w:rPr>
        <w:t xml:space="preserve">impacts on </w:t>
      </w:r>
      <w:r w:rsidR="00B44F29" w:rsidRPr="005A7FF0">
        <w:rPr>
          <w:sz w:val="24"/>
          <w:szCs w:val="24"/>
        </w:rPr>
        <w:t>biodiversity</w:t>
      </w:r>
      <w:r w:rsidR="00144E34" w:rsidRPr="005A7FF0">
        <w:rPr>
          <w:sz w:val="24"/>
          <w:szCs w:val="24"/>
        </w:rPr>
        <w:t xml:space="preserve">, which are </w:t>
      </w:r>
      <w:r w:rsidR="00E567E3" w:rsidRPr="005A7FF0">
        <w:rPr>
          <w:sz w:val="24"/>
          <w:szCs w:val="24"/>
        </w:rPr>
        <w:t>closely</w:t>
      </w:r>
      <w:r w:rsidR="00144E34" w:rsidRPr="005A7FF0">
        <w:rPr>
          <w:sz w:val="24"/>
          <w:szCs w:val="24"/>
        </w:rPr>
        <w:t xml:space="preserve"> </w:t>
      </w:r>
      <w:r w:rsidR="00E567E3" w:rsidRPr="005A7FF0">
        <w:rPr>
          <w:sz w:val="24"/>
          <w:szCs w:val="24"/>
        </w:rPr>
        <w:t>in line</w:t>
      </w:r>
      <w:r w:rsidR="00144E34" w:rsidRPr="005A7FF0">
        <w:rPr>
          <w:sz w:val="24"/>
          <w:szCs w:val="24"/>
        </w:rPr>
        <w:t xml:space="preserve"> with land use/transformation</w:t>
      </w:r>
      <w:r w:rsidR="00B44F29" w:rsidRPr="005A7FF0">
        <w:rPr>
          <w:sz w:val="24"/>
          <w:szCs w:val="24"/>
        </w:rPr>
        <w:t xml:space="preserve"> (see next section). </w:t>
      </w:r>
    </w:p>
    <w:p w14:paraId="27F5B15D" w14:textId="45E67B1F" w:rsidR="00B44F29" w:rsidRPr="005A7FF0" w:rsidRDefault="00B44F29" w:rsidP="003632A1">
      <w:pPr>
        <w:spacing w:before="120" w:after="0" w:line="360" w:lineRule="auto"/>
        <w:rPr>
          <w:sz w:val="24"/>
          <w:szCs w:val="24"/>
        </w:rPr>
      </w:pPr>
      <w:r w:rsidRPr="005A7FF0">
        <w:rPr>
          <w:sz w:val="24"/>
          <w:szCs w:val="24"/>
        </w:rPr>
        <w:t xml:space="preserve">Once the impact results were </w:t>
      </w:r>
      <w:r w:rsidR="00836C1D" w:rsidRPr="005A7FF0">
        <w:rPr>
          <w:sz w:val="24"/>
          <w:szCs w:val="24"/>
        </w:rPr>
        <w:t>monetized,</w:t>
      </w:r>
      <w:r w:rsidRPr="005A7FF0">
        <w:rPr>
          <w:sz w:val="24"/>
          <w:szCs w:val="24"/>
        </w:rPr>
        <w:t xml:space="preserve"> they were added to give a total external cost, i.e., the monetary value of the environmental externalities generated by the production of rapeseed and palm oil at the farm level. </w:t>
      </w:r>
      <w:r w:rsidR="00C608D7" w:rsidRPr="005A7FF0">
        <w:rPr>
          <w:sz w:val="24"/>
          <w:szCs w:val="24"/>
        </w:rPr>
        <w:t>These costs are compared with the market price of each of the oils. To have an idea of the externalities at the landscape level, not just per unit of product, the monetary value of the externalities per ha was multiplied by the area planted and compared to the total value of the production from the area</w:t>
      </w:r>
      <w:r w:rsidR="00E97CAE" w:rsidRPr="005A7FF0">
        <w:rPr>
          <w:sz w:val="24"/>
          <w:szCs w:val="24"/>
        </w:rPr>
        <w:t xml:space="preserve"> for each type of oil</w:t>
      </w:r>
      <w:r w:rsidR="00C608D7" w:rsidRPr="005A7FF0">
        <w:rPr>
          <w:sz w:val="24"/>
          <w:szCs w:val="24"/>
        </w:rPr>
        <w:t xml:space="preserve">. For palm oil, it cannot simply be assumed that all the area planted has been </w:t>
      </w:r>
      <w:r w:rsidR="00FE3FE2" w:rsidRPr="005A7FF0">
        <w:rPr>
          <w:sz w:val="24"/>
          <w:szCs w:val="24"/>
        </w:rPr>
        <w:t xml:space="preserve">either </w:t>
      </w:r>
      <w:r w:rsidR="00C608D7" w:rsidRPr="005A7FF0">
        <w:rPr>
          <w:sz w:val="24"/>
          <w:szCs w:val="24"/>
        </w:rPr>
        <w:t>the result of deforestation or not</w:t>
      </w:r>
      <w:r w:rsidR="00FE3FE2" w:rsidRPr="005A7FF0">
        <w:rPr>
          <w:sz w:val="24"/>
          <w:szCs w:val="24"/>
        </w:rPr>
        <w:t xml:space="preserve"> at all</w:t>
      </w:r>
      <w:r w:rsidR="00C608D7" w:rsidRPr="005A7FF0">
        <w:rPr>
          <w:sz w:val="24"/>
          <w:szCs w:val="24"/>
        </w:rPr>
        <w:t xml:space="preserve">. </w:t>
      </w:r>
      <w:r w:rsidR="00FE3FE2" w:rsidRPr="005A7FF0">
        <w:rPr>
          <w:sz w:val="24"/>
          <w:szCs w:val="24"/>
        </w:rPr>
        <w:t>Therefore,</w:t>
      </w:r>
      <w:r w:rsidR="00C608D7" w:rsidRPr="005A7FF0">
        <w:rPr>
          <w:sz w:val="24"/>
          <w:szCs w:val="24"/>
        </w:rPr>
        <w:t xml:space="preserve"> </w:t>
      </w:r>
      <w:r w:rsidR="00FE3FE2" w:rsidRPr="005A7FF0">
        <w:rPr>
          <w:sz w:val="24"/>
          <w:szCs w:val="24"/>
        </w:rPr>
        <w:t>five</w:t>
      </w:r>
      <w:r w:rsidR="00C608D7" w:rsidRPr="005A7FF0">
        <w:rPr>
          <w:sz w:val="24"/>
          <w:szCs w:val="24"/>
        </w:rPr>
        <w:t xml:space="preserve"> scenarios are calculated</w:t>
      </w:r>
      <w:r w:rsidR="00FE3FE2" w:rsidRPr="005A7FF0">
        <w:rPr>
          <w:sz w:val="24"/>
          <w:szCs w:val="24"/>
        </w:rPr>
        <w:t>: 100%, 75%, 50%, 25% and 0% of the area from deforestation.</w:t>
      </w:r>
    </w:p>
    <w:p w14:paraId="4A0B3EAD" w14:textId="7968EE9D" w:rsidR="006C4097" w:rsidRPr="005A7FF0" w:rsidRDefault="006C4097" w:rsidP="003632A1">
      <w:pPr>
        <w:spacing w:before="120" w:after="0" w:line="360" w:lineRule="auto"/>
        <w:rPr>
          <w:sz w:val="24"/>
          <w:szCs w:val="24"/>
        </w:rPr>
      </w:pPr>
      <w:r w:rsidRPr="005A7FF0">
        <w:rPr>
          <w:sz w:val="24"/>
          <w:szCs w:val="24"/>
        </w:rPr>
        <w:t>2.3 Biodiversity</w:t>
      </w:r>
    </w:p>
    <w:p w14:paraId="47EF16A5" w14:textId="0CD788BF" w:rsidR="00366731" w:rsidRPr="005A7FF0" w:rsidRDefault="009421EA" w:rsidP="003632A1">
      <w:pPr>
        <w:spacing w:before="120" w:after="0" w:line="360" w:lineRule="auto"/>
        <w:rPr>
          <w:sz w:val="24"/>
          <w:szCs w:val="24"/>
        </w:rPr>
      </w:pPr>
      <w:r w:rsidRPr="005A7FF0">
        <w:rPr>
          <w:sz w:val="24"/>
          <w:szCs w:val="24"/>
        </w:rPr>
        <w:t xml:space="preserve">The status and dynamic of biodiversity are closely related to land use and land use change (transformation). It is assumed that the amount of biodiversity in a particular area depends on the degree of intactness of the </w:t>
      </w:r>
      <w:r w:rsidR="001553B0" w:rsidRPr="005A7FF0">
        <w:rPr>
          <w:sz w:val="24"/>
          <w:szCs w:val="24"/>
        </w:rPr>
        <w:t xml:space="preserve">land </w:t>
      </w:r>
      <w:r w:rsidRPr="005A7FF0">
        <w:rPr>
          <w:sz w:val="24"/>
          <w:szCs w:val="24"/>
        </w:rPr>
        <w:t xml:space="preserve">area, i.e., the degree that </w:t>
      </w:r>
      <w:r w:rsidR="001553B0" w:rsidRPr="005A7FF0">
        <w:rPr>
          <w:sz w:val="24"/>
          <w:szCs w:val="24"/>
        </w:rPr>
        <w:t>land</w:t>
      </w:r>
      <w:r w:rsidRPr="005A7FF0">
        <w:rPr>
          <w:sz w:val="24"/>
          <w:szCs w:val="24"/>
        </w:rPr>
        <w:t xml:space="preserve"> has the undisturbed</w:t>
      </w:r>
      <w:r w:rsidR="0065297F" w:rsidRPr="005A7FF0">
        <w:rPr>
          <w:sz w:val="24"/>
          <w:szCs w:val="24"/>
        </w:rPr>
        <w:t xml:space="preserve"> composition and abundance of species and </w:t>
      </w:r>
      <w:r w:rsidRPr="005A7FF0">
        <w:rPr>
          <w:sz w:val="24"/>
          <w:szCs w:val="24"/>
        </w:rPr>
        <w:t>ecosystem processes that have naturally evolved</w:t>
      </w:r>
      <w:r w:rsidR="001553B0" w:rsidRPr="005A7FF0">
        <w:rPr>
          <w:sz w:val="24"/>
          <w:szCs w:val="24"/>
        </w:rPr>
        <w:t xml:space="preserve"> </w:t>
      </w:r>
      <w:r w:rsidR="001553B0" w:rsidRPr="005A7FF0">
        <w:rPr>
          <w:sz w:val="24"/>
          <w:szCs w:val="24"/>
        </w:rPr>
        <w:lastRenderedPageBreak/>
        <w:t>there</w:t>
      </w:r>
      <w:r w:rsidRPr="005A7FF0">
        <w:rPr>
          <w:sz w:val="24"/>
          <w:szCs w:val="24"/>
        </w:rPr>
        <w:t xml:space="preserve"> through time. </w:t>
      </w:r>
      <w:r w:rsidR="001553B0" w:rsidRPr="005A7FF0">
        <w:rPr>
          <w:sz w:val="24"/>
          <w:szCs w:val="24"/>
        </w:rPr>
        <w:t xml:space="preserve">However, human use of the land changes the degree of intactness, reducing the undisturbed biodiversity present there. </w:t>
      </w:r>
      <w:r w:rsidRPr="005A7FF0">
        <w:rPr>
          <w:sz w:val="24"/>
          <w:szCs w:val="24"/>
        </w:rPr>
        <w:t xml:space="preserve">This </w:t>
      </w:r>
      <w:r w:rsidR="001553B0" w:rsidRPr="005A7FF0">
        <w:rPr>
          <w:sz w:val="24"/>
          <w:szCs w:val="24"/>
        </w:rPr>
        <w:t>process</w:t>
      </w:r>
      <w:r w:rsidRPr="005A7FF0">
        <w:rPr>
          <w:sz w:val="24"/>
          <w:szCs w:val="24"/>
        </w:rPr>
        <w:t xml:space="preserve"> is </w:t>
      </w:r>
      <w:r w:rsidR="0065297F" w:rsidRPr="005A7FF0">
        <w:rPr>
          <w:sz w:val="24"/>
          <w:szCs w:val="24"/>
        </w:rPr>
        <w:t>captured</w:t>
      </w:r>
      <w:r w:rsidRPr="005A7FF0">
        <w:rPr>
          <w:sz w:val="24"/>
          <w:szCs w:val="24"/>
        </w:rPr>
        <w:t xml:space="preserve"> by</w:t>
      </w:r>
      <w:r w:rsidR="00DF549C" w:rsidRPr="005A7FF0">
        <w:rPr>
          <w:sz w:val="24"/>
          <w:szCs w:val="24"/>
        </w:rPr>
        <w:t xml:space="preserve"> the </w:t>
      </w:r>
      <w:r w:rsidR="001553B0" w:rsidRPr="005A7FF0">
        <w:rPr>
          <w:sz w:val="24"/>
          <w:szCs w:val="24"/>
        </w:rPr>
        <w:t>concept of</w:t>
      </w:r>
      <w:r w:rsidR="0065297F" w:rsidRPr="005A7FF0">
        <w:rPr>
          <w:sz w:val="24"/>
          <w:szCs w:val="24"/>
        </w:rPr>
        <w:t xml:space="preserve"> </w:t>
      </w:r>
      <w:r w:rsidR="00F7653A" w:rsidRPr="005A7FF0">
        <w:rPr>
          <w:i/>
          <w:iCs/>
          <w:sz w:val="24"/>
          <w:szCs w:val="24"/>
        </w:rPr>
        <w:t>Mean Species Abundance</w:t>
      </w:r>
      <w:r w:rsidR="00F7653A" w:rsidRPr="005A7FF0">
        <w:rPr>
          <w:sz w:val="24"/>
          <w:szCs w:val="24"/>
        </w:rPr>
        <w:t xml:space="preserve"> </w:t>
      </w:r>
      <w:r w:rsidR="0065297F" w:rsidRPr="005A7FF0">
        <w:rPr>
          <w:sz w:val="24"/>
          <w:szCs w:val="24"/>
        </w:rPr>
        <w:t xml:space="preserve">(MSA) defined as </w:t>
      </w:r>
      <w:r w:rsidR="00F7653A" w:rsidRPr="005A7FF0">
        <w:rPr>
          <w:sz w:val="24"/>
          <w:szCs w:val="24"/>
        </w:rPr>
        <w:t xml:space="preserve">“an indicator of biodiversity intactness as the mean abundance of original species relative to their abundance in undisturbed ecosystems.” </w:t>
      </w:r>
      <w:r w:rsidR="0065297F" w:rsidRPr="005A7FF0">
        <w:rPr>
          <w:sz w:val="24"/>
          <w:szCs w:val="24"/>
        </w:rPr>
        <w:t>(CISL, 2020</w:t>
      </w:r>
      <w:r w:rsidR="001553B0" w:rsidRPr="005A7FF0">
        <w:rPr>
          <w:sz w:val="24"/>
          <w:szCs w:val="24"/>
        </w:rPr>
        <w:t xml:space="preserve">). </w:t>
      </w:r>
      <w:r w:rsidR="00F7653A" w:rsidRPr="005A7FF0">
        <w:rPr>
          <w:sz w:val="24"/>
          <w:szCs w:val="24"/>
        </w:rPr>
        <w:t>MSA is a fraction between 0</w:t>
      </w:r>
      <w:r w:rsidR="0065297F" w:rsidRPr="005A7FF0">
        <w:rPr>
          <w:sz w:val="24"/>
          <w:szCs w:val="24"/>
        </w:rPr>
        <w:t xml:space="preserve"> and 1</w:t>
      </w:r>
      <w:r w:rsidR="00F7653A" w:rsidRPr="005A7FF0">
        <w:rPr>
          <w:sz w:val="24"/>
          <w:szCs w:val="24"/>
        </w:rPr>
        <w:t>, i.e., no difference between the</w:t>
      </w:r>
      <w:r w:rsidR="0065297F" w:rsidRPr="005A7FF0">
        <w:rPr>
          <w:sz w:val="24"/>
          <w:szCs w:val="24"/>
        </w:rPr>
        <w:t xml:space="preserve"> productive</w:t>
      </w:r>
      <w:r w:rsidR="00F7653A" w:rsidRPr="005A7FF0">
        <w:rPr>
          <w:sz w:val="24"/>
          <w:szCs w:val="24"/>
        </w:rPr>
        <w:t xml:space="preserve"> area and the pristine state</w:t>
      </w:r>
      <w:r w:rsidR="0065297F" w:rsidRPr="005A7FF0">
        <w:rPr>
          <w:sz w:val="24"/>
          <w:szCs w:val="24"/>
        </w:rPr>
        <w:t xml:space="preserve"> vs.</w:t>
      </w:r>
      <w:r w:rsidR="00F7653A" w:rsidRPr="005A7FF0">
        <w:rPr>
          <w:sz w:val="24"/>
          <w:szCs w:val="24"/>
        </w:rPr>
        <w:t xml:space="preserve"> all original biodiversity has been lost.</w:t>
      </w:r>
      <w:r w:rsidR="002264DC" w:rsidRPr="005A7FF0">
        <w:rPr>
          <w:sz w:val="24"/>
          <w:szCs w:val="24"/>
        </w:rPr>
        <w:t xml:space="preserve"> </w:t>
      </w:r>
      <w:proofErr w:type="spellStart"/>
      <w:r w:rsidR="00B15FB9" w:rsidRPr="005A7FF0">
        <w:rPr>
          <w:sz w:val="24"/>
          <w:szCs w:val="24"/>
        </w:rPr>
        <w:t>GLOBIOweb</w:t>
      </w:r>
      <w:proofErr w:type="spellEnd"/>
      <w:r w:rsidR="00B15FB9" w:rsidRPr="005A7FF0">
        <w:rPr>
          <w:sz w:val="24"/>
          <w:szCs w:val="24"/>
        </w:rPr>
        <w:t xml:space="preserve"> (</w:t>
      </w:r>
      <w:hyperlink r:id="rId17" w:history="1">
        <w:r w:rsidR="00B15FB9" w:rsidRPr="005A7FF0">
          <w:rPr>
            <w:rStyle w:val="Hyperlink"/>
            <w:sz w:val="24"/>
            <w:szCs w:val="24"/>
          </w:rPr>
          <w:t>https://www.globio.info/globioweb</w:t>
        </w:r>
      </w:hyperlink>
      <w:r w:rsidR="00B15FB9" w:rsidRPr="005A7FF0">
        <w:rPr>
          <w:sz w:val="24"/>
          <w:szCs w:val="24"/>
        </w:rPr>
        <w:t>) is a web-based tool that provides access to indicators of local terrestrial biodiversity intactness in MSA values in</w:t>
      </w:r>
      <w:r w:rsidR="001553B0" w:rsidRPr="005A7FF0">
        <w:rPr>
          <w:sz w:val="24"/>
          <w:szCs w:val="24"/>
        </w:rPr>
        <w:t xml:space="preserve"> a</w:t>
      </w:r>
      <w:r w:rsidR="00B15FB9" w:rsidRPr="005A7FF0">
        <w:rPr>
          <w:sz w:val="24"/>
          <w:szCs w:val="24"/>
        </w:rPr>
        <w:t xml:space="preserve"> spatially explicit way</w:t>
      </w:r>
      <w:r w:rsidR="001553B0" w:rsidRPr="005A7FF0">
        <w:rPr>
          <w:sz w:val="24"/>
          <w:szCs w:val="24"/>
        </w:rPr>
        <w:t>,</w:t>
      </w:r>
      <w:r w:rsidR="00B15FB9" w:rsidRPr="005A7FF0">
        <w:rPr>
          <w:sz w:val="24"/>
          <w:szCs w:val="24"/>
        </w:rPr>
        <w:t xml:space="preserve"> considering different types of land uses</w:t>
      </w:r>
      <w:r w:rsidR="009454C0" w:rsidRPr="005A7FF0">
        <w:rPr>
          <w:sz w:val="24"/>
          <w:szCs w:val="24"/>
        </w:rPr>
        <w:t xml:space="preserve"> for user defined areas (i.e., a province).</w:t>
      </w:r>
      <w:r w:rsidR="00B15FB9" w:rsidRPr="005A7FF0">
        <w:rPr>
          <w:sz w:val="24"/>
          <w:szCs w:val="24"/>
        </w:rPr>
        <w:t xml:space="preserve"> It provides summary information on</w:t>
      </w:r>
      <w:r w:rsidR="00DF549C" w:rsidRPr="005A7FF0">
        <w:rPr>
          <w:sz w:val="24"/>
          <w:szCs w:val="24"/>
        </w:rPr>
        <w:t>:</w:t>
      </w:r>
    </w:p>
    <w:p w14:paraId="7D30FEB1" w14:textId="662FAEFB" w:rsidR="00B15FB9" w:rsidRPr="005A7FF0" w:rsidRDefault="00B15FB9" w:rsidP="003632A1">
      <w:pPr>
        <w:pStyle w:val="ListParagraph"/>
        <w:numPr>
          <w:ilvl w:val="0"/>
          <w:numId w:val="5"/>
        </w:numPr>
        <w:spacing w:before="120" w:after="0" w:line="360" w:lineRule="auto"/>
      </w:pPr>
      <w:r w:rsidRPr="005A7FF0">
        <w:t>Mean MSA and mean MSA loss</w:t>
      </w:r>
    </w:p>
    <w:p w14:paraId="5BA7BC3E" w14:textId="64696929" w:rsidR="00B15FB9" w:rsidRPr="005A7FF0" w:rsidRDefault="00B15FB9" w:rsidP="003632A1">
      <w:pPr>
        <w:pStyle w:val="ListParagraph"/>
        <w:numPr>
          <w:ilvl w:val="0"/>
          <w:numId w:val="5"/>
        </w:numPr>
        <w:spacing w:before="120" w:after="0" w:line="360" w:lineRule="auto"/>
      </w:pPr>
      <w:r w:rsidRPr="005A7FF0">
        <w:t>Natural land cover</w:t>
      </w:r>
    </w:p>
    <w:p w14:paraId="4CED7EC0" w14:textId="2AFD311D" w:rsidR="00B15FB9" w:rsidRPr="005A7FF0" w:rsidRDefault="00B15FB9" w:rsidP="003632A1">
      <w:pPr>
        <w:pStyle w:val="ListParagraph"/>
        <w:numPr>
          <w:ilvl w:val="0"/>
          <w:numId w:val="5"/>
        </w:numPr>
        <w:spacing w:before="120" w:after="0" w:line="360" w:lineRule="auto"/>
      </w:pPr>
      <w:r w:rsidRPr="005A7FF0">
        <w:t>Forest cover</w:t>
      </w:r>
    </w:p>
    <w:p w14:paraId="4E2458A0" w14:textId="1BD994C1" w:rsidR="00B15FB9" w:rsidRPr="005A7FF0" w:rsidRDefault="00B15FB9" w:rsidP="003632A1">
      <w:pPr>
        <w:pStyle w:val="ListParagraph"/>
        <w:numPr>
          <w:ilvl w:val="0"/>
          <w:numId w:val="5"/>
        </w:numPr>
        <w:spacing w:before="120" w:after="0" w:line="360" w:lineRule="auto"/>
      </w:pPr>
      <w:r w:rsidRPr="005A7FF0">
        <w:t>Protected area coverage</w:t>
      </w:r>
    </w:p>
    <w:p w14:paraId="68AE049B" w14:textId="360523F7" w:rsidR="00366731" w:rsidRPr="005A7FF0" w:rsidRDefault="00B15FB9" w:rsidP="003632A1">
      <w:pPr>
        <w:pStyle w:val="ListParagraph"/>
        <w:numPr>
          <w:ilvl w:val="0"/>
          <w:numId w:val="5"/>
        </w:numPr>
        <w:spacing w:before="120" w:after="0" w:line="360" w:lineRule="auto"/>
      </w:pPr>
      <w:r w:rsidRPr="005A7FF0">
        <w:t>Areas with MSA values of 0.8 and higher, as a proxy of remaining wilderness areas.</w:t>
      </w:r>
    </w:p>
    <w:p w14:paraId="6934A40B" w14:textId="77777777" w:rsidR="00383926" w:rsidRPr="005A7FF0" w:rsidRDefault="009454C0" w:rsidP="003632A1">
      <w:pPr>
        <w:spacing w:before="120" w:after="0" w:line="360" w:lineRule="auto"/>
        <w:rPr>
          <w:sz w:val="24"/>
          <w:szCs w:val="24"/>
        </w:rPr>
      </w:pPr>
      <w:r w:rsidRPr="005A7FF0">
        <w:rPr>
          <w:sz w:val="24"/>
          <w:szCs w:val="24"/>
        </w:rPr>
        <w:t xml:space="preserve">Data on those parameters were obtained from </w:t>
      </w:r>
      <w:proofErr w:type="spellStart"/>
      <w:r w:rsidRPr="005A7FF0">
        <w:rPr>
          <w:sz w:val="24"/>
          <w:szCs w:val="24"/>
        </w:rPr>
        <w:t>GLOBIOweb</w:t>
      </w:r>
      <w:proofErr w:type="spellEnd"/>
      <w:r w:rsidRPr="005A7FF0">
        <w:rPr>
          <w:sz w:val="24"/>
          <w:szCs w:val="24"/>
        </w:rPr>
        <w:t xml:space="preserve"> for the provinces of Saskatchewan, Canada and Salah and Sarawak in Malaysia. The MSA obtained were used to monetize the value of biodiversity loss in those provinces. </w:t>
      </w:r>
    </w:p>
    <w:p w14:paraId="2601B633" w14:textId="362FCBE0" w:rsidR="00A024D7" w:rsidRPr="005A7FF0" w:rsidRDefault="00A024D7" w:rsidP="003632A1">
      <w:pPr>
        <w:spacing w:before="120" w:after="0" w:line="360" w:lineRule="auto"/>
        <w:rPr>
          <w:sz w:val="24"/>
          <w:szCs w:val="24"/>
        </w:rPr>
      </w:pPr>
      <w:r w:rsidRPr="005A7FF0">
        <w:rPr>
          <w:sz w:val="24"/>
          <w:szCs w:val="24"/>
        </w:rPr>
        <w:t xml:space="preserve">Monetization factors are based on the opportunity cost of biodiversity losses due to human activities </w:t>
      </w:r>
      <w:r w:rsidR="00AA3845" w:rsidRPr="005A7FF0">
        <w:rPr>
          <w:sz w:val="24"/>
          <w:szCs w:val="24"/>
        </w:rPr>
        <w:t xml:space="preserve">such as agriculture, </w:t>
      </w:r>
      <w:r w:rsidRPr="005A7FF0">
        <w:rPr>
          <w:sz w:val="24"/>
          <w:szCs w:val="24"/>
        </w:rPr>
        <w:t>that require the land</w:t>
      </w:r>
      <w:r w:rsidR="00383926" w:rsidRPr="005A7FF0">
        <w:rPr>
          <w:sz w:val="24"/>
          <w:szCs w:val="24"/>
        </w:rPr>
        <w:t>. The monetary valuation of land use is done by calculating the monetary value of the ecosystem services lost. While th</w:t>
      </w:r>
      <w:r w:rsidR="00B3691F" w:rsidRPr="005A7FF0">
        <w:rPr>
          <w:sz w:val="24"/>
          <w:szCs w:val="24"/>
        </w:rPr>
        <w:t>at</w:t>
      </w:r>
      <w:r w:rsidR="00383926" w:rsidRPr="005A7FF0">
        <w:rPr>
          <w:sz w:val="24"/>
          <w:szCs w:val="24"/>
        </w:rPr>
        <w:t xml:space="preserve"> of land use change is done by calculating the restoration cost</w:t>
      </w:r>
      <w:r w:rsidR="00B3691F" w:rsidRPr="005A7FF0">
        <w:rPr>
          <w:sz w:val="24"/>
          <w:szCs w:val="24"/>
        </w:rPr>
        <w:t>s</w:t>
      </w:r>
      <w:r w:rsidR="00383926" w:rsidRPr="005A7FF0">
        <w:rPr>
          <w:sz w:val="24"/>
          <w:szCs w:val="24"/>
        </w:rPr>
        <w:t xml:space="preserve"> that will be required to restore the land to its original biodiversity state (</w:t>
      </w:r>
      <w:proofErr w:type="spellStart"/>
      <w:r w:rsidR="00383926" w:rsidRPr="005A7FF0">
        <w:rPr>
          <w:sz w:val="24"/>
          <w:szCs w:val="24"/>
        </w:rPr>
        <w:t>Galgani</w:t>
      </w:r>
      <w:proofErr w:type="spellEnd"/>
      <w:r w:rsidR="00383926" w:rsidRPr="005A7FF0">
        <w:rPr>
          <w:sz w:val="24"/>
          <w:szCs w:val="24"/>
        </w:rPr>
        <w:t xml:space="preserve"> et al., 2021)</w:t>
      </w:r>
      <w:r w:rsidR="00B3691F" w:rsidRPr="005A7FF0">
        <w:rPr>
          <w:sz w:val="24"/>
          <w:szCs w:val="24"/>
        </w:rPr>
        <w:t>.</w:t>
      </w:r>
      <w:r w:rsidR="007C743F" w:rsidRPr="005A7FF0">
        <w:rPr>
          <w:sz w:val="24"/>
          <w:szCs w:val="24"/>
        </w:rPr>
        <w:t xml:space="preserve"> The document</w:t>
      </w:r>
      <w:r w:rsidR="00B3691F" w:rsidRPr="005A7FF0">
        <w:rPr>
          <w:sz w:val="24"/>
          <w:szCs w:val="24"/>
        </w:rPr>
        <w:t xml:space="preserve"> </w:t>
      </w:r>
      <w:proofErr w:type="spellStart"/>
      <w:r w:rsidR="007C743F" w:rsidRPr="005A7FF0">
        <w:rPr>
          <w:i/>
          <w:iCs/>
          <w:color w:val="252525"/>
          <w:sz w:val="24"/>
          <w:szCs w:val="24"/>
        </w:rPr>
        <w:t>Monetisation</w:t>
      </w:r>
      <w:proofErr w:type="spellEnd"/>
      <w:r w:rsidR="007C743F" w:rsidRPr="005A7FF0">
        <w:rPr>
          <w:i/>
          <w:iCs/>
          <w:color w:val="252525"/>
          <w:sz w:val="24"/>
          <w:szCs w:val="24"/>
        </w:rPr>
        <w:t xml:space="preserve"> Factors for True Pricing Version 2.0.3 </w:t>
      </w:r>
      <w:r w:rsidR="007C743F" w:rsidRPr="005A7FF0">
        <w:rPr>
          <w:color w:val="252525"/>
          <w:sz w:val="24"/>
          <w:szCs w:val="24"/>
        </w:rPr>
        <w:t>(True Price, 2021) provides monetization factors in MSA*ha* year for land occupation and in MSA*ha for land use change, both by biome</w:t>
      </w:r>
      <w:r w:rsidR="00DE15AD" w:rsidRPr="005A7FF0">
        <w:rPr>
          <w:rStyle w:val="FootnoteReference"/>
          <w:color w:val="252525"/>
          <w:sz w:val="24"/>
          <w:szCs w:val="24"/>
        </w:rPr>
        <w:footnoteReference w:id="7"/>
      </w:r>
      <w:r w:rsidR="007C743F" w:rsidRPr="005A7FF0">
        <w:rPr>
          <w:color w:val="252525"/>
          <w:sz w:val="24"/>
          <w:szCs w:val="24"/>
        </w:rPr>
        <w:t xml:space="preserve">. The relevant biomes are Grassland/savannah for Canada and </w:t>
      </w:r>
      <w:r w:rsidR="00BE0413" w:rsidRPr="005A7FF0">
        <w:rPr>
          <w:color w:val="252525"/>
          <w:sz w:val="24"/>
          <w:szCs w:val="24"/>
        </w:rPr>
        <w:t>Tropical Forest</w:t>
      </w:r>
      <w:r w:rsidR="007C743F" w:rsidRPr="005A7FF0">
        <w:rPr>
          <w:color w:val="252525"/>
          <w:sz w:val="24"/>
          <w:szCs w:val="24"/>
        </w:rPr>
        <w:t xml:space="preserve"> for Malaysia</w:t>
      </w:r>
      <w:r w:rsidR="00BE0413" w:rsidRPr="005A7FF0">
        <w:rPr>
          <w:color w:val="252525"/>
          <w:sz w:val="24"/>
          <w:szCs w:val="24"/>
        </w:rPr>
        <w:t xml:space="preserve">. However, the calculation is </w:t>
      </w:r>
      <w:r w:rsidR="00BE0413" w:rsidRPr="005A7FF0">
        <w:rPr>
          <w:color w:val="252525"/>
          <w:sz w:val="24"/>
          <w:szCs w:val="24"/>
        </w:rPr>
        <w:lastRenderedPageBreak/>
        <w:t>done in</w:t>
      </w:r>
      <w:r w:rsidR="004648F6" w:rsidRPr="005A7FF0">
        <w:rPr>
          <w:color w:val="252525"/>
          <w:sz w:val="24"/>
          <w:szCs w:val="24"/>
        </w:rPr>
        <w:t xml:space="preserve"> 1 minus MSA</w:t>
      </w:r>
      <w:r w:rsidR="00BE0413" w:rsidRPr="005A7FF0">
        <w:rPr>
          <w:color w:val="252525"/>
          <w:sz w:val="24"/>
          <w:szCs w:val="24"/>
        </w:rPr>
        <w:t xml:space="preserve"> </w:t>
      </w:r>
      <w:r w:rsidR="004648F6" w:rsidRPr="005A7FF0">
        <w:rPr>
          <w:color w:val="252525"/>
          <w:sz w:val="24"/>
          <w:szCs w:val="24"/>
        </w:rPr>
        <w:t>(</w:t>
      </w:r>
      <w:r w:rsidR="00BE0413" w:rsidRPr="005A7FF0">
        <w:rPr>
          <w:color w:val="252525"/>
          <w:sz w:val="24"/>
          <w:szCs w:val="24"/>
        </w:rPr>
        <w:t>1-MSA</w:t>
      </w:r>
      <w:r w:rsidR="004648F6" w:rsidRPr="005A7FF0">
        <w:rPr>
          <w:color w:val="252525"/>
          <w:sz w:val="24"/>
          <w:szCs w:val="24"/>
        </w:rPr>
        <w:t>)</w:t>
      </w:r>
      <w:r w:rsidR="00BE0413" w:rsidRPr="005A7FF0">
        <w:rPr>
          <w:color w:val="252525"/>
          <w:sz w:val="24"/>
          <w:szCs w:val="24"/>
        </w:rPr>
        <w:t xml:space="preserve">, since that is the fraction of biodiversity lost due to land use/change. </w:t>
      </w:r>
    </w:p>
    <w:p w14:paraId="30D3EE22" w14:textId="114E3FA7" w:rsidR="009454C0" w:rsidRPr="005A7FF0" w:rsidRDefault="009454C0" w:rsidP="003632A1">
      <w:pPr>
        <w:spacing w:before="120" w:after="0" w:line="360" w:lineRule="auto"/>
        <w:rPr>
          <w:sz w:val="24"/>
          <w:szCs w:val="24"/>
        </w:rPr>
      </w:pPr>
      <w:r w:rsidRPr="005A7FF0">
        <w:rPr>
          <w:sz w:val="24"/>
          <w:szCs w:val="24"/>
        </w:rPr>
        <w:t xml:space="preserve">Obviously, not all </w:t>
      </w:r>
      <w:r w:rsidR="00DF549C" w:rsidRPr="005A7FF0">
        <w:rPr>
          <w:sz w:val="24"/>
          <w:szCs w:val="24"/>
        </w:rPr>
        <w:t>biodiversity loss can be attribute</w:t>
      </w:r>
      <w:r w:rsidR="0070004A" w:rsidRPr="005A7FF0">
        <w:rPr>
          <w:sz w:val="24"/>
          <w:szCs w:val="24"/>
        </w:rPr>
        <w:t>d</w:t>
      </w:r>
      <w:r w:rsidR="00DF549C" w:rsidRPr="005A7FF0">
        <w:rPr>
          <w:sz w:val="24"/>
          <w:szCs w:val="24"/>
        </w:rPr>
        <w:t xml:space="preserve"> to the production of rapeseed </w:t>
      </w:r>
      <w:r w:rsidR="0070004A" w:rsidRPr="005A7FF0">
        <w:rPr>
          <w:sz w:val="24"/>
          <w:szCs w:val="24"/>
        </w:rPr>
        <w:t>or</w:t>
      </w:r>
      <w:r w:rsidR="00DF549C" w:rsidRPr="005A7FF0">
        <w:rPr>
          <w:sz w:val="24"/>
          <w:szCs w:val="24"/>
        </w:rPr>
        <w:t xml:space="preserve"> palm oil, therefore the area needed to produce 1 </w:t>
      </w:r>
      <w:r w:rsidR="0070004A" w:rsidRPr="005A7FF0">
        <w:rPr>
          <w:sz w:val="24"/>
          <w:szCs w:val="24"/>
        </w:rPr>
        <w:t>ton</w:t>
      </w:r>
      <w:r w:rsidR="00DF549C" w:rsidRPr="005A7FF0">
        <w:rPr>
          <w:sz w:val="24"/>
          <w:szCs w:val="24"/>
        </w:rPr>
        <w:t xml:space="preserve"> of those oils, based on their yields, is calculated </w:t>
      </w:r>
      <w:r w:rsidR="00A024D7" w:rsidRPr="005A7FF0">
        <w:rPr>
          <w:sz w:val="24"/>
          <w:szCs w:val="24"/>
        </w:rPr>
        <w:t xml:space="preserve">(the inverse of the yield) </w:t>
      </w:r>
      <w:r w:rsidR="00BE0413" w:rsidRPr="005A7FF0">
        <w:rPr>
          <w:sz w:val="24"/>
          <w:szCs w:val="24"/>
        </w:rPr>
        <w:t>and this is amount is multiplied by the relevant 1-MSA</w:t>
      </w:r>
      <w:r w:rsidR="008E3C4C" w:rsidRPr="005A7FF0">
        <w:rPr>
          <w:sz w:val="24"/>
          <w:szCs w:val="24"/>
        </w:rPr>
        <w:t>. I</w:t>
      </w:r>
      <w:r w:rsidR="00BE0413" w:rsidRPr="005A7FF0">
        <w:rPr>
          <w:sz w:val="24"/>
          <w:szCs w:val="24"/>
        </w:rPr>
        <w:t>n turn</w:t>
      </w:r>
      <w:r w:rsidR="0070004A" w:rsidRPr="005A7FF0">
        <w:rPr>
          <w:sz w:val="24"/>
          <w:szCs w:val="24"/>
        </w:rPr>
        <w:t>,</w:t>
      </w:r>
      <w:r w:rsidR="00BE0413" w:rsidRPr="005A7FF0">
        <w:rPr>
          <w:sz w:val="24"/>
          <w:szCs w:val="24"/>
        </w:rPr>
        <w:t xml:space="preserve"> this</w:t>
      </w:r>
      <w:r w:rsidR="008E3C4C" w:rsidRPr="005A7FF0">
        <w:rPr>
          <w:sz w:val="24"/>
          <w:szCs w:val="24"/>
        </w:rPr>
        <w:t xml:space="preserve"> number</w:t>
      </w:r>
      <w:r w:rsidR="00BE0413" w:rsidRPr="005A7FF0">
        <w:rPr>
          <w:sz w:val="24"/>
          <w:szCs w:val="24"/>
        </w:rPr>
        <w:t xml:space="preserve"> is multiplied by </w:t>
      </w:r>
      <w:r w:rsidR="008E3C4C" w:rsidRPr="005A7FF0">
        <w:rPr>
          <w:sz w:val="24"/>
          <w:szCs w:val="24"/>
        </w:rPr>
        <w:t>the relevant monetization factor. In the case of land use change, the monetization is done on land use and land use change, since there are simultaneous opportunity costs for using and for transforming the land (this is the same approach used in ReCiPe2016). So</w:t>
      </w:r>
      <w:r w:rsidR="00A371D5" w:rsidRPr="005A7FF0">
        <w:rPr>
          <w:sz w:val="24"/>
          <w:szCs w:val="24"/>
        </w:rPr>
        <w:t>,</w:t>
      </w:r>
      <w:r w:rsidR="008E3C4C" w:rsidRPr="005A7FF0">
        <w:rPr>
          <w:sz w:val="24"/>
          <w:szCs w:val="24"/>
        </w:rPr>
        <w:t xml:space="preserve"> the resulting monetary value refers to the value of the biodiversity loss associated with the land used or transformed to produced 1 </w:t>
      </w:r>
      <w:r w:rsidR="0070004A" w:rsidRPr="005A7FF0">
        <w:rPr>
          <w:sz w:val="24"/>
          <w:szCs w:val="24"/>
        </w:rPr>
        <w:t>ton</w:t>
      </w:r>
      <w:r w:rsidR="008E3C4C" w:rsidRPr="005A7FF0">
        <w:rPr>
          <w:sz w:val="24"/>
          <w:szCs w:val="24"/>
        </w:rPr>
        <w:t xml:space="preserve"> of the relevant oil.</w:t>
      </w:r>
      <w:r w:rsidR="007F38B9" w:rsidRPr="005A7FF0">
        <w:rPr>
          <w:sz w:val="24"/>
          <w:szCs w:val="24"/>
        </w:rPr>
        <w:t xml:space="preserve"> The total cost can be </w:t>
      </w:r>
      <w:r w:rsidR="00A371D5" w:rsidRPr="005A7FF0">
        <w:rPr>
          <w:sz w:val="24"/>
          <w:szCs w:val="24"/>
        </w:rPr>
        <w:t xml:space="preserve">estimated by multiplying the cost per kg by the total amount of oil </w:t>
      </w:r>
      <w:r w:rsidR="0070004A" w:rsidRPr="005A7FF0">
        <w:rPr>
          <w:sz w:val="24"/>
          <w:szCs w:val="24"/>
        </w:rPr>
        <w:t>ton</w:t>
      </w:r>
      <w:r w:rsidR="00A371D5" w:rsidRPr="005A7FF0">
        <w:rPr>
          <w:sz w:val="24"/>
          <w:szCs w:val="24"/>
        </w:rPr>
        <w:t xml:space="preserve"> produced.</w:t>
      </w:r>
    </w:p>
    <w:p w14:paraId="0E4DC833" w14:textId="2D3BE3DC" w:rsidR="006C4097" w:rsidRPr="005A7FF0" w:rsidRDefault="006C4097" w:rsidP="003632A1">
      <w:pPr>
        <w:spacing w:before="120" w:after="0" w:line="360" w:lineRule="auto"/>
        <w:rPr>
          <w:sz w:val="28"/>
          <w:szCs w:val="28"/>
        </w:rPr>
      </w:pPr>
      <w:r w:rsidRPr="005A7FF0">
        <w:rPr>
          <w:sz w:val="28"/>
          <w:szCs w:val="28"/>
        </w:rPr>
        <w:t xml:space="preserve">2.4 </w:t>
      </w:r>
      <w:r w:rsidR="004F3894" w:rsidRPr="005A7FF0">
        <w:rPr>
          <w:sz w:val="28"/>
          <w:szCs w:val="28"/>
        </w:rPr>
        <w:t>Nutrition and health</w:t>
      </w:r>
    </w:p>
    <w:p w14:paraId="61AAD682" w14:textId="38F7A37E" w:rsidR="006C4097" w:rsidRPr="005A7FF0" w:rsidRDefault="00E97CAE" w:rsidP="003632A1">
      <w:pPr>
        <w:spacing w:before="120" w:after="0" w:line="360" w:lineRule="auto"/>
        <w:rPr>
          <w:sz w:val="24"/>
          <w:szCs w:val="24"/>
        </w:rPr>
      </w:pPr>
      <w:r w:rsidRPr="005A7FF0">
        <w:rPr>
          <w:sz w:val="24"/>
          <w:szCs w:val="24"/>
        </w:rPr>
        <w:t xml:space="preserve">Although nutrition and its relationship with health are not part of traditional environmental impact assessments, they can be part of True Cost Accounting. Furthermore, given the interest of </w:t>
      </w:r>
      <w:r w:rsidR="00490D43">
        <w:rPr>
          <w:sz w:val="24"/>
          <w:szCs w:val="24"/>
        </w:rPr>
        <w:t>TKI</w:t>
      </w:r>
      <w:r w:rsidRPr="005A7FF0">
        <w:rPr>
          <w:sz w:val="24"/>
          <w:szCs w:val="24"/>
        </w:rPr>
        <w:t xml:space="preserve"> on these issues, a very simple analysis was carried out</w:t>
      </w:r>
      <w:r w:rsidR="00265884" w:rsidRPr="005A7FF0">
        <w:rPr>
          <w:sz w:val="24"/>
          <w:szCs w:val="24"/>
        </w:rPr>
        <w:t xml:space="preserve"> comparing the composition of both types of oils for key components that have been recognized as important for a healthy diet in the literature</w:t>
      </w:r>
      <w:r w:rsidR="00B05A77" w:rsidRPr="005A7FF0">
        <w:rPr>
          <w:sz w:val="24"/>
          <w:szCs w:val="24"/>
        </w:rPr>
        <w:t xml:space="preserve"> </w:t>
      </w:r>
      <w:r w:rsidR="0070004A" w:rsidRPr="005A7FF0">
        <w:rPr>
          <w:sz w:val="24"/>
          <w:szCs w:val="24"/>
        </w:rPr>
        <w:t>(Zhou et al., 2020)</w:t>
      </w:r>
      <w:r w:rsidR="00265884" w:rsidRPr="005A7FF0">
        <w:rPr>
          <w:sz w:val="24"/>
          <w:szCs w:val="24"/>
        </w:rPr>
        <w:t xml:space="preserve">. </w:t>
      </w:r>
    </w:p>
    <w:p w14:paraId="75B1167F" w14:textId="11608FDF" w:rsidR="0041129D" w:rsidRPr="005A7FF0" w:rsidRDefault="00C00861" w:rsidP="003632A1">
      <w:pPr>
        <w:spacing w:before="120" w:after="0" w:line="360" w:lineRule="auto"/>
        <w:rPr>
          <w:sz w:val="32"/>
          <w:szCs w:val="32"/>
        </w:rPr>
      </w:pPr>
      <w:r w:rsidRPr="005A7FF0">
        <w:rPr>
          <w:sz w:val="32"/>
          <w:szCs w:val="32"/>
        </w:rPr>
        <w:t>3. Results</w:t>
      </w:r>
    </w:p>
    <w:p w14:paraId="50AE2A38" w14:textId="0F5A644A" w:rsidR="00C143B7" w:rsidRPr="005A7FF0" w:rsidRDefault="00C143B7" w:rsidP="003632A1">
      <w:pPr>
        <w:spacing w:before="120" w:after="0" w:line="360" w:lineRule="auto"/>
        <w:rPr>
          <w:sz w:val="28"/>
          <w:szCs w:val="28"/>
        </w:rPr>
      </w:pPr>
      <w:r w:rsidRPr="005A7FF0">
        <w:rPr>
          <w:sz w:val="28"/>
          <w:szCs w:val="28"/>
        </w:rPr>
        <w:t>3.1 Midpoint impact results</w:t>
      </w:r>
    </w:p>
    <w:p w14:paraId="3D7860D5" w14:textId="2A3F7A87" w:rsidR="00732C57" w:rsidRPr="005A7FF0" w:rsidRDefault="00732C57" w:rsidP="003632A1">
      <w:pPr>
        <w:spacing w:before="120" w:after="0" w:line="360" w:lineRule="auto"/>
        <w:rPr>
          <w:sz w:val="24"/>
          <w:szCs w:val="24"/>
        </w:rPr>
      </w:pPr>
      <w:r w:rsidRPr="005A7FF0">
        <w:rPr>
          <w:sz w:val="24"/>
          <w:szCs w:val="24"/>
        </w:rPr>
        <w:t>Results show th</w:t>
      </w:r>
      <w:r w:rsidR="00445DF3" w:rsidRPr="005A7FF0">
        <w:rPr>
          <w:sz w:val="24"/>
          <w:szCs w:val="24"/>
        </w:rPr>
        <w:t>at</w:t>
      </w:r>
      <w:r w:rsidRPr="005A7FF0">
        <w:rPr>
          <w:sz w:val="24"/>
          <w:szCs w:val="24"/>
        </w:rPr>
        <w:t xml:space="preserve"> the environmental impacts of producing the amount of rapeseed</w:t>
      </w:r>
      <w:r w:rsidR="00445DF3" w:rsidRPr="005A7FF0">
        <w:rPr>
          <w:sz w:val="24"/>
          <w:szCs w:val="24"/>
        </w:rPr>
        <w:t xml:space="preserve"> and palm FFB at the farm level required to produce 1 kg of the respective oils are higher for rapeseed than for palm oil either involving deforestation or not</w:t>
      </w:r>
      <w:r w:rsidR="006D3CC0" w:rsidRPr="005A7FF0">
        <w:rPr>
          <w:sz w:val="24"/>
          <w:szCs w:val="24"/>
        </w:rPr>
        <w:t xml:space="preserve"> for the production of the latter</w:t>
      </w:r>
      <w:r w:rsidR="00445DF3" w:rsidRPr="005A7FF0">
        <w:rPr>
          <w:sz w:val="24"/>
          <w:szCs w:val="24"/>
        </w:rPr>
        <w:t xml:space="preserve">. </w:t>
      </w:r>
      <w:r w:rsidR="006D3CC0" w:rsidRPr="005A7FF0">
        <w:rPr>
          <w:sz w:val="24"/>
          <w:szCs w:val="24"/>
        </w:rPr>
        <w:t xml:space="preserve">The only exception is for global warming, where palm oil under deforestation generates impacts several times higher than rapeseed oil. However, palm oil under no deforestation generates substantially lower global warming impacts than rapeseed oil. </w:t>
      </w:r>
      <w:r w:rsidR="00454410" w:rsidRPr="005A7FF0">
        <w:rPr>
          <w:sz w:val="24"/>
          <w:szCs w:val="24"/>
        </w:rPr>
        <w:t xml:space="preserve">An interesting result is that impact of rapeseed oil in human non-carcinogenic toxicity is many </w:t>
      </w:r>
      <w:r w:rsidR="00E0323E" w:rsidRPr="005A7FF0">
        <w:rPr>
          <w:sz w:val="24"/>
          <w:szCs w:val="24"/>
        </w:rPr>
        <w:t>times</w:t>
      </w:r>
      <w:r w:rsidR="00454410" w:rsidRPr="005A7FF0">
        <w:rPr>
          <w:sz w:val="24"/>
          <w:szCs w:val="24"/>
        </w:rPr>
        <w:t xml:space="preserve"> higher than palm</w:t>
      </w:r>
      <w:r w:rsidR="005E7CCB" w:rsidRPr="005A7FF0">
        <w:rPr>
          <w:sz w:val="24"/>
          <w:szCs w:val="24"/>
        </w:rPr>
        <w:t xml:space="preserve"> oil</w:t>
      </w:r>
      <w:r w:rsidR="00454410" w:rsidRPr="005A7FF0">
        <w:rPr>
          <w:sz w:val="24"/>
          <w:szCs w:val="24"/>
        </w:rPr>
        <w:t xml:space="preserve"> and that palm actually shown “negative” numbers, that in this context means a positive effect </w:t>
      </w:r>
      <w:r w:rsidR="00454410" w:rsidRPr="005A7FF0">
        <w:rPr>
          <w:sz w:val="24"/>
          <w:szCs w:val="24"/>
        </w:rPr>
        <w:lastRenderedPageBreak/>
        <w:t>involving the absorption of zinc by the plant (results not shown).</w:t>
      </w:r>
      <w:r w:rsidR="0013562A" w:rsidRPr="005A7FF0">
        <w:rPr>
          <w:sz w:val="24"/>
          <w:szCs w:val="24"/>
        </w:rPr>
        <w:t xml:space="preserve"> In terms of land use, the impacts </w:t>
      </w:r>
      <w:r w:rsidR="000678A9" w:rsidRPr="005A7FF0">
        <w:rPr>
          <w:sz w:val="24"/>
          <w:szCs w:val="24"/>
        </w:rPr>
        <w:t xml:space="preserve">are reported by two subcomponents: occupation and transformation (i.e., land use change). The impacts </w:t>
      </w:r>
      <w:r w:rsidR="0013562A" w:rsidRPr="005A7FF0">
        <w:rPr>
          <w:sz w:val="24"/>
          <w:szCs w:val="24"/>
        </w:rPr>
        <w:t xml:space="preserve">of rapeseed are higher as well, even though palm oil under deforestation involves impacts due to direct occupation of the land as well as its transformation from primary forest. These differences reflect the higher productivity of palm per unit area, and that it is a plantation with an occupation of 10 years, versus rapeseed that is an annual crop. </w:t>
      </w:r>
    </w:p>
    <w:p w14:paraId="62A97F20" w14:textId="223C8457" w:rsidR="00732C57" w:rsidRPr="005A7FF0" w:rsidRDefault="00732C57" w:rsidP="003632A1">
      <w:pPr>
        <w:spacing w:before="120" w:after="0" w:line="360" w:lineRule="auto"/>
        <w:rPr>
          <w:sz w:val="24"/>
          <w:szCs w:val="24"/>
        </w:rPr>
      </w:pPr>
      <w:r w:rsidRPr="005A7FF0">
        <w:rPr>
          <w:sz w:val="24"/>
          <w:szCs w:val="24"/>
        </w:rPr>
        <w:t>Table 2. Results of midpoint impact results</w:t>
      </w:r>
    </w:p>
    <w:tbl>
      <w:tblPr>
        <w:tblW w:w="5000" w:type="pct"/>
        <w:tblLayout w:type="fixed"/>
        <w:tblLook w:val="04A0" w:firstRow="1" w:lastRow="0" w:firstColumn="1" w:lastColumn="0" w:noHBand="0" w:noVBand="1"/>
      </w:tblPr>
      <w:tblGrid>
        <w:gridCol w:w="4044"/>
        <w:gridCol w:w="1171"/>
        <w:gridCol w:w="1169"/>
        <w:gridCol w:w="1532"/>
        <w:gridCol w:w="1434"/>
      </w:tblGrid>
      <w:tr w:rsidR="000E0458" w:rsidRPr="005A7FF0" w14:paraId="78CDE808" w14:textId="77777777" w:rsidTr="000E0458">
        <w:trPr>
          <w:trHeight w:val="600"/>
        </w:trPr>
        <w:tc>
          <w:tcPr>
            <w:tcW w:w="2163" w:type="pct"/>
            <w:tcBorders>
              <w:top w:val="single" w:sz="4" w:space="0" w:color="auto"/>
              <w:left w:val="single" w:sz="4" w:space="0" w:color="auto"/>
              <w:bottom w:val="single" w:sz="4" w:space="0" w:color="auto"/>
              <w:right w:val="single" w:sz="4" w:space="0" w:color="auto"/>
            </w:tcBorders>
            <w:shd w:val="clear" w:color="auto" w:fill="auto"/>
            <w:noWrap/>
            <w:hideMark/>
          </w:tcPr>
          <w:p w14:paraId="4158F189" w14:textId="77777777" w:rsidR="00BA1765" w:rsidRPr="00C87164" w:rsidRDefault="00BA1765" w:rsidP="003632A1">
            <w:pPr>
              <w:spacing w:after="0" w:line="360" w:lineRule="auto"/>
              <w:rPr>
                <w:rFonts w:ascii="Calibri" w:eastAsia="Times New Roman" w:hAnsi="Calibri" w:cs="Calibri"/>
              </w:rPr>
            </w:pPr>
            <w:r w:rsidRPr="00C87164">
              <w:rPr>
                <w:rFonts w:ascii="Calibri" w:eastAsia="Times New Roman" w:hAnsi="Calibri" w:cs="Calibri"/>
              </w:rPr>
              <w:t>Impact category</w:t>
            </w:r>
          </w:p>
        </w:tc>
        <w:tc>
          <w:tcPr>
            <w:tcW w:w="626" w:type="pct"/>
            <w:tcBorders>
              <w:top w:val="single" w:sz="4" w:space="0" w:color="auto"/>
              <w:left w:val="nil"/>
              <w:bottom w:val="single" w:sz="4" w:space="0" w:color="auto"/>
              <w:right w:val="single" w:sz="4" w:space="0" w:color="auto"/>
            </w:tcBorders>
            <w:shd w:val="clear" w:color="auto" w:fill="auto"/>
            <w:noWrap/>
            <w:hideMark/>
          </w:tcPr>
          <w:p w14:paraId="0C36EBC4" w14:textId="77777777" w:rsidR="00BA1765" w:rsidRPr="00C87164" w:rsidRDefault="00BA1765" w:rsidP="003632A1">
            <w:pPr>
              <w:spacing w:after="0" w:line="360" w:lineRule="auto"/>
              <w:rPr>
                <w:rFonts w:ascii="Calibri" w:eastAsia="Times New Roman" w:hAnsi="Calibri" w:cs="Calibri"/>
              </w:rPr>
            </w:pPr>
            <w:r w:rsidRPr="00C87164">
              <w:rPr>
                <w:rFonts w:ascii="Calibri" w:eastAsia="Times New Roman" w:hAnsi="Calibri" w:cs="Calibri"/>
              </w:rPr>
              <w:t>Reference unit</w:t>
            </w:r>
          </w:p>
        </w:tc>
        <w:tc>
          <w:tcPr>
            <w:tcW w:w="625" w:type="pct"/>
            <w:tcBorders>
              <w:top w:val="single" w:sz="4" w:space="0" w:color="auto"/>
              <w:left w:val="nil"/>
              <w:bottom w:val="single" w:sz="4" w:space="0" w:color="auto"/>
              <w:right w:val="single" w:sz="4" w:space="0" w:color="auto"/>
            </w:tcBorders>
            <w:shd w:val="clear" w:color="auto" w:fill="auto"/>
            <w:hideMark/>
          </w:tcPr>
          <w:p w14:paraId="31FF6D42" w14:textId="01F61217" w:rsidR="00BA1765" w:rsidRPr="005A7FF0" w:rsidRDefault="00790874"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Rapeseed</w:t>
            </w:r>
          </w:p>
        </w:tc>
        <w:tc>
          <w:tcPr>
            <w:tcW w:w="819" w:type="pct"/>
            <w:tcBorders>
              <w:top w:val="single" w:sz="4" w:space="0" w:color="auto"/>
              <w:left w:val="nil"/>
              <w:bottom w:val="single" w:sz="4" w:space="0" w:color="auto"/>
              <w:right w:val="single" w:sz="4" w:space="0" w:color="auto"/>
            </w:tcBorders>
            <w:shd w:val="clear" w:color="auto" w:fill="auto"/>
            <w:hideMark/>
          </w:tcPr>
          <w:p w14:paraId="2F0F5984"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Palm Oil Deforestation</w:t>
            </w:r>
          </w:p>
        </w:tc>
        <w:tc>
          <w:tcPr>
            <w:tcW w:w="767" w:type="pct"/>
            <w:tcBorders>
              <w:top w:val="single" w:sz="4" w:space="0" w:color="auto"/>
              <w:left w:val="nil"/>
              <w:bottom w:val="single" w:sz="4" w:space="0" w:color="auto"/>
              <w:right w:val="single" w:sz="4" w:space="0" w:color="auto"/>
            </w:tcBorders>
            <w:shd w:val="clear" w:color="auto" w:fill="auto"/>
            <w:hideMark/>
          </w:tcPr>
          <w:p w14:paraId="7AE9DCF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Palm Oil No deforestation</w:t>
            </w:r>
          </w:p>
        </w:tc>
      </w:tr>
      <w:tr w:rsidR="000E0458" w:rsidRPr="005A7FF0" w14:paraId="3368ED14"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0E4B7D0F"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Fine particulate matter formation</w:t>
            </w:r>
          </w:p>
        </w:tc>
        <w:tc>
          <w:tcPr>
            <w:tcW w:w="626" w:type="pct"/>
            <w:tcBorders>
              <w:top w:val="nil"/>
              <w:left w:val="nil"/>
              <w:bottom w:val="single" w:sz="4" w:space="0" w:color="auto"/>
              <w:right w:val="single" w:sz="4" w:space="0" w:color="auto"/>
            </w:tcBorders>
            <w:shd w:val="clear" w:color="auto" w:fill="auto"/>
            <w:noWrap/>
            <w:hideMark/>
          </w:tcPr>
          <w:p w14:paraId="01096F8F"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PM2.5 eq</w:t>
            </w:r>
          </w:p>
        </w:tc>
        <w:tc>
          <w:tcPr>
            <w:tcW w:w="625" w:type="pct"/>
            <w:tcBorders>
              <w:top w:val="nil"/>
              <w:left w:val="nil"/>
              <w:bottom w:val="single" w:sz="4" w:space="0" w:color="auto"/>
              <w:right w:val="single" w:sz="4" w:space="0" w:color="auto"/>
            </w:tcBorders>
            <w:shd w:val="clear" w:color="auto" w:fill="auto"/>
            <w:noWrap/>
            <w:hideMark/>
          </w:tcPr>
          <w:p w14:paraId="620982E2"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0.0105</w:t>
            </w:r>
          </w:p>
        </w:tc>
        <w:tc>
          <w:tcPr>
            <w:tcW w:w="819" w:type="pct"/>
            <w:tcBorders>
              <w:top w:val="nil"/>
              <w:left w:val="nil"/>
              <w:bottom w:val="single" w:sz="4" w:space="0" w:color="auto"/>
              <w:right w:val="single" w:sz="4" w:space="0" w:color="auto"/>
            </w:tcBorders>
            <w:shd w:val="clear" w:color="auto" w:fill="auto"/>
            <w:noWrap/>
            <w:hideMark/>
          </w:tcPr>
          <w:p w14:paraId="21EF125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0.0040</w:t>
            </w:r>
          </w:p>
        </w:tc>
        <w:tc>
          <w:tcPr>
            <w:tcW w:w="767" w:type="pct"/>
            <w:tcBorders>
              <w:top w:val="nil"/>
              <w:left w:val="nil"/>
              <w:bottom w:val="single" w:sz="4" w:space="0" w:color="auto"/>
              <w:right w:val="single" w:sz="4" w:space="0" w:color="auto"/>
            </w:tcBorders>
            <w:shd w:val="clear" w:color="auto" w:fill="auto"/>
            <w:noWrap/>
            <w:hideMark/>
          </w:tcPr>
          <w:p w14:paraId="6B9E4FD1"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0.0012</w:t>
            </w:r>
          </w:p>
        </w:tc>
      </w:tr>
      <w:tr w:rsidR="000E0458" w:rsidRPr="005A7FF0" w14:paraId="25725698"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5B5BDE52"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Fossil resource scarcity</w:t>
            </w:r>
          </w:p>
        </w:tc>
        <w:tc>
          <w:tcPr>
            <w:tcW w:w="626" w:type="pct"/>
            <w:tcBorders>
              <w:top w:val="nil"/>
              <w:left w:val="nil"/>
              <w:bottom w:val="single" w:sz="4" w:space="0" w:color="auto"/>
              <w:right w:val="single" w:sz="4" w:space="0" w:color="auto"/>
            </w:tcBorders>
            <w:shd w:val="clear" w:color="auto" w:fill="auto"/>
            <w:noWrap/>
            <w:hideMark/>
          </w:tcPr>
          <w:p w14:paraId="6E6CE99F"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oil eq</w:t>
            </w:r>
          </w:p>
        </w:tc>
        <w:tc>
          <w:tcPr>
            <w:tcW w:w="625" w:type="pct"/>
            <w:tcBorders>
              <w:top w:val="nil"/>
              <w:left w:val="nil"/>
              <w:bottom w:val="single" w:sz="4" w:space="0" w:color="auto"/>
              <w:right w:val="single" w:sz="4" w:space="0" w:color="auto"/>
            </w:tcBorders>
            <w:shd w:val="clear" w:color="auto" w:fill="auto"/>
            <w:noWrap/>
            <w:hideMark/>
          </w:tcPr>
          <w:p w14:paraId="634B5FF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0.2851</w:t>
            </w:r>
          </w:p>
        </w:tc>
        <w:tc>
          <w:tcPr>
            <w:tcW w:w="819" w:type="pct"/>
            <w:tcBorders>
              <w:top w:val="nil"/>
              <w:left w:val="nil"/>
              <w:bottom w:val="single" w:sz="4" w:space="0" w:color="auto"/>
              <w:right w:val="single" w:sz="4" w:space="0" w:color="auto"/>
            </w:tcBorders>
            <w:shd w:val="clear" w:color="auto" w:fill="auto"/>
            <w:noWrap/>
            <w:hideMark/>
          </w:tcPr>
          <w:p w14:paraId="5DAC58AC"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0.0604</w:t>
            </w:r>
          </w:p>
        </w:tc>
        <w:tc>
          <w:tcPr>
            <w:tcW w:w="767" w:type="pct"/>
            <w:tcBorders>
              <w:top w:val="nil"/>
              <w:left w:val="nil"/>
              <w:bottom w:val="single" w:sz="4" w:space="0" w:color="auto"/>
              <w:right w:val="single" w:sz="4" w:space="0" w:color="auto"/>
            </w:tcBorders>
            <w:shd w:val="clear" w:color="auto" w:fill="auto"/>
            <w:noWrap/>
            <w:hideMark/>
          </w:tcPr>
          <w:p w14:paraId="37D29A33"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0.0664</w:t>
            </w:r>
          </w:p>
        </w:tc>
      </w:tr>
      <w:tr w:rsidR="000E0458" w:rsidRPr="005A7FF0" w14:paraId="34402C4B"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2E70C44F"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Freshwater ecotoxicity</w:t>
            </w:r>
          </w:p>
        </w:tc>
        <w:tc>
          <w:tcPr>
            <w:tcW w:w="626" w:type="pct"/>
            <w:tcBorders>
              <w:top w:val="nil"/>
              <w:left w:val="nil"/>
              <w:bottom w:val="single" w:sz="4" w:space="0" w:color="auto"/>
              <w:right w:val="single" w:sz="4" w:space="0" w:color="auto"/>
            </w:tcBorders>
            <w:shd w:val="clear" w:color="auto" w:fill="auto"/>
            <w:noWrap/>
            <w:hideMark/>
          </w:tcPr>
          <w:p w14:paraId="3727E24B"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1,4-DCB</w:t>
            </w:r>
          </w:p>
        </w:tc>
        <w:tc>
          <w:tcPr>
            <w:tcW w:w="625" w:type="pct"/>
            <w:tcBorders>
              <w:top w:val="nil"/>
              <w:left w:val="nil"/>
              <w:bottom w:val="single" w:sz="4" w:space="0" w:color="auto"/>
              <w:right w:val="single" w:sz="4" w:space="0" w:color="auto"/>
            </w:tcBorders>
            <w:shd w:val="clear" w:color="auto" w:fill="auto"/>
            <w:noWrap/>
            <w:hideMark/>
          </w:tcPr>
          <w:p w14:paraId="102117B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0.0311</w:t>
            </w:r>
          </w:p>
        </w:tc>
        <w:tc>
          <w:tcPr>
            <w:tcW w:w="819" w:type="pct"/>
            <w:tcBorders>
              <w:top w:val="nil"/>
              <w:left w:val="nil"/>
              <w:bottom w:val="single" w:sz="4" w:space="0" w:color="auto"/>
              <w:right w:val="single" w:sz="4" w:space="0" w:color="auto"/>
            </w:tcBorders>
            <w:shd w:val="clear" w:color="auto" w:fill="auto"/>
            <w:noWrap/>
            <w:hideMark/>
          </w:tcPr>
          <w:p w14:paraId="60967681"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0.0135</w:t>
            </w:r>
          </w:p>
        </w:tc>
        <w:tc>
          <w:tcPr>
            <w:tcW w:w="767" w:type="pct"/>
            <w:tcBorders>
              <w:top w:val="nil"/>
              <w:left w:val="nil"/>
              <w:bottom w:val="single" w:sz="4" w:space="0" w:color="auto"/>
              <w:right w:val="single" w:sz="4" w:space="0" w:color="auto"/>
            </w:tcBorders>
            <w:shd w:val="clear" w:color="auto" w:fill="auto"/>
            <w:noWrap/>
            <w:hideMark/>
          </w:tcPr>
          <w:p w14:paraId="074D1C37"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0.0153</w:t>
            </w:r>
          </w:p>
        </w:tc>
      </w:tr>
      <w:tr w:rsidR="000E0458" w:rsidRPr="005A7FF0" w14:paraId="19DA9742"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1CF00992"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Freshwater eutrophication</w:t>
            </w:r>
          </w:p>
        </w:tc>
        <w:tc>
          <w:tcPr>
            <w:tcW w:w="626" w:type="pct"/>
            <w:tcBorders>
              <w:top w:val="nil"/>
              <w:left w:val="nil"/>
              <w:bottom w:val="single" w:sz="4" w:space="0" w:color="auto"/>
              <w:right w:val="single" w:sz="4" w:space="0" w:color="auto"/>
            </w:tcBorders>
            <w:shd w:val="clear" w:color="auto" w:fill="auto"/>
            <w:noWrap/>
            <w:hideMark/>
          </w:tcPr>
          <w:p w14:paraId="3FABF517"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P eq</w:t>
            </w:r>
          </w:p>
        </w:tc>
        <w:tc>
          <w:tcPr>
            <w:tcW w:w="625" w:type="pct"/>
            <w:tcBorders>
              <w:top w:val="nil"/>
              <w:left w:val="nil"/>
              <w:bottom w:val="single" w:sz="4" w:space="0" w:color="auto"/>
              <w:right w:val="single" w:sz="4" w:space="0" w:color="auto"/>
            </w:tcBorders>
            <w:shd w:val="clear" w:color="auto" w:fill="auto"/>
            <w:noWrap/>
            <w:hideMark/>
          </w:tcPr>
          <w:p w14:paraId="42E63F08"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0.0006</w:t>
            </w:r>
          </w:p>
        </w:tc>
        <w:tc>
          <w:tcPr>
            <w:tcW w:w="819" w:type="pct"/>
            <w:tcBorders>
              <w:top w:val="nil"/>
              <w:left w:val="nil"/>
              <w:bottom w:val="single" w:sz="4" w:space="0" w:color="auto"/>
              <w:right w:val="single" w:sz="4" w:space="0" w:color="auto"/>
            </w:tcBorders>
            <w:shd w:val="clear" w:color="auto" w:fill="auto"/>
            <w:noWrap/>
            <w:hideMark/>
          </w:tcPr>
          <w:p w14:paraId="160D0148"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0.0001</w:t>
            </w:r>
          </w:p>
        </w:tc>
        <w:tc>
          <w:tcPr>
            <w:tcW w:w="767" w:type="pct"/>
            <w:tcBorders>
              <w:top w:val="nil"/>
              <w:left w:val="nil"/>
              <w:bottom w:val="single" w:sz="4" w:space="0" w:color="auto"/>
              <w:right w:val="single" w:sz="4" w:space="0" w:color="auto"/>
            </w:tcBorders>
            <w:shd w:val="clear" w:color="auto" w:fill="auto"/>
            <w:noWrap/>
            <w:hideMark/>
          </w:tcPr>
          <w:p w14:paraId="0BF6E5CD"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0.0001</w:t>
            </w:r>
          </w:p>
        </w:tc>
      </w:tr>
      <w:tr w:rsidR="000E0458" w:rsidRPr="005A7FF0" w14:paraId="79141070"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71E971C6"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Global warming</w:t>
            </w:r>
          </w:p>
        </w:tc>
        <w:tc>
          <w:tcPr>
            <w:tcW w:w="626" w:type="pct"/>
            <w:tcBorders>
              <w:top w:val="nil"/>
              <w:left w:val="nil"/>
              <w:bottom w:val="single" w:sz="4" w:space="0" w:color="auto"/>
              <w:right w:val="single" w:sz="4" w:space="0" w:color="auto"/>
            </w:tcBorders>
            <w:shd w:val="clear" w:color="auto" w:fill="auto"/>
            <w:noWrap/>
            <w:hideMark/>
          </w:tcPr>
          <w:p w14:paraId="23BEBEFA"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CO2 eq</w:t>
            </w:r>
          </w:p>
        </w:tc>
        <w:tc>
          <w:tcPr>
            <w:tcW w:w="625" w:type="pct"/>
            <w:tcBorders>
              <w:top w:val="nil"/>
              <w:left w:val="nil"/>
              <w:bottom w:val="single" w:sz="4" w:space="0" w:color="auto"/>
              <w:right w:val="single" w:sz="4" w:space="0" w:color="auto"/>
            </w:tcBorders>
            <w:shd w:val="clear" w:color="auto" w:fill="auto"/>
            <w:noWrap/>
            <w:hideMark/>
          </w:tcPr>
          <w:p w14:paraId="67B15502"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1.8825</w:t>
            </w:r>
          </w:p>
        </w:tc>
        <w:tc>
          <w:tcPr>
            <w:tcW w:w="819" w:type="pct"/>
            <w:tcBorders>
              <w:top w:val="nil"/>
              <w:left w:val="nil"/>
              <w:bottom w:val="single" w:sz="4" w:space="0" w:color="auto"/>
              <w:right w:val="single" w:sz="4" w:space="0" w:color="auto"/>
            </w:tcBorders>
            <w:shd w:val="clear" w:color="auto" w:fill="auto"/>
            <w:noWrap/>
            <w:hideMark/>
          </w:tcPr>
          <w:p w14:paraId="191725EA"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7.7672</w:t>
            </w:r>
          </w:p>
        </w:tc>
        <w:tc>
          <w:tcPr>
            <w:tcW w:w="767" w:type="pct"/>
            <w:tcBorders>
              <w:top w:val="nil"/>
              <w:left w:val="nil"/>
              <w:bottom w:val="single" w:sz="4" w:space="0" w:color="auto"/>
              <w:right w:val="single" w:sz="4" w:space="0" w:color="auto"/>
            </w:tcBorders>
            <w:shd w:val="clear" w:color="auto" w:fill="auto"/>
            <w:noWrap/>
            <w:hideMark/>
          </w:tcPr>
          <w:p w14:paraId="281642F9"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0.4927</w:t>
            </w:r>
          </w:p>
        </w:tc>
      </w:tr>
      <w:tr w:rsidR="000E0458" w:rsidRPr="005A7FF0" w14:paraId="65EA4DA4"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11C78B8E"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Human carcinogenic toxicity</w:t>
            </w:r>
          </w:p>
        </w:tc>
        <w:tc>
          <w:tcPr>
            <w:tcW w:w="626" w:type="pct"/>
            <w:tcBorders>
              <w:top w:val="nil"/>
              <w:left w:val="nil"/>
              <w:bottom w:val="single" w:sz="4" w:space="0" w:color="auto"/>
              <w:right w:val="single" w:sz="4" w:space="0" w:color="auto"/>
            </w:tcBorders>
            <w:shd w:val="clear" w:color="auto" w:fill="auto"/>
            <w:noWrap/>
            <w:hideMark/>
          </w:tcPr>
          <w:p w14:paraId="2F418B99"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1,4-DCB</w:t>
            </w:r>
          </w:p>
        </w:tc>
        <w:tc>
          <w:tcPr>
            <w:tcW w:w="625" w:type="pct"/>
            <w:tcBorders>
              <w:top w:val="nil"/>
              <w:left w:val="nil"/>
              <w:bottom w:val="single" w:sz="4" w:space="0" w:color="auto"/>
              <w:right w:val="single" w:sz="4" w:space="0" w:color="auto"/>
            </w:tcBorders>
            <w:shd w:val="clear" w:color="auto" w:fill="auto"/>
            <w:noWrap/>
            <w:hideMark/>
          </w:tcPr>
          <w:p w14:paraId="00952B3A"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0.0304</w:t>
            </w:r>
          </w:p>
        </w:tc>
        <w:tc>
          <w:tcPr>
            <w:tcW w:w="819" w:type="pct"/>
            <w:tcBorders>
              <w:top w:val="nil"/>
              <w:left w:val="nil"/>
              <w:bottom w:val="single" w:sz="4" w:space="0" w:color="auto"/>
              <w:right w:val="single" w:sz="4" w:space="0" w:color="auto"/>
            </w:tcBorders>
            <w:shd w:val="clear" w:color="auto" w:fill="auto"/>
            <w:noWrap/>
            <w:hideMark/>
          </w:tcPr>
          <w:p w14:paraId="75A7FDD9"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0.0140</w:t>
            </w:r>
          </w:p>
        </w:tc>
        <w:tc>
          <w:tcPr>
            <w:tcW w:w="767" w:type="pct"/>
            <w:tcBorders>
              <w:top w:val="nil"/>
              <w:left w:val="nil"/>
              <w:bottom w:val="single" w:sz="4" w:space="0" w:color="auto"/>
              <w:right w:val="single" w:sz="4" w:space="0" w:color="auto"/>
            </w:tcBorders>
            <w:shd w:val="clear" w:color="auto" w:fill="auto"/>
            <w:noWrap/>
            <w:hideMark/>
          </w:tcPr>
          <w:p w14:paraId="48C26D5C"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0.0119</w:t>
            </w:r>
          </w:p>
        </w:tc>
      </w:tr>
      <w:tr w:rsidR="000E0458" w:rsidRPr="005A7FF0" w14:paraId="2E467EA0"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68B18A02"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Human non-carcinogenic toxicity</w:t>
            </w:r>
          </w:p>
        </w:tc>
        <w:tc>
          <w:tcPr>
            <w:tcW w:w="626" w:type="pct"/>
            <w:tcBorders>
              <w:top w:val="nil"/>
              <w:left w:val="nil"/>
              <w:bottom w:val="single" w:sz="4" w:space="0" w:color="auto"/>
              <w:right w:val="single" w:sz="4" w:space="0" w:color="auto"/>
            </w:tcBorders>
            <w:shd w:val="clear" w:color="auto" w:fill="auto"/>
            <w:noWrap/>
            <w:hideMark/>
          </w:tcPr>
          <w:p w14:paraId="7E084B1C"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1,4-DCB</w:t>
            </w:r>
          </w:p>
        </w:tc>
        <w:tc>
          <w:tcPr>
            <w:tcW w:w="625" w:type="pct"/>
            <w:tcBorders>
              <w:top w:val="nil"/>
              <w:left w:val="nil"/>
              <w:bottom w:val="single" w:sz="4" w:space="0" w:color="auto"/>
              <w:right w:val="single" w:sz="4" w:space="0" w:color="auto"/>
            </w:tcBorders>
            <w:shd w:val="clear" w:color="auto" w:fill="auto"/>
            <w:noWrap/>
            <w:hideMark/>
          </w:tcPr>
          <w:p w14:paraId="1F366FF4"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8.1527</w:t>
            </w:r>
          </w:p>
        </w:tc>
        <w:tc>
          <w:tcPr>
            <w:tcW w:w="819" w:type="pct"/>
            <w:tcBorders>
              <w:top w:val="nil"/>
              <w:left w:val="nil"/>
              <w:bottom w:val="single" w:sz="4" w:space="0" w:color="auto"/>
              <w:right w:val="single" w:sz="4" w:space="0" w:color="auto"/>
            </w:tcBorders>
            <w:shd w:val="clear" w:color="auto" w:fill="auto"/>
            <w:noWrap/>
            <w:hideMark/>
          </w:tcPr>
          <w:p w14:paraId="0671A402"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-0.4385</w:t>
            </w:r>
          </w:p>
        </w:tc>
        <w:tc>
          <w:tcPr>
            <w:tcW w:w="767" w:type="pct"/>
            <w:tcBorders>
              <w:top w:val="nil"/>
              <w:left w:val="nil"/>
              <w:bottom w:val="single" w:sz="4" w:space="0" w:color="auto"/>
              <w:right w:val="single" w:sz="4" w:space="0" w:color="auto"/>
            </w:tcBorders>
            <w:shd w:val="clear" w:color="auto" w:fill="auto"/>
            <w:noWrap/>
            <w:hideMark/>
          </w:tcPr>
          <w:p w14:paraId="50AD9553"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-0.2943</w:t>
            </w:r>
          </w:p>
        </w:tc>
      </w:tr>
      <w:tr w:rsidR="000E0458" w:rsidRPr="005A7FF0" w14:paraId="5CD48384"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6174820F"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Ionizing radiation</w:t>
            </w:r>
          </w:p>
        </w:tc>
        <w:tc>
          <w:tcPr>
            <w:tcW w:w="626" w:type="pct"/>
            <w:tcBorders>
              <w:top w:val="nil"/>
              <w:left w:val="nil"/>
              <w:bottom w:val="single" w:sz="4" w:space="0" w:color="auto"/>
              <w:right w:val="single" w:sz="4" w:space="0" w:color="auto"/>
            </w:tcBorders>
            <w:shd w:val="clear" w:color="auto" w:fill="auto"/>
            <w:noWrap/>
            <w:hideMark/>
          </w:tcPr>
          <w:p w14:paraId="4DAE73A8" w14:textId="77777777" w:rsidR="00BA1765" w:rsidRPr="005A7FF0" w:rsidRDefault="00BA1765" w:rsidP="003632A1">
            <w:pPr>
              <w:spacing w:after="0" w:line="360" w:lineRule="auto"/>
              <w:rPr>
                <w:rFonts w:ascii="Calibri" w:eastAsia="Times New Roman" w:hAnsi="Calibri" w:cs="Calibri"/>
                <w:color w:val="000000"/>
              </w:rPr>
            </w:pPr>
            <w:proofErr w:type="spellStart"/>
            <w:r w:rsidRPr="005A7FF0">
              <w:rPr>
                <w:rFonts w:ascii="Calibri" w:eastAsia="Times New Roman" w:hAnsi="Calibri" w:cs="Calibri"/>
                <w:color w:val="000000"/>
              </w:rPr>
              <w:t>kBq</w:t>
            </w:r>
            <w:proofErr w:type="spellEnd"/>
            <w:r w:rsidRPr="005A7FF0">
              <w:rPr>
                <w:rFonts w:ascii="Calibri" w:eastAsia="Times New Roman" w:hAnsi="Calibri" w:cs="Calibri"/>
                <w:color w:val="000000"/>
              </w:rPr>
              <w:t xml:space="preserve"> Co-60 eq</w:t>
            </w:r>
          </w:p>
        </w:tc>
        <w:tc>
          <w:tcPr>
            <w:tcW w:w="625" w:type="pct"/>
            <w:tcBorders>
              <w:top w:val="nil"/>
              <w:left w:val="nil"/>
              <w:bottom w:val="single" w:sz="4" w:space="0" w:color="auto"/>
              <w:right w:val="single" w:sz="4" w:space="0" w:color="auto"/>
            </w:tcBorders>
            <w:shd w:val="clear" w:color="auto" w:fill="auto"/>
            <w:noWrap/>
            <w:hideMark/>
          </w:tcPr>
          <w:p w14:paraId="3897D7B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0.0595</w:t>
            </w:r>
          </w:p>
        </w:tc>
        <w:tc>
          <w:tcPr>
            <w:tcW w:w="819" w:type="pct"/>
            <w:tcBorders>
              <w:top w:val="nil"/>
              <w:left w:val="nil"/>
              <w:bottom w:val="single" w:sz="4" w:space="0" w:color="auto"/>
              <w:right w:val="single" w:sz="4" w:space="0" w:color="auto"/>
            </w:tcBorders>
            <w:shd w:val="clear" w:color="auto" w:fill="auto"/>
            <w:noWrap/>
            <w:hideMark/>
          </w:tcPr>
          <w:p w14:paraId="343A44BE"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0.0070</w:t>
            </w:r>
          </w:p>
        </w:tc>
        <w:tc>
          <w:tcPr>
            <w:tcW w:w="767" w:type="pct"/>
            <w:tcBorders>
              <w:top w:val="nil"/>
              <w:left w:val="nil"/>
              <w:bottom w:val="single" w:sz="4" w:space="0" w:color="auto"/>
              <w:right w:val="single" w:sz="4" w:space="0" w:color="auto"/>
            </w:tcBorders>
            <w:shd w:val="clear" w:color="auto" w:fill="auto"/>
            <w:noWrap/>
            <w:hideMark/>
          </w:tcPr>
          <w:p w14:paraId="3A6C03A4"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0.0079</w:t>
            </w:r>
          </w:p>
        </w:tc>
      </w:tr>
      <w:tr w:rsidR="000E0458" w:rsidRPr="005A7FF0" w14:paraId="32C8E4D8"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5FC65018"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Land use</w:t>
            </w:r>
          </w:p>
        </w:tc>
        <w:tc>
          <w:tcPr>
            <w:tcW w:w="626" w:type="pct"/>
            <w:tcBorders>
              <w:top w:val="nil"/>
              <w:left w:val="nil"/>
              <w:bottom w:val="single" w:sz="4" w:space="0" w:color="auto"/>
              <w:right w:val="single" w:sz="4" w:space="0" w:color="auto"/>
            </w:tcBorders>
            <w:shd w:val="clear" w:color="auto" w:fill="auto"/>
            <w:noWrap/>
            <w:hideMark/>
          </w:tcPr>
          <w:p w14:paraId="55FB8D32"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m2a crop eq</w:t>
            </w:r>
          </w:p>
        </w:tc>
        <w:tc>
          <w:tcPr>
            <w:tcW w:w="625" w:type="pct"/>
            <w:tcBorders>
              <w:top w:val="nil"/>
              <w:left w:val="nil"/>
              <w:bottom w:val="single" w:sz="4" w:space="0" w:color="auto"/>
              <w:right w:val="single" w:sz="4" w:space="0" w:color="auto"/>
            </w:tcBorders>
            <w:shd w:val="clear" w:color="auto" w:fill="auto"/>
            <w:noWrap/>
            <w:hideMark/>
          </w:tcPr>
          <w:p w14:paraId="2E64A742"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12.1804</w:t>
            </w:r>
          </w:p>
        </w:tc>
        <w:tc>
          <w:tcPr>
            <w:tcW w:w="819" w:type="pct"/>
            <w:tcBorders>
              <w:top w:val="nil"/>
              <w:left w:val="nil"/>
              <w:bottom w:val="single" w:sz="4" w:space="0" w:color="auto"/>
              <w:right w:val="single" w:sz="4" w:space="0" w:color="auto"/>
            </w:tcBorders>
            <w:shd w:val="clear" w:color="auto" w:fill="auto"/>
            <w:noWrap/>
            <w:hideMark/>
          </w:tcPr>
          <w:p w14:paraId="66715EA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2.9139</w:t>
            </w:r>
          </w:p>
        </w:tc>
        <w:tc>
          <w:tcPr>
            <w:tcW w:w="767" w:type="pct"/>
            <w:tcBorders>
              <w:top w:val="nil"/>
              <w:left w:val="nil"/>
              <w:bottom w:val="single" w:sz="4" w:space="0" w:color="auto"/>
              <w:right w:val="single" w:sz="4" w:space="0" w:color="auto"/>
            </w:tcBorders>
            <w:shd w:val="clear" w:color="auto" w:fill="auto"/>
            <w:noWrap/>
            <w:hideMark/>
          </w:tcPr>
          <w:p w14:paraId="2647FD3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1.4145</w:t>
            </w:r>
          </w:p>
        </w:tc>
      </w:tr>
      <w:tr w:rsidR="000E0458" w:rsidRPr="005A7FF0" w14:paraId="36A9C74B"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5FFFF41B" w14:textId="77777777" w:rsidR="00DD3D15" w:rsidRPr="005A7FF0" w:rsidRDefault="00DD3D1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 xml:space="preserve">   Occupation, annual crop</w:t>
            </w:r>
          </w:p>
        </w:tc>
        <w:tc>
          <w:tcPr>
            <w:tcW w:w="626" w:type="pct"/>
            <w:tcBorders>
              <w:top w:val="nil"/>
              <w:left w:val="nil"/>
              <w:bottom w:val="single" w:sz="4" w:space="0" w:color="auto"/>
              <w:right w:val="single" w:sz="4" w:space="0" w:color="auto"/>
            </w:tcBorders>
            <w:shd w:val="clear" w:color="auto" w:fill="auto"/>
            <w:noWrap/>
            <w:hideMark/>
          </w:tcPr>
          <w:p w14:paraId="79448E24" w14:textId="75AE99D0" w:rsidR="00DD3D15" w:rsidRPr="005A7FF0" w:rsidRDefault="00DD3D1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m2a crop eq</w:t>
            </w:r>
          </w:p>
        </w:tc>
        <w:tc>
          <w:tcPr>
            <w:tcW w:w="625" w:type="pct"/>
            <w:tcBorders>
              <w:top w:val="nil"/>
              <w:left w:val="nil"/>
              <w:bottom w:val="single" w:sz="4" w:space="0" w:color="auto"/>
              <w:right w:val="single" w:sz="4" w:space="0" w:color="auto"/>
            </w:tcBorders>
            <w:shd w:val="clear" w:color="auto" w:fill="auto"/>
            <w:noWrap/>
            <w:hideMark/>
          </w:tcPr>
          <w:p w14:paraId="560DEF37" w14:textId="77777777" w:rsidR="00DD3D15" w:rsidRPr="005A7FF0" w:rsidRDefault="00DD3D1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12.0629</w:t>
            </w:r>
          </w:p>
        </w:tc>
        <w:tc>
          <w:tcPr>
            <w:tcW w:w="819" w:type="pct"/>
            <w:tcBorders>
              <w:top w:val="nil"/>
              <w:left w:val="nil"/>
              <w:bottom w:val="single" w:sz="4" w:space="0" w:color="auto"/>
              <w:right w:val="single" w:sz="4" w:space="0" w:color="auto"/>
            </w:tcBorders>
            <w:shd w:val="clear" w:color="auto" w:fill="auto"/>
            <w:noWrap/>
            <w:hideMark/>
          </w:tcPr>
          <w:p w14:paraId="6F9EFFCC" w14:textId="77777777" w:rsidR="00DD3D15" w:rsidRPr="005A7FF0" w:rsidRDefault="00DD3D1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NA</w:t>
            </w:r>
          </w:p>
        </w:tc>
        <w:tc>
          <w:tcPr>
            <w:tcW w:w="767" w:type="pct"/>
            <w:tcBorders>
              <w:top w:val="nil"/>
              <w:left w:val="nil"/>
              <w:bottom w:val="single" w:sz="4" w:space="0" w:color="auto"/>
              <w:right w:val="single" w:sz="4" w:space="0" w:color="auto"/>
            </w:tcBorders>
            <w:shd w:val="clear" w:color="auto" w:fill="auto"/>
            <w:noWrap/>
            <w:hideMark/>
          </w:tcPr>
          <w:p w14:paraId="41C827C0" w14:textId="77777777" w:rsidR="00DD3D15" w:rsidRPr="005A7FF0" w:rsidRDefault="00DD3D1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NA</w:t>
            </w:r>
          </w:p>
        </w:tc>
      </w:tr>
      <w:tr w:rsidR="000E0458" w:rsidRPr="005A7FF0" w14:paraId="63E47A32"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2A4F5A38" w14:textId="77777777" w:rsidR="00DD3D15" w:rsidRPr="005A7FF0" w:rsidRDefault="00DD3D1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 xml:space="preserve">   Occupation, permanent crop</w:t>
            </w:r>
          </w:p>
        </w:tc>
        <w:tc>
          <w:tcPr>
            <w:tcW w:w="626" w:type="pct"/>
            <w:tcBorders>
              <w:top w:val="nil"/>
              <w:left w:val="nil"/>
              <w:bottom w:val="single" w:sz="4" w:space="0" w:color="auto"/>
              <w:right w:val="single" w:sz="4" w:space="0" w:color="auto"/>
            </w:tcBorders>
            <w:shd w:val="clear" w:color="auto" w:fill="auto"/>
            <w:noWrap/>
            <w:hideMark/>
          </w:tcPr>
          <w:p w14:paraId="4144E53E" w14:textId="7BF398E9" w:rsidR="00DD3D15" w:rsidRPr="005A7FF0" w:rsidRDefault="00DD3D1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m2a crop eq</w:t>
            </w:r>
          </w:p>
        </w:tc>
        <w:tc>
          <w:tcPr>
            <w:tcW w:w="625" w:type="pct"/>
            <w:tcBorders>
              <w:top w:val="nil"/>
              <w:left w:val="nil"/>
              <w:bottom w:val="single" w:sz="4" w:space="0" w:color="auto"/>
              <w:right w:val="single" w:sz="4" w:space="0" w:color="auto"/>
            </w:tcBorders>
            <w:shd w:val="clear" w:color="auto" w:fill="auto"/>
            <w:noWrap/>
            <w:hideMark/>
          </w:tcPr>
          <w:p w14:paraId="0B1B5FA2" w14:textId="77777777" w:rsidR="00DD3D15" w:rsidRPr="005A7FF0" w:rsidRDefault="00DD3D1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NA</w:t>
            </w:r>
          </w:p>
        </w:tc>
        <w:tc>
          <w:tcPr>
            <w:tcW w:w="819" w:type="pct"/>
            <w:tcBorders>
              <w:top w:val="nil"/>
              <w:left w:val="nil"/>
              <w:bottom w:val="single" w:sz="4" w:space="0" w:color="auto"/>
              <w:right w:val="single" w:sz="4" w:space="0" w:color="auto"/>
            </w:tcBorders>
            <w:shd w:val="clear" w:color="auto" w:fill="auto"/>
            <w:noWrap/>
            <w:hideMark/>
          </w:tcPr>
          <w:p w14:paraId="343070BE" w14:textId="77777777" w:rsidR="00DD3D15" w:rsidRPr="005A7FF0" w:rsidRDefault="00DD3D1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1.4069</w:t>
            </w:r>
          </w:p>
        </w:tc>
        <w:tc>
          <w:tcPr>
            <w:tcW w:w="767" w:type="pct"/>
            <w:tcBorders>
              <w:top w:val="nil"/>
              <w:left w:val="nil"/>
              <w:bottom w:val="single" w:sz="4" w:space="0" w:color="auto"/>
              <w:right w:val="single" w:sz="4" w:space="0" w:color="auto"/>
            </w:tcBorders>
            <w:shd w:val="clear" w:color="auto" w:fill="auto"/>
            <w:noWrap/>
            <w:hideMark/>
          </w:tcPr>
          <w:p w14:paraId="4161E6EA" w14:textId="77777777" w:rsidR="00DD3D15" w:rsidRPr="005A7FF0" w:rsidRDefault="00DD3D1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1.4069</w:t>
            </w:r>
          </w:p>
        </w:tc>
      </w:tr>
      <w:tr w:rsidR="000E0458" w:rsidRPr="005A7FF0" w14:paraId="6B85A837"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4F30AC2D"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 xml:space="preserve">   Transformation, from forest, primary (non-use)</w:t>
            </w:r>
          </w:p>
        </w:tc>
        <w:tc>
          <w:tcPr>
            <w:tcW w:w="626" w:type="pct"/>
            <w:tcBorders>
              <w:top w:val="nil"/>
              <w:left w:val="nil"/>
              <w:bottom w:val="single" w:sz="4" w:space="0" w:color="auto"/>
              <w:right w:val="single" w:sz="4" w:space="0" w:color="auto"/>
            </w:tcBorders>
            <w:shd w:val="clear" w:color="auto" w:fill="auto"/>
            <w:noWrap/>
            <w:hideMark/>
          </w:tcPr>
          <w:p w14:paraId="194A164A" w14:textId="4B3E1F2D"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 </w:t>
            </w:r>
            <w:r w:rsidR="00DD3D15" w:rsidRPr="005A7FF0">
              <w:rPr>
                <w:rFonts w:ascii="Calibri" w:eastAsia="Times New Roman" w:hAnsi="Calibri" w:cs="Calibri"/>
                <w:color w:val="000000"/>
              </w:rPr>
              <w:t>m2a crop eq</w:t>
            </w:r>
          </w:p>
        </w:tc>
        <w:tc>
          <w:tcPr>
            <w:tcW w:w="625" w:type="pct"/>
            <w:tcBorders>
              <w:top w:val="nil"/>
              <w:left w:val="nil"/>
              <w:bottom w:val="single" w:sz="4" w:space="0" w:color="auto"/>
              <w:right w:val="single" w:sz="4" w:space="0" w:color="auto"/>
            </w:tcBorders>
            <w:shd w:val="clear" w:color="auto" w:fill="auto"/>
            <w:noWrap/>
            <w:hideMark/>
          </w:tcPr>
          <w:p w14:paraId="4A45C37D"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NA</w:t>
            </w:r>
          </w:p>
        </w:tc>
        <w:tc>
          <w:tcPr>
            <w:tcW w:w="819" w:type="pct"/>
            <w:tcBorders>
              <w:top w:val="nil"/>
              <w:left w:val="nil"/>
              <w:bottom w:val="single" w:sz="4" w:space="0" w:color="auto"/>
              <w:right w:val="single" w:sz="4" w:space="0" w:color="auto"/>
            </w:tcBorders>
            <w:shd w:val="clear" w:color="auto" w:fill="auto"/>
            <w:noWrap/>
            <w:hideMark/>
          </w:tcPr>
          <w:p w14:paraId="71696B7F"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1.5017</w:t>
            </w:r>
          </w:p>
        </w:tc>
        <w:tc>
          <w:tcPr>
            <w:tcW w:w="767" w:type="pct"/>
            <w:tcBorders>
              <w:top w:val="nil"/>
              <w:left w:val="nil"/>
              <w:bottom w:val="single" w:sz="4" w:space="0" w:color="auto"/>
              <w:right w:val="single" w:sz="4" w:space="0" w:color="auto"/>
            </w:tcBorders>
            <w:shd w:val="clear" w:color="auto" w:fill="auto"/>
            <w:noWrap/>
            <w:hideMark/>
          </w:tcPr>
          <w:p w14:paraId="744DE636"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NA</w:t>
            </w:r>
          </w:p>
        </w:tc>
      </w:tr>
      <w:tr w:rsidR="000E0458" w:rsidRPr="005A7FF0" w14:paraId="118C7727"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019336E7"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lastRenderedPageBreak/>
              <w:t>Marine ecotoxicity</w:t>
            </w:r>
          </w:p>
        </w:tc>
        <w:tc>
          <w:tcPr>
            <w:tcW w:w="626" w:type="pct"/>
            <w:tcBorders>
              <w:top w:val="nil"/>
              <w:left w:val="nil"/>
              <w:bottom w:val="single" w:sz="4" w:space="0" w:color="auto"/>
              <w:right w:val="single" w:sz="4" w:space="0" w:color="auto"/>
            </w:tcBorders>
            <w:shd w:val="clear" w:color="auto" w:fill="auto"/>
            <w:noWrap/>
            <w:hideMark/>
          </w:tcPr>
          <w:p w14:paraId="07ADE535"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1,4-DCB</w:t>
            </w:r>
          </w:p>
        </w:tc>
        <w:tc>
          <w:tcPr>
            <w:tcW w:w="625" w:type="pct"/>
            <w:tcBorders>
              <w:top w:val="nil"/>
              <w:left w:val="nil"/>
              <w:bottom w:val="single" w:sz="4" w:space="0" w:color="auto"/>
              <w:right w:val="single" w:sz="4" w:space="0" w:color="auto"/>
            </w:tcBorders>
            <w:shd w:val="clear" w:color="auto" w:fill="auto"/>
            <w:noWrap/>
            <w:hideMark/>
          </w:tcPr>
          <w:p w14:paraId="353ED8F4"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0.0448</w:t>
            </w:r>
          </w:p>
        </w:tc>
        <w:tc>
          <w:tcPr>
            <w:tcW w:w="819" w:type="pct"/>
            <w:tcBorders>
              <w:top w:val="nil"/>
              <w:left w:val="nil"/>
              <w:bottom w:val="single" w:sz="4" w:space="0" w:color="auto"/>
              <w:right w:val="single" w:sz="4" w:space="0" w:color="auto"/>
            </w:tcBorders>
            <w:shd w:val="clear" w:color="auto" w:fill="auto"/>
            <w:noWrap/>
            <w:hideMark/>
          </w:tcPr>
          <w:p w14:paraId="4715DE8C"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0.0126</w:t>
            </w:r>
          </w:p>
        </w:tc>
        <w:tc>
          <w:tcPr>
            <w:tcW w:w="767" w:type="pct"/>
            <w:tcBorders>
              <w:top w:val="nil"/>
              <w:left w:val="nil"/>
              <w:bottom w:val="single" w:sz="4" w:space="0" w:color="auto"/>
              <w:right w:val="single" w:sz="4" w:space="0" w:color="auto"/>
            </w:tcBorders>
            <w:shd w:val="clear" w:color="auto" w:fill="auto"/>
            <w:noWrap/>
            <w:hideMark/>
          </w:tcPr>
          <w:p w14:paraId="2D077126"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0.0149</w:t>
            </w:r>
          </w:p>
        </w:tc>
      </w:tr>
      <w:tr w:rsidR="000E0458" w:rsidRPr="005A7FF0" w14:paraId="6D57E534"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54C3DD6C"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Marine eutrophication</w:t>
            </w:r>
          </w:p>
        </w:tc>
        <w:tc>
          <w:tcPr>
            <w:tcW w:w="626" w:type="pct"/>
            <w:tcBorders>
              <w:top w:val="nil"/>
              <w:left w:val="nil"/>
              <w:bottom w:val="single" w:sz="4" w:space="0" w:color="auto"/>
              <w:right w:val="single" w:sz="4" w:space="0" w:color="auto"/>
            </w:tcBorders>
            <w:shd w:val="clear" w:color="auto" w:fill="auto"/>
            <w:noWrap/>
            <w:hideMark/>
          </w:tcPr>
          <w:p w14:paraId="7912524C"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N eq</w:t>
            </w:r>
          </w:p>
        </w:tc>
        <w:tc>
          <w:tcPr>
            <w:tcW w:w="625" w:type="pct"/>
            <w:tcBorders>
              <w:top w:val="nil"/>
              <w:left w:val="nil"/>
              <w:bottom w:val="single" w:sz="4" w:space="0" w:color="auto"/>
              <w:right w:val="single" w:sz="4" w:space="0" w:color="auto"/>
            </w:tcBorders>
            <w:shd w:val="clear" w:color="auto" w:fill="auto"/>
            <w:noWrap/>
            <w:hideMark/>
          </w:tcPr>
          <w:p w14:paraId="4EEC143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0.0132</w:t>
            </w:r>
          </w:p>
        </w:tc>
        <w:tc>
          <w:tcPr>
            <w:tcW w:w="819" w:type="pct"/>
            <w:tcBorders>
              <w:top w:val="nil"/>
              <w:left w:val="nil"/>
              <w:bottom w:val="single" w:sz="4" w:space="0" w:color="auto"/>
              <w:right w:val="single" w:sz="4" w:space="0" w:color="auto"/>
            </w:tcBorders>
            <w:shd w:val="clear" w:color="auto" w:fill="auto"/>
            <w:noWrap/>
            <w:hideMark/>
          </w:tcPr>
          <w:p w14:paraId="51CF428A"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0.0019</w:t>
            </w:r>
          </w:p>
        </w:tc>
        <w:tc>
          <w:tcPr>
            <w:tcW w:w="767" w:type="pct"/>
            <w:tcBorders>
              <w:top w:val="nil"/>
              <w:left w:val="nil"/>
              <w:bottom w:val="single" w:sz="4" w:space="0" w:color="auto"/>
              <w:right w:val="single" w:sz="4" w:space="0" w:color="auto"/>
            </w:tcBorders>
            <w:shd w:val="clear" w:color="auto" w:fill="auto"/>
            <w:noWrap/>
            <w:hideMark/>
          </w:tcPr>
          <w:p w14:paraId="17387E74"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0.0078</w:t>
            </w:r>
          </w:p>
        </w:tc>
      </w:tr>
      <w:tr w:rsidR="000E0458" w:rsidRPr="005A7FF0" w14:paraId="548F9D2F"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6000FD84"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Mineral resource scarcity</w:t>
            </w:r>
          </w:p>
        </w:tc>
        <w:tc>
          <w:tcPr>
            <w:tcW w:w="626" w:type="pct"/>
            <w:tcBorders>
              <w:top w:val="nil"/>
              <w:left w:val="nil"/>
              <w:bottom w:val="single" w:sz="4" w:space="0" w:color="auto"/>
              <w:right w:val="single" w:sz="4" w:space="0" w:color="auto"/>
            </w:tcBorders>
            <w:shd w:val="clear" w:color="auto" w:fill="auto"/>
            <w:noWrap/>
            <w:hideMark/>
          </w:tcPr>
          <w:p w14:paraId="210A9416"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Cu eq</w:t>
            </w:r>
          </w:p>
        </w:tc>
        <w:tc>
          <w:tcPr>
            <w:tcW w:w="625" w:type="pct"/>
            <w:tcBorders>
              <w:top w:val="nil"/>
              <w:left w:val="nil"/>
              <w:bottom w:val="single" w:sz="4" w:space="0" w:color="auto"/>
              <w:right w:val="single" w:sz="4" w:space="0" w:color="auto"/>
            </w:tcBorders>
            <w:shd w:val="clear" w:color="auto" w:fill="auto"/>
            <w:noWrap/>
            <w:hideMark/>
          </w:tcPr>
          <w:p w14:paraId="2DDFCF62"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0.0077</w:t>
            </w:r>
          </w:p>
        </w:tc>
        <w:tc>
          <w:tcPr>
            <w:tcW w:w="819" w:type="pct"/>
            <w:tcBorders>
              <w:top w:val="nil"/>
              <w:left w:val="nil"/>
              <w:bottom w:val="single" w:sz="4" w:space="0" w:color="auto"/>
              <w:right w:val="single" w:sz="4" w:space="0" w:color="auto"/>
            </w:tcBorders>
            <w:shd w:val="clear" w:color="auto" w:fill="auto"/>
            <w:noWrap/>
            <w:hideMark/>
          </w:tcPr>
          <w:p w14:paraId="7E23AFB3"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0.0537</w:t>
            </w:r>
          </w:p>
        </w:tc>
        <w:tc>
          <w:tcPr>
            <w:tcW w:w="767" w:type="pct"/>
            <w:tcBorders>
              <w:top w:val="nil"/>
              <w:left w:val="nil"/>
              <w:bottom w:val="single" w:sz="4" w:space="0" w:color="auto"/>
              <w:right w:val="single" w:sz="4" w:space="0" w:color="auto"/>
            </w:tcBorders>
            <w:shd w:val="clear" w:color="auto" w:fill="auto"/>
            <w:noWrap/>
            <w:hideMark/>
          </w:tcPr>
          <w:p w14:paraId="3A1862B5"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0.0541</w:t>
            </w:r>
          </w:p>
        </w:tc>
      </w:tr>
      <w:tr w:rsidR="000E0458" w:rsidRPr="005A7FF0" w14:paraId="6E1C05DB"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248DEF57"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Ozone formation, Human health</w:t>
            </w:r>
          </w:p>
        </w:tc>
        <w:tc>
          <w:tcPr>
            <w:tcW w:w="626" w:type="pct"/>
            <w:tcBorders>
              <w:top w:val="nil"/>
              <w:left w:val="nil"/>
              <w:bottom w:val="single" w:sz="4" w:space="0" w:color="auto"/>
              <w:right w:val="single" w:sz="4" w:space="0" w:color="auto"/>
            </w:tcBorders>
            <w:shd w:val="clear" w:color="auto" w:fill="auto"/>
            <w:noWrap/>
            <w:hideMark/>
          </w:tcPr>
          <w:p w14:paraId="74239938"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NOx eq</w:t>
            </w:r>
          </w:p>
        </w:tc>
        <w:tc>
          <w:tcPr>
            <w:tcW w:w="625" w:type="pct"/>
            <w:tcBorders>
              <w:top w:val="nil"/>
              <w:left w:val="nil"/>
              <w:bottom w:val="single" w:sz="4" w:space="0" w:color="auto"/>
              <w:right w:val="single" w:sz="4" w:space="0" w:color="auto"/>
            </w:tcBorders>
            <w:shd w:val="clear" w:color="auto" w:fill="auto"/>
            <w:noWrap/>
            <w:hideMark/>
          </w:tcPr>
          <w:p w14:paraId="14B9F787"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0.0098</w:t>
            </w:r>
          </w:p>
        </w:tc>
        <w:tc>
          <w:tcPr>
            <w:tcW w:w="819" w:type="pct"/>
            <w:tcBorders>
              <w:top w:val="nil"/>
              <w:left w:val="nil"/>
              <w:bottom w:val="single" w:sz="4" w:space="0" w:color="auto"/>
              <w:right w:val="single" w:sz="4" w:space="0" w:color="auto"/>
            </w:tcBorders>
            <w:shd w:val="clear" w:color="auto" w:fill="auto"/>
            <w:noWrap/>
            <w:hideMark/>
          </w:tcPr>
          <w:p w14:paraId="3D59A506"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0.0019</w:t>
            </w:r>
          </w:p>
        </w:tc>
        <w:tc>
          <w:tcPr>
            <w:tcW w:w="767" w:type="pct"/>
            <w:tcBorders>
              <w:top w:val="nil"/>
              <w:left w:val="nil"/>
              <w:bottom w:val="single" w:sz="4" w:space="0" w:color="auto"/>
              <w:right w:val="single" w:sz="4" w:space="0" w:color="auto"/>
            </w:tcBorders>
            <w:shd w:val="clear" w:color="auto" w:fill="auto"/>
            <w:noWrap/>
            <w:hideMark/>
          </w:tcPr>
          <w:p w14:paraId="331CACC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0.0009</w:t>
            </w:r>
          </w:p>
        </w:tc>
      </w:tr>
      <w:tr w:rsidR="000E0458" w:rsidRPr="005A7FF0" w14:paraId="7EEDBD32"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4419A708"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Ozone formation, Terrestrial ecosystems</w:t>
            </w:r>
          </w:p>
        </w:tc>
        <w:tc>
          <w:tcPr>
            <w:tcW w:w="626" w:type="pct"/>
            <w:tcBorders>
              <w:top w:val="nil"/>
              <w:left w:val="nil"/>
              <w:bottom w:val="single" w:sz="4" w:space="0" w:color="auto"/>
              <w:right w:val="single" w:sz="4" w:space="0" w:color="auto"/>
            </w:tcBorders>
            <w:shd w:val="clear" w:color="auto" w:fill="auto"/>
            <w:noWrap/>
            <w:hideMark/>
          </w:tcPr>
          <w:p w14:paraId="2729BD24"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NOx eq</w:t>
            </w:r>
          </w:p>
        </w:tc>
        <w:tc>
          <w:tcPr>
            <w:tcW w:w="625" w:type="pct"/>
            <w:tcBorders>
              <w:top w:val="nil"/>
              <w:left w:val="nil"/>
              <w:bottom w:val="single" w:sz="4" w:space="0" w:color="auto"/>
              <w:right w:val="single" w:sz="4" w:space="0" w:color="auto"/>
            </w:tcBorders>
            <w:shd w:val="clear" w:color="auto" w:fill="auto"/>
            <w:noWrap/>
            <w:hideMark/>
          </w:tcPr>
          <w:p w14:paraId="0749E2C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0.0099</w:t>
            </w:r>
          </w:p>
        </w:tc>
        <w:tc>
          <w:tcPr>
            <w:tcW w:w="819" w:type="pct"/>
            <w:tcBorders>
              <w:top w:val="nil"/>
              <w:left w:val="nil"/>
              <w:bottom w:val="single" w:sz="4" w:space="0" w:color="auto"/>
              <w:right w:val="single" w:sz="4" w:space="0" w:color="auto"/>
            </w:tcBorders>
            <w:shd w:val="clear" w:color="auto" w:fill="auto"/>
            <w:noWrap/>
            <w:hideMark/>
          </w:tcPr>
          <w:p w14:paraId="388C9CF8"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0.0022</w:t>
            </w:r>
          </w:p>
        </w:tc>
        <w:tc>
          <w:tcPr>
            <w:tcW w:w="767" w:type="pct"/>
            <w:tcBorders>
              <w:top w:val="nil"/>
              <w:left w:val="nil"/>
              <w:bottom w:val="single" w:sz="4" w:space="0" w:color="auto"/>
              <w:right w:val="single" w:sz="4" w:space="0" w:color="auto"/>
            </w:tcBorders>
            <w:shd w:val="clear" w:color="auto" w:fill="auto"/>
            <w:noWrap/>
            <w:hideMark/>
          </w:tcPr>
          <w:p w14:paraId="056E98EF"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0.0010</w:t>
            </w:r>
          </w:p>
        </w:tc>
      </w:tr>
      <w:tr w:rsidR="000E0458" w:rsidRPr="005A7FF0" w14:paraId="5B7D41B0"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01802619"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Stratospheric ozone depletion</w:t>
            </w:r>
          </w:p>
        </w:tc>
        <w:tc>
          <w:tcPr>
            <w:tcW w:w="626" w:type="pct"/>
            <w:tcBorders>
              <w:top w:val="nil"/>
              <w:left w:val="nil"/>
              <w:bottom w:val="single" w:sz="4" w:space="0" w:color="auto"/>
              <w:right w:val="single" w:sz="4" w:space="0" w:color="auto"/>
            </w:tcBorders>
            <w:shd w:val="clear" w:color="auto" w:fill="auto"/>
            <w:noWrap/>
            <w:hideMark/>
          </w:tcPr>
          <w:p w14:paraId="2C42352C"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CFC11 eq</w:t>
            </w:r>
          </w:p>
        </w:tc>
        <w:tc>
          <w:tcPr>
            <w:tcW w:w="625" w:type="pct"/>
            <w:tcBorders>
              <w:top w:val="nil"/>
              <w:left w:val="nil"/>
              <w:bottom w:val="single" w:sz="4" w:space="0" w:color="auto"/>
              <w:right w:val="single" w:sz="4" w:space="0" w:color="auto"/>
            </w:tcBorders>
            <w:shd w:val="clear" w:color="auto" w:fill="auto"/>
            <w:noWrap/>
            <w:hideMark/>
          </w:tcPr>
          <w:p w14:paraId="02FE9349"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0.0000</w:t>
            </w:r>
          </w:p>
        </w:tc>
        <w:tc>
          <w:tcPr>
            <w:tcW w:w="819" w:type="pct"/>
            <w:tcBorders>
              <w:top w:val="nil"/>
              <w:left w:val="nil"/>
              <w:bottom w:val="single" w:sz="4" w:space="0" w:color="auto"/>
              <w:right w:val="single" w:sz="4" w:space="0" w:color="auto"/>
            </w:tcBorders>
            <w:shd w:val="clear" w:color="auto" w:fill="auto"/>
            <w:noWrap/>
            <w:hideMark/>
          </w:tcPr>
          <w:p w14:paraId="7B64FC45"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0.0000</w:t>
            </w:r>
          </w:p>
        </w:tc>
        <w:tc>
          <w:tcPr>
            <w:tcW w:w="767" w:type="pct"/>
            <w:tcBorders>
              <w:top w:val="nil"/>
              <w:left w:val="nil"/>
              <w:bottom w:val="single" w:sz="4" w:space="0" w:color="auto"/>
              <w:right w:val="single" w:sz="4" w:space="0" w:color="auto"/>
            </w:tcBorders>
            <w:shd w:val="clear" w:color="auto" w:fill="auto"/>
            <w:noWrap/>
            <w:hideMark/>
          </w:tcPr>
          <w:p w14:paraId="6C2ED3B9"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0.0000</w:t>
            </w:r>
          </w:p>
        </w:tc>
      </w:tr>
      <w:tr w:rsidR="000E0458" w:rsidRPr="005A7FF0" w14:paraId="651E4614"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6F4DE2EA"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Terrestrial acidification</w:t>
            </w:r>
          </w:p>
        </w:tc>
        <w:tc>
          <w:tcPr>
            <w:tcW w:w="626" w:type="pct"/>
            <w:tcBorders>
              <w:top w:val="nil"/>
              <w:left w:val="nil"/>
              <w:bottom w:val="single" w:sz="4" w:space="0" w:color="auto"/>
              <w:right w:val="single" w:sz="4" w:space="0" w:color="auto"/>
            </w:tcBorders>
            <w:shd w:val="clear" w:color="auto" w:fill="auto"/>
            <w:noWrap/>
            <w:hideMark/>
          </w:tcPr>
          <w:p w14:paraId="1A070D04"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SO2 eq</w:t>
            </w:r>
          </w:p>
        </w:tc>
        <w:tc>
          <w:tcPr>
            <w:tcW w:w="625" w:type="pct"/>
            <w:tcBorders>
              <w:top w:val="nil"/>
              <w:left w:val="nil"/>
              <w:bottom w:val="single" w:sz="4" w:space="0" w:color="auto"/>
              <w:right w:val="single" w:sz="4" w:space="0" w:color="auto"/>
            </w:tcBorders>
            <w:shd w:val="clear" w:color="auto" w:fill="auto"/>
            <w:noWrap/>
            <w:hideMark/>
          </w:tcPr>
          <w:p w14:paraId="1B8B1C69"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0.0719</w:t>
            </w:r>
          </w:p>
        </w:tc>
        <w:tc>
          <w:tcPr>
            <w:tcW w:w="819" w:type="pct"/>
            <w:tcBorders>
              <w:top w:val="nil"/>
              <w:left w:val="nil"/>
              <w:bottom w:val="single" w:sz="4" w:space="0" w:color="auto"/>
              <w:right w:val="single" w:sz="4" w:space="0" w:color="auto"/>
            </w:tcBorders>
            <w:shd w:val="clear" w:color="auto" w:fill="auto"/>
            <w:noWrap/>
            <w:hideMark/>
          </w:tcPr>
          <w:p w14:paraId="42CDA656"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0.0070</w:t>
            </w:r>
          </w:p>
        </w:tc>
        <w:tc>
          <w:tcPr>
            <w:tcW w:w="767" w:type="pct"/>
            <w:tcBorders>
              <w:top w:val="nil"/>
              <w:left w:val="nil"/>
              <w:bottom w:val="single" w:sz="4" w:space="0" w:color="auto"/>
              <w:right w:val="single" w:sz="4" w:space="0" w:color="auto"/>
            </w:tcBorders>
            <w:shd w:val="clear" w:color="auto" w:fill="auto"/>
            <w:noWrap/>
            <w:hideMark/>
          </w:tcPr>
          <w:p w14:paraId="667301F0"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0.0071</w:t>
            </w:r>
          </w:p>
        </w:tc>
      </w:tr>
      <w:tr w:rsidR="000E0458" w:rsidRPr="005A7FF0" w14:paraId="63D32882"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55734AB3"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Terrestrial ecotoxicity</w:t>
            </w:r>
          </w:p>
        </w:tc>
        <w:tc>
          <w:tcPr>
            <w:tcW w:w="626" w:type="pct"/>
            <w:tcBorders>
              <w:top w:val="nil"/>
              <w:left w:val="nil"/>
              <w:bottom w:val="single" w:sz="4" w:space="0" w:color="auto"/>
              <w:right w:val="single" w:sz="4" w:space="0" w:color="auto"/>
            </w:tcBorders>
            <w:shd w:val="clear" w:color="auto" w:fill="auto"/>
            <w:noWrap/>
            <w:hideMark/>
          </w:tcPr>
          <w:p w14:paraId="4305A246"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kg 1,4-DCB</w:t>
            </w:r>
          </w:p>
        </w:tc>
        <w:tc>
          <w:tcPr>
            <w:tcW w:w="625" w:type="pct"/>
            <w:tcBorders>
              <w:top w:val="nil"/>
              <w:left w:val="nil"/>
              <w:bottom w:val="single" w:sz="4" w:space="0" w:color="auto"/>
              <w:right w:val="single" w:sz="4" w:space="0" w:color="auto"/>
            </w:tcBorders>
            <w:shd w:val="clear" w:color="auto" w:fill="auto"/>
            <w:noWrap/>
            <w:hideMark/>
          </w:tcPr>
          <w:p w14:paraId="4A2F2AD3"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3.9096</w:t>
            </w:r>
          </w:p>
        </w:tc>
        <w:tc>
          <w:tcPr>
            <w:tcW w:w="819" w:type="pct"/>
            <w:tcBorders>
              <w:top w:val="nil"/>
              <w:left w:val="nil"/>
              <w:bottom w:val="single" w:sz="4" w:space="0" w:color="auto"/>
              <w:right w:val="single" w:sz="4" w:space="0" w:color="auto"/>
            </w:tcBorders>
            <w:shd w:val="clear" w:color="auto" w:fill="auto"/>
            <w:noWrap/>
            <w:hideMark/>
          </w:tcPr>
          <w:p w14:paraId="0E8AC0DD"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1.0348</w:t>
            </w:r>
          </w:p>
        </w:tc>
        <w:tc>
          <w:tcPr>
            <w:tcW w:w="767" w:type="pct"/>
            <w:tcBorders>
              <w:top w:val="nil"/>
              <w:left w:val="nil"/>
              <w:bottom w:val="single" w:sz="4" w:space="0" w:color="auto"/>
              <w:right w:val="single" w:sz="4" w:space="0" w:color="auto"/>
            </w:tcBorders>
            <w:shd w:val="clear" w:color="auto" w:fill="auto"/>
            <w:noWrap/>
            <w:hideMark/>
          </w:tcPr>
          <w:p w14:paraId="7C159A73"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1.0435</w:t>
            </w:r>
          </w:p>
        </w:tc>
      </w:tr>
      <w:tr w:rsidR="000E0458" w:rsidRPr="005A7FF0" w14:paraId="6017305E" w14:textId="77777777" w:rsidTr="000E0458">
        <w:trPr>
          <w:trHeight w:val="300"/>
        </w:trPr>
        <w:tc>
          <w:tcPr>
            <w:tcW w:w="2163" w:type="pct"/>
            <w:tcBorders>
              <w:top w:val="nil"/>
              <w:left w:val="single" w:sz="4" w:space="0" w:color="auto"/>
              <w:bottom w:val="single" w:sz="4" w:space="0" w:color="auto"/>
              <w:right w:val="single" w:sz="4" w:space="0" w:color="auto"/>
            </w:tcBorders>
            <w:shd w:val="clear" w:color="auto" w:fill="auto"/>
            <w:noWrap/>
            <w:hideMark/>
          </w:tcPr>
          <w:p w14:paraId="36C5F172"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Water consumption</w:t>
            </w:r>
          </w:p>
        </w:tc>
        <w:tc>
          <w:tcPr>
            <w:tcW w:w="626" w:type="pct"/>
            <w:tcBorders>
              <w:top w:val="nil"/>
              <w:left w:val="nil"/>
              <w:bottom w:val="single" w:sz="4" w:space="0" w:color="auto"/>
              <w:right w:val="single" w:sz="4" w:space="0" w:color="auto"/>
            </w:tcBorders>
            <w:shd w:val="clear" w:color="auto" w:fill="auto"/>
            <w:noWrap/>
            <w:hideMark/>
          </w:tcPr>
          <w:p w14:paraId="62CC83AB" w14:textId="77777777" w:rsidR="00BA1765" w:rsidRPr="005A7FF0" w:rsidRDefault="00BA1765" w:rsidP="003632A1">
            <w:pPr>
              <w:spacing w:after="0" w:line="360" w:lineRule="auto"/>
              <w:rPr>
                <w:rFonts w:ascii="Calibri" w:eastAsia="Times New Roman" w:hAnsi="Calibri" w:cs="Calibri"/>
                <w:color w:val="000000"/>
              </w:rPr>
            </w:pPr>
            <w:r w:rsidRPr="005A7FF0">
              <w:rPr>
                <w:rFonts w:ascii="Calibri" w:eastAsia="Times New Roman" w:hAnsi="Calibri" w:cs="Calibri"/>
                <w:color w:val="000000"/>
              </w:rPr>
              <w:t>m3</w:t>
            </w:r>
          </w:p>
        </w:tc>
        <w:tc>
          <w:tcPr>
            <w:tcW w:w="625" w:type="pct"/>
            <w:tcBorders>
              <w:top w:val="nil"/>
              <w:left w:val="nil"/>
              <w:bottom w:val="single" w:sz="4" w:space="0" w:color="auto"/>
              <w:right w:val="single" w:sz="4" w:space="0" w:color="auto"/>
            </w:tcBorders>
            <w:shd w:val="clear" w:color="auto" w:fill="auto"/>
            <w:noWrap/>
            <w:hideMark/>
          </w:tcPr>
          <w:p w14:paraId="5AE42E7B"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0.0196</w:t>
            </w:r>
          </w:p>
        </w:tc>
        <w:tc>
          <w:tcPr>
            <w:tcW w:w="819" w:type="pct"/>
            <w:tcBorders>
              <w:top w:val="nil"/>
              <w:left w:val="nil"/>
              <w:bottom w:val="single" w:sz="4" w:space="0" w:color="auto"/>
              <w:right w:val="single" w:sz="4" w:space="0" w:color="auto"/>
            </w:tcBorders>
            <w:shd w:val="clear" w:color="auto" w:fill="auto"/>
            <w:noWrap/>
            <w:hideMark/>
          </w:tcPr>
          <w:p w14:paraId="7ED80C15"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0.0335</w:t>
            </w:r>
          </w:p>
        </w:tc>
        <w:tc>
          <w:tcPr>
            <w:tcW w:w="767" w:type="pct"/>
            <w:tcBorders>
              <w:top w:val="nil"/>
              <w:left w:val="nil"/>
              <w:bottom w:val="single" w:sz="4" w:space="0" w:color="auto"/>
              <w:right w:val="single" w:sz="4" w:space="0" w:color="auto"/>
            </w:tcBorders>
            <w:shd w:val="clear" w:color="auto" w:fill="auto"/>
            <w:noWrap/>
            <w:hideMark/>
          </w:tcPr>
          <w:p w14:paraId="415474F2" w14:textId="77777777" w:rsidR="00BA1765" w:rsidRPr="005A7FF0" w:rsidRDefault="00BA1765" w:rsidP="003632A1">
            <w:pPr>
              <w:spacing w:after="0" w:line="360" w:lineRule="auto"/>
              <w:jc w:val="center"/>
              <w:rPr>
                <w:rFonts w:ascii="Calibri" w:eastAsia="Times New Roman" w:hAnsi="Calibri" w:cs="Calibri"/>
                <w:color w:val="000000"/>
              </w:rPr>
            </w:pPr>
            <w:r w:rsidRPr="005A7FF0">
              <w:rPr>
                <w:rFonts w:ascii="Calibri" w:eastAsia="Times New Roman" w:hAnsi="Calibri" w:cs="Calibri"/>
                <w:color w:val="000000"/>
              </w:rPr>
              <w:t>0.0336</w:t>
            </w:r>
          </w:p>
        </w:tc>
      </w:tr>
    </w:tbl>
    <w:p w14:paraId="6F0FFE4E" w14:textId="7BDC5EC5" w:rsidR="00BA1765" w:rsidRPr="005A7FF0" w:rsidRDefault="00E36C99" w:rsidP="00BD6801">
      <w:pPr>
        <w:spacing w:after="0" w:line="360" w:lineRule="auto"/>
      </w:pPr>
      <w:r w:rsidRPr="005A7FF0">
        <w:t>Note: NA-not applicable</w:t>
      </w:r>
    </w:p>
    <w:p w14:paraId="21E636F4" w14:textId="7BDA8D2E" w:rsidR="00BA1765" w:rsidRPr="005A7FF0" w:rsidRDefault="00837B3B" w:rsidP="003632A1">
      <w:pPr>
        <w:spacing w:before="120" w:after="0" w:line="360" w:lineRule="auto"/>
        <w:rPr>
          <w:sz w:val="24"/>
          <w:szCs w:val="24"/>
        </w:rPr>
      </w:pPr>
      <w:r w:rsidRPr="005A7FF0">
        <w:rPr>
          <w:sz w:val="24"/>
          <w:szCs w:val="24"/>
        </w:rPr>
        <w:t>In order to have a more intuitive view of these results, the impacts of palm</w:t>
      </w:r>
      <w:r w:rsidR="009E3498" w:rsidRPr="005A7FF0">
        <w:rPr>
          <w:sz w:val="24"/>
          <w:szCs w:val="24"/>
        </w:rPr>
        <w:t xml:space="preserve"> oil</w:t>
      </w:r>
      <w:r w:rsidRPr="005A7FF0">
        <w:rPr>
          <w:sz w:val="24"/>
          <w:szCs w:val="24"/>
        </w:rPr>
        <w:t xml:space="preserve"> produced with and without deforestation are presented as</w:t>
      </w:r>
      <w:r w:rsidR="009E3498" w:rsidRPr="005A7FF0">
        <w:rPr>
          <w:sz w:val="24"/>
          <w:szCs w:val="24"/>
        </w:rPr>
        <w:t xml:space="preserve"> a</w:t>
      </w:r>
      <w:r w:rsidRPr="005A7FF0">
        <w:rPr>
          <w:sz w:val="24"/>
          <w:szCs w:val="24"/>
        </w:rPr>
        <w:t xml:space="preserve"> percentage with respect to the impacts of rapeseed (Fig. 1). This figure provides a better way to compare impacts that are in different units. The line at 100% indicates that impacts are equal to those of rapeseed. These results show that palm generates higher impacts than rapeseed for water consumption, mineral resource scarcity, and global warming. There are a few impacts where palm under no deforestation generates higher impacts that palm under deforestation, including marine eutrophication, marine ecotoxicity, and freshwater ecotoxicity.</w:t>
      </w:r>
    </w:p>
    <w:p w14:paraId="67E2551F" w14:textId="678DC0F8" w:rsidR="00E74F84" w:rsidRPr="005A7FF0" w:rsidRDefault="00E74F84" w:rsidP="003632A1">
      <w:pPr>
        <w:spacing w:before="120" w:after="0" w:line="360" w:lineRule="auto"/>
        <w:rPr>
          <w:sz w:val="24"/>
          <w:szCs w:val="24"/>
        </w:rPr>
      </w:pPr>
      <w:r w:rsidRPr="005A7FF0">
        <w:rPr>
          <w:noProof/>
          <w:sz w:val="24"/>
          <w:szCs w:val="24"/>
        </w:rPr>
        <w:lastRenderedPageBreak/>
        <w:drawing>
          <wp:inline distT="0" distB="0" distL="0" distR="0" wp14:anchorId="2549C54A" wp14:editId="329D176F">
            <wp:extent cx="4715123" cy="353288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5123" cy="3532881"/>
                    </a:xfrm>
                    <a:prstGeom prst="rect">
                      <a:avLst/>
                    </a:prstGeom>
                    <a:noFill/>
                  </pic:spPr>
                </pic:pic>
              </a:graphicData>
            </a:graphic>
          </wp:inline>
        </w:drawing>
      </w:r>
    </w:p>
    <w:p w14:paraId="2B5F770B" w14:textId="36572BBF" w:rsidR="00BA1765" w:rsidRPr="005A7FF0" w:rsidRDefault="00DD3D15" w:rsidP="003632A1">
      <w:pPr>
        <w:spacing w:before="120" w:after="0" w:line="360" w:lineRule="auto"/>
        <w:rPr>
          <w:sz w:val="24"/>
          <w:szCs w:val="24"/>
        </w:rPr>
      </w:pPr>
      <w:r w:rsidRPr="005A7FF0">
        <w:rPr>
          <w:sz w:val="24"/>
          <w:szCs w:val="24"/>
        </w:rPr>
        <w:t xml:space="preserve">Figure </w:t>
      </w:r>
      <w:r w:rsidR="005653B5" w:rsidRPr="005A7FF0">
        <w:rPr>
          <w:sz w:val="24"/>
          <w:szCs w:val="24"/>
        </w:rPr>
        <w:t>2</w:t>
      </w:r>
      <w:r w:rsidRPr="005A7FF0">
        <w:rPr>
          <w:sz w:val="24"/>
          <w:szCs w:val="24"/>
        </w:rPr>
        <w:t>. Relative impacts of palm oil produced with and without deforestation compared to rapeseed oil production.</w:t>
      </w:r>
    </w:p>
    <w:p w14:paraId="61EED0ED" w14:textId="3B6D08D1" w:rsidR="00C143B7" w:rsidRPr="005A7FF0" w:rsidRDefault="00C143B7" w:rsidP="003632A1">
      <w:pPr>
        <w:spacing w:before="120" w:after="0" w:line="360" w:lineRule="auto"/>
        <w:rPr>
          <w:sz w:val="28"/>
          <w:szCs w:val="28"/>
        </w:rPr>
      </w:pPr>
      <w:r w:rsidRPr="005A7FF0">
        <w:rPr>
          <w:sz w:val="28"/>
          <w:szCs w:val="28"/>
        </w:rPr>
        <w:t>3.2 Monetization of midpoint impact results</w:t>
      </w:r>
    </w:p>
    <w:p w14:paraId="2684FD43" w14:textId="2822AA09" w:rsidR="00D6014B" w:rsidRPr="005A7FF0" w:rsidRDefault="00863DD7" w:rsidP="003632A1">
      <w:pPr>
        <w:spacing w:before="120" w:after="0" w:line="360" w:lineRule="auto"/>
        <w:rPr>
          <w:sz w:val="24"/>
          <w:szCs w:val="24"/>
        </w:rPr>
      </w:pPr>
      <w:r w:rsidRPr="005A7FF0">
        <w:rPr>
          <w:sz w:val="24"/>
          <w:szCs w:val="24"/>
        </w:rPr>
        <w:t>Results from monetizing these impacts</w:t>
      </w:r>
      <w:r w:rsidR="003A5CC6" w:rsidRPr="005A7FF0">
        <w:rPr>
          <w:sz w:val="24"/>
          <w:szCs w:val="24"/>
        </w:rPr>
        <w:t xml:space="preserve"> (Table 3) </w:t>
      </w:r>
      <w:r w:rsidR="00D6014B" w:rsidRPr="005A7FF0">
        <w:rPr>
          <w:sz w:val="24"/>
          <w:szCs w:val="24"/>
        </w:rPr>
        <w:t>show that the largest total environmental cost is associated with rapeseed oil ($2.62/kg), followed by palm oil under deforestation ($2.27/kg) and the lowest is palm oil under no deforestation (</w:t>
      </w:r>
      <w:r w:rsidR="0091557E" w:rsidRPr="005A7FF0">
        <w:rPr>
          <w:sz w:val="24"/>
          <w:szCs w:val="24"/>
        </w:rPr>
        <w:t>$0.557kg). These estimates ignore the impacts of land use because, as explained in the methodology section, it was not clear how to convert the units provided by the LCA to the monetization factors available. Land use and biodiversity costs were estimated through a different method and are presented below.</w:t>
      </w:r>
      <w:r w:rsidR="00712F50" w:rsidRPr="005A7FF0">
        <w:rPr>
          <w:sz w:val="24"/>
          <w:szCs w:val="24"/>
        </w:rPr>
        <w:t xml:space="preserve"> Results show however that external costs are substantially higher than the market value of the oil produced in all cases.</w:t>
      </w:r>
    </w:p>
    <w:p w14:paraId="48175556" w14:textId="31157111" w:rsidR="00237178" w:rsidRPr="005A7FF0" w:rsidRDefault="00D32D57" w:rsidP="003632A1">
      <w:pPr>
        <w:spacing w:before="120" w:after="0" w:line="360" w:lineRule="auto"/>
        <w:rPr>
          <w:sz w:val="24"/>
          <w:szCs w:val="24"/>
        </w:rPr>
      </w:pPr>
      <w:r w:rsidRPr="005A7FF0">
        <w:rPr>
          <w:sz w:val="24"/>
          <w:szCs w:val="24"/>
        </w:rPr>
        <w:t>Results from monetization</w:t>
      </w:r>
      <w:r w:rsidR="009E3498" w:rsidRPr="005A7FF0">
        <w:rPr>
          <w:sz w:val="24"/>
          <w:szCs w:val="24"/>
        </w:rPr>
        <w:t xml:space="preserve"> of</w:t>
      </w:r>
      <w:r w:rsidRPr="005A7FF0">
        <w:rPr>
          <w:sz w:val="24"/>
          <w:szCs w:val="24"/>
        </w:rPr>
        <w:t xml:space="preserve"> the impacts are also presented by hectare (Table 4)</w:t>
      </w:r>
      <w:r w:rsidR="007628D0" w:rsidRPr="005A7FF0">
        <w:rPr>
          <w:sz w:val="24"/>
          <w:szCs w:val="24"/>
        </w:rPr>
        <w:t xml:space="preserve"> and show that palm oil produced under deforestation generates large external costs ($7,197.67/ha), many times that of rapeseed oil (2,755.15/ha) or palm oil produced under no deforestation </w:t>
      </w:r>
      <w:r w:rsidR="007628D0" w:rsidRPr="005A7FF0">
        <w:rPr>
          <w:sz w:val="24"/>
          <w:szCs w:val="24"/>
        </w:rPr>
        <w:lastRenderedPageBreak/>
        <w:t xml:space="preserve">($1,745.90). These differences are related mostly to global warming impacts of producing palm oil under deforestation. </w:t>
      </w:r>
    </w:p>
    <w:p w14:paraId="02CCD15A" w14:textId="49C5D9A4" w:rsidR="00237178" w:rsidRPr="005A7FF0" w:rsidRDefault="00237178" w:rsidP="003632A1">
      <w:pPr>
        <w:spacing w:before="120" w:after="0" w:line="360" w:lineRule="auto"/>
        <w:rPr>
          <w:sz w:val="24"/>
          <w:szCs w:val="24"/>
        </w:rPr>
      </w:pPr>
    </w:p>
    <w:p w14:paraId="440A5799" w14:textId="77777777" w:rsidR="00E90FA7" w:rsidRPr="005A7FF0" w:rsidRDefault="00E90FA7" w:rsidP="003632A1">
      <w:pPr>
        <w:spacing w:before="120" w:after="0" w:line="360" w:lineRule="auto"/>
        <w:rPr>
          <w:sz w:val="24"/>
          <w:szCs w:val="24"/>
        </w:rPr>
        <w:sectPr w:rsidR="00E90FA7" w:rsidRPr="005A7FF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pPr>
    </w:p>
    <w:p w14:paraId="46867FC1" w14:textId="0B7531F2" w:rsidR="00237178" w:rsidRPr="00171A13" w:rsidRDefault="00E90FA7" w:rsidP="003632A1">
      <w:pPr>
        <w:spacing w:before="120" w:after="0" w:line="360" w:lineRule="auto"/>
        <w:rPr>
          <w:sz w:val="24"/>
          <w:szCs w:val="24"/>
        </w:rPr>
      </w:pPr>
      <w:r w:rsidRPr="00171A13">
        <w:rPr>
          <w:sz w:val="24"/>
          <w:szCs w:val="24"/>
        </w:rPr>
        <w:lastRenderedPageBreak/>
        <w:t>Table 3. Monetization of impact results</w:t>
      </w:r>
      <w:r w:rsidR="00260697" w:rsidRPr="00171A13">
        <w:rPr>
          <w:sz w:val="24"/>
          <w:szCs w:val="24"/>
        </w:rPr>
        <w:t xml:space="preserve"> per kg of oil</w:t>
      </w:r>
    </w:p>
    <w:tbl>
      <w:tblPr>
        <w:tblW w:w="5000" w:type="pct"/>
        <w:tblLook w:val="04A0" w:firstRow="1" w:lastRow="0" w:firstColumn="1" w:lastColumn="0" w:noHBand="0" w:noVBand="1"/>
      </w:tblPr>
      <w:tblGrid>
        <w:gridCol w:w="6201"/>
        <w:gridCol w:w="1757"/>
        <w:gridCol w:w="1448"/>
        <w:gridCol w:w="1772"/>
        <w:gridCol w:w="1772"/>
      </w:tblGrid>
      <w:tr w:rsidR="00237178" w:rsidRPr="005A7FF0" w14:paraId="1C4AEAA7" w14:textId="77777777" w:rsidTr="00237178">
        <w:trPr>
          <w:trHeight w:val="600"/>
        </w:trPr>
        <w:tc>
          <w:tcPr>
            <w:tcW w:w="2394" w:type="pct"/>
            <w:tcBorders>
              <w:top w:val="single" w:sz="4" w:space="0" w:color="auto"/>
              <w:left w:val="single" w:sz="4" w:space="0" w:color="auto"/>
              <w:bottom w:val="single" w:sz="4" w:space="0" w:color="auto"/>
              <w:right w:val="single" w:sz="4" w:space="0" w:color="auto"/>
            </w:tcBorders>
            <w:shd w:val="clear" w:color="auto" w:fill="auto"/>
            <w:noWrap/>
            <w:hideMark/>
          </w:tcPr>
          <w:p w14:paraId="6FDB2563" w14:textId="77777777" w:rsidR="00237178" w:rsidRPr="00171A13" w:rsidRDefault="00237178" w:rsidP="003632A1">
            <w:pPr>
              <w:spacing w:after="0" w:line="360" w:lineRule="auto"/>
              <w:rPr>
                <w:rFonts w:ascii="Calibri" w:eastAsia="Times New Roman" w:hAnsi="Calibri" w:cs="Calibri"/>
                <w:sz w:val="24"/>
                <w:szCs w:val="24"/>
              </w:rPr>
            </w:pPr>
            <w:r w:rsidRPr="00171A13">
              <w:rPr>
                <w:rFonts w:ascii="Calibri" w:eastAsia="Times New Roman" w:hAnsi="Calibri" w:cs="Calibri"/>
                <w:sz w:val="24"/>
                <w:szCs w:val="24"/>
              </w:rPr>
              <w:t>Impact category</w:t>
            </w:r>
          </w:p>
        </w:tc>
        <w:tc>
          <w:tcPr>
            <w:tcW w:w="678" w:type="pct"/>
            <w:tcBorders>
              <w:top w:val="single" w:sz="4" w:space="0" w:color="auto"/>
              <w:left w:val="nil"/>
              <w:bottom w:val="single" w:sz="4" w:space="0" w:color="auto"/>
              <w:right w:val="single" w:sz="4" w:space="0" w:color="auto"/>
            </w:tcBorders>
            <w:shd w:val="clear" w:color="auto" w:fill="auto"/>
            <w:hideMark/>
          </w:tcPr>
          <w:p w14:paraId="4536478B"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Monetization Factor ($/unit)</w:t>
            </w:r>
          </w:p>
        </w:tc>
        <w:tc>
          <w:tcPr>
            <w:tcW w:w="559" w:type="pct"/>
            <w:tcBorders>
              <w:top w:val="single" w:sz="4" w:space="0" w:color="auto"/>
              <w:left w:val="nil"/>
              <w:bottom w:val="single" w:sz="4" w:space="0" w:color="auto"/>
              <w:right w:val="single" w:sz="4" w:space="0" w:color="auto"/>
            </w:tcBorders>
            <w:shd w:val="clear" w:color="auto" w:fill="auto"/>
            <w:hideMark/>
          </w:tcPr>
          <w:p w14:paraId="4E636DA5" w14:textId="201ED46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Rapeseed</w:t>
            </w:r>
            <w:r w:rsidR="00D6014B" w:rsidRPr="005A7FF0">
              <w:rPr>
                <w:rFonts w:ascii="Calibri" w:eastAsia="Times New Roman" w:hAnsi="Calibri" w:cs="Calibri"/>
                <w:color w:val="000000"/>
                <w:sz w:val="24"/>
                <w:szCs w:val="24"/>
              </w:rPr>
              <w:t xml:space="preserve"> oil</w:t>
            </w:r>
          </w:p>
        </w:tc>
        <w:tc>
          <w:tcPr>
            <w:tcW w:w="684" w:type="pct"/>
            <w:tcBorders>
              <w:top w:val="single" w:sz="4" w:space="0" w:color="auto"/>
              <w:left w:val="nil"/>
              <w:bottom w:val="single" w:sz="4" w:space="0" w:color="auto"/>
              <w:right w:val="single" w:sz="4" w:space="0" w:color="auto"/>
            </w:tcBorders>
            <w:shd w:val="clear" w:color="auto" w:fill="auto"/>
            <w:hideMark/>
          </w:tcPr>
          <w:p w14:paraId="57723E16"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Palm oil deforestation</w:t>
            </w:r>
          </w:p>
        </w:tc>
        <w:tc>
          <w:tcPr>
            <w:tcW w:w="684" w:type="pct"/>
            <w:tcBorders>
              <w:top w:val="single" w:sz="4" w:space="0" w:color="auto"/>
              <w:left w:val="nil"/>
              <w:bottom w:val="single" w:sz="4" w:space="0" w:color="auto"/>
              <w:right w:val="single" w:sz="4" w:space="0" w:color="auto"/>
            </w:tcBorders>
            <w:shd w:val="clear" w:color="auto" w:fill="auto"/>
            <w:hideMark/>
          </w:tcPr>
          <w:p w14:paraId="54C4C874"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Palm oil no deforestation</w:t>
            </w:r>
          </w:p>
        </w:tc>
      </w:tr>
      <w:tr w:rsidR="00237178" w:rsidRPr="005A7FF0" w14:paraId="273417CA"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0118BA59"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Fine particulate matter formation</w:t>
            </w:r>
          </w:p>
        </w:tc>
        <w:tc>
          <w:tcPr>
            <w:tcW w:w="678" w:type="pct"/>
            <w:tcBorders>
              <w:top w:val="nil"/>
              <w:left w:val="nil"/>
              <w:bottom w:val="single" w:sz="4" w:space="0" w:color="auto"/>
              <w:right w:val="single" w:sz="4" w:space="0" w:color="auto"/>
            </w:tcBorders>
            <w:shd w:val="clear" w:color="auto" w:fill="auto"/>
            <w:noWrap/>
            <w:hideMark/>
          </w:tcPr>
          <w:p w14:paraId="2CB1AC38"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75</w:t>
            </w:r>
          </w:p>
        </w:tc>
        <w:tc>
          <w:tcPr>
            <w:tcW w:w="559" w:type="pct"/>
            <w:tcBorders>
              <w:top w:val="nil"/>
              <w:left w:val="nil"/>
              <w:bottom w:val="single" w:sz="4" w:space="0" w:color="auto"/>
              <w:right w:val="single" w:sz="4" w:space="0" w:color="auto"/>
            </w:tcBorders>
            <w:shd w:val="clear" w:color="auto" w:fill="auto"/>
            <w:noWrap/>
            <w:hideMark/>
          </w:tcPr>
          <w:p w14:paraId="3728A98D"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0.790</w:t>
            </w:r>
          </w:p>
        </w:tc>
        <w:tc>
          <w:tcPr>
            <w:tcW w:w="684" w:type="pct"/>
            <w:tcBorders>
              <w:top w:val="nil"/>
              <w:left w:val="nil"/>
              <w:bottom w:val="single" w:sz="4" w:space="0" w:color="auto"/>
              <w:right w:val="single" w:sz="4" w:space="0" w:color="auto"/>
            </w:tcBorders>
            <w:shd w:val="clear" w:color="auto" w:fill="auto"/>
            <w:noWrap/>
            <w:hideMark/>
          </w:tcPr>
          <w:p w14:paraId="2DFD56F6"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0.300</w:t>
            </w:r>
          </w:p>
        </w:tc>
        <w:tc>
          <w:tcPr>
            <w:tcW w:w="684" w:type="pct"/>
            <w:tcBorders>
              <w:top w:val="nil"/>
              <w:left w:val="nil"/>
              <w:bottom w:val="single" w:sz="4" w:space="0" w:color="auto"/>
              <w:right w:val="single" w:sz="4" w:space="0" w:color="auto"/>
            </w:tcBorders>
            <w:shd w:val="clear" w:color="auto" w:fill="auto"/>
            <w:noWrap/>
            <w:hideMark/>
          </w:tcPr>
          <w:p w14:paraId="6AFDD728"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0.090</w:t>
            </w:r>
          </w:p>
        </w:tc>
      </w:tr>
      <w:tr w:rsidR="00237178" w:rsidRPr="005A7FF0" w14:paraId="4BCECA3D"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14815669"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Fossil resource scarcity</w:t>
            </w:r>
          </w:p>
        </w:tc>
        <w:tc>
          <w:tcPr>
            <w:tcW w:w="678" w:type="pct"/>
            <w:tcBorders>
              <w:top w:val="nil"/>
              <w:left w:val="nil"/>
              <w:bottom w:val="single" w:sz="4" w:space="0" w:color="auto"/>
              <w:right w:val="single" w:sz="4" w:space="0" w:color="auto"/>
            </w:tcBorders>
            <w:shd w:val="clear" w:color="auto" w:fill="auto"/>
            <w:noWrap/>
            <w:hideMark/>
          </w:tcPr>
          <w:p w14:paraId="40DCAC32"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0.516</w:t>
            </w:r>
          </w:p>
        </w:tc>
        <w:tc>
          <w:tcPr>
            <w:tcW w:w="559" w:type="pct"/>
            <w:tcBorders>
              <w:top w:val="nil"/>
              <w:left w:val="nil"/>
              <w:bottom w:val="single" w:sz="4" w:space="0" w:color="auto"/>
              <w:right w:val="single" w:sz="4" w:space="0" w:color="auto"/>
            </w:tcBorders>
            <w:shd w:val="clear" w:color="auto" w:fill="auto"/>
            <w:noWrap/>
            <w:hideMark/>
          </w:tcPr>
          <w:p w14:paraId="6CC6E0E3"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0.147</w:t>
            </w:r>
          </w:p>
        </w:tc>
        <w:tc>
          <w:tcPr>
            <w:tcW w:w="684" w:type="pct"/>
            <w:tcBorders>
              <w:top w:val="nil"/>
              <w:left w:val="nil"/>
              <w:bottom w:val="single" w:sz="4" w:space="0" w:color="auto"/>
              <w:right w:val="single" w:sz="4" w:space="0" w:color="auto"/>
            </w:tcBorders>
            <w:shd w:val="clear" w:color="auto" w:fill="auto"/>
            <w:noWrap/>
            <w:hideMark/>
          </w:tcPr>
          <w:p w14:paraId="24AE65CB"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0.031</w:t>
            </w:r>
          </w:p>
        </w:tc>
        <w:tc>
          <w:tcPr>
            <w:tcW w:w="684" w:type="pct"/>
            <w:tcBorders>
              <w:top w:val="nil"/>
              <w:left w:val="nil"/>
              <w:bottom w:val="single" w:sz="4" w:space="0" w:color="auto"/>
              <w:right w:val="single" w:sz="4" w:space="0" w:color="auto"/>
            </w:tcBorders>
            <w:shd w:val="clear" w:color="auto" w:fill="auto"/>
            <w:noWrap/>
            <w:hideMark/>
          </w:tcPr>
          <w:p w14:paraId="5183E401"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0.034</w:t>
            </w:r>
          </w:p>
        </w:tc>
      </w:tr>
      <w:tr w:rsidR="00237178" w:rsidRPr="005A7FF0" w14:paraId="5CAC2CC8"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573151C3"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Freshwater ecotoxicity</w:t>
            </w:r>
          </w:p>
        </w:tc>
        <w:tc>
          <w:tcPr>
            <w:tcW w:w="678" w:type="pct"/>
            <w:tcBorders>
              <w:top w:val="nil"/>
              <w:left w:val="nil"/>
              <w:bottom w:val="single" w:sz="4" w:space="0" w:color="auto"/>
              <w:right w:val="single" w:sz="4" w:space="0" w:color="auto"/>
            </w:tcBorders>
            <w:shd w:val="clear" w:color="auto" w:fill="auto"/>
            <w:noWrap/>
            <w:hideMark/>
          </w:tcPr>
          <w:p w14:paraId="1A1A8A3F"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0.0579</w:t>
            </w:r>
          </w:p>
        </w:tc>
        <w:tc>
          <w:tcPr>
            <w:tcW w:w="559" w:type="pct"/>
            <w:tcBorders>
              <w:top w:val="nil"/>
              <w:left w:val="nil"/>
              <w:bottom w:val="single" w:sz="4" w:space="0" w:color="auto"/>
              <w:right w:val="single" w:sz="4" w:space="0" w:color="auto"/>
            </w:tcBorders>
            <w:shd w:val="clear" w:color="auto" w:fill="auto"/>
            <w:noWrap/>
            <w:hideMark/>
          </w:tcPr>
          <w:p w14:paraId="073655A7"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0.002</w:t>
            </w:r>
          </w:p>
        </w:tc>
        <w:tc>
          <w:tcPr>
            <w:tcW w:w="684" w:type="pct"/>
            <w:tcBorders>
              <w:top w:val="nil"/>
              <w:left w:val="nil"/>
              <w:bottom w:val="single" w:sz="4" w:space="0" w:color="auto"/>
              <w:right w:val="single" w:sz="4" w:space="0" w:color="auto"/>
            </w:tcBorders>
            <w:shd w:val="clear" w:color="auto" w:fill="auto"/>
            <w:noWrap/>
            <w:hideMark/>
          </w:tcPr>
          <w:p w14:paraId="4A809513"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0.001</w:t>
            </w:r>
          </w:p>
        </w:tc>
        <w:tc>
          <w:tcPr>
            <w:tcW w:w="684" w:type="pct"/>
            <w:tcBorders>
              <w:top w:val="nil"/>
              <w:left w:val="nil"/>
              <w:bottom w:val="single" w:sz="4" w:space="0" w:color="auto"/>
              <w:right w:val="single" w:sz="4" w:space="0" w:color="auto"/>
            </w:tcBorders>
            <w:shd w:val="clear" w:color="auto" w:fill="auto"/>
            <w:noWrap/>
            <w:hideMark/>
          </w:tcPr>
          <w:p w14:paraId="41E3D697"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0.001</w:t>
            </w:r>
          </w:p>
        </w:tc>
      </w:tr>
      <w:tr w:rsidR="00237178" w:rsidRPr="005A7FF0" w14:paraId="014BD913"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543ECAE6"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Freshwater eutrophication</w:t>
            </w:r>
          </w:p>
        </w:tc>
        <w:tc>
          <w:tcPr>
            <w:tcW w:w="678" w:type="pct"/>
            <w:tcBorders>
              <w:top w:val="nil"/>
              <w:left w:val="nil"/>
              <w:bottom w:val="single" w:sz="4" w:space="0" w:color="auto"/>
              <w:right w:val="single" w:sz="4" w:space="0" w:color="auto"/>
            </w:tcBorders>
            <w:shd w:val="clear" w:color="auto" w:fill="auto"/>
            <w:noWrap/>
            <w:hideMark/>
          </w:tcPr>
          <w:p w14:paraId="07FAB605"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290</w:t>
            </w:r>
          </w:p>
        </w:tc>
        <w:tc>
          <w:tcPr>
            <w:tcW w:w="559" w:type="pct"/>
            <w:tcBorders>
              <w:top w:val="nil"/>
              <w:left w:val="nil"/>
              <w:bottom w:val="single" w:sz="4" w:space="0" w:color="auto"/>
              <w:right w:val="single" w:sz="4" w:space="0" w:color="auto"/>
            </w:tcBorders>
            <w:shd w:val="clear" w:color="auto" w:fill="auto"/>
            <w:noWrap/>
            <w:hideMark/>
          </w:tcPr>
          <w:p w14:paraId="382596D6"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0.164</w:t>
            </w:r>
          </w:p>
        </w:tc>
        <w:tc>
          <w:tcPr>
            <w:tcW w:w="684" w:type="pct"/>
            <w:tcBorders>
              <w:top w:val="nil"/>
              <w:left w:val="nil"/>
              <w:bottom w:val="single" w:sz="4" w:space="0" w:color="auto"/>
              <w:right w:val="single" w:sz="4" w:space="0" w:color="auto"/>
            </w:tcBorders>
            <w:shd w:val="clear" w:color="auto" w:fill="auto"/>
            <w:noWrap/>
            <w:hideMark/>
          </w:tcPr>
          <w:p w14:paraId="1518725A"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0.037</w:t>
            </w:r>
          </w:p>
        </w:tc>
        <w:tc>
          <w:tcPr>
            <w:tcW w:w="684" w:type="pct"/>
            <w:tcBorders>
              <w:top w:val="nil"/>
              <w:left w:val="nil"/>
              <w:bottom w:val="single" w:sz="4" w:space="0" w:color="auto"/>
              <w:right w:val="single" w:sz="4" w:space="0" w:color="auto"/>
            </w:tcBorders>
            <w:shd w:val="clear" w:color="auto" w:fill="auto"/>
            <w:noWrap/>
            <w:hideMark/>
          </w:tcPr>
          <w:p w14:paraId="65E79BAB"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0.041</w:t>
            </w:r>
          </w:p>
        </w:tc>
      </w:tr>
      <w:tr w:rsidR="00237178" w:rsidRPr="005A7FF0" w14:paraId="2658E3F7"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55D35B3C" w14:textId="604C5B7E"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Global warming</w:t>
            </w:r>
          </w:p>
        </w:tc>
        <w:tc>
          <w:tcPr>
            <w:tcW w:w="678" w:type="pct"/>
            <w:tcBorders>
              <w:top w:val="nil"/>
              <w:left w:val="nil"/>
              <w:bottom w:val="single" w:sz="4" w:space="0" w:color="auto"/>
              <w:right w:val="single" w:sz="4" w:space="0" w:color="auto"/>
            </w:tcBorders>
            <w:shd w:val="clear" w:color="auto" w:fill="auto"/>
            <w:noWrap/>
            <w:hideMark/>
          </w:tcPr>
          <w:p w14:paraId="285FE285"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0.224</w:t>
            </w:r>
          </w:p>
        </w:tc>
        <w:tc>
          <w:tcPr>
            <w:tcW w:w="559" w:type="pct"/>
            <w:tcBorders>
              <w:top w:val="nil"/>
              <w:left w:val="nil"/>
              <w:bottom w:val="single" w:sz="4" w:space="0" w:color="auto"/>
              <w:right w:val="single" w:sz="4" w:space="0" w:color="auto"/>
            </w:tcBorders>
            <w:shd w:val="clear" w:color="auto" w:fill="auto"/>
            <w:noWrap/>
            <w:hideMark/>
          </w:tcPr>
          <w:p w14:paraId="0181BF78"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0.422</w:t>
            </w:r>
          </w:p>
        </w:tc>
        <w:tc>
          <w:tcPr>
            <w:tcW w:w="684" w:type="pct"/>
            <w:tcBorders>
              <w:top w:val="nil"/>
              <w:left w:val="nil"/>
              <w:bottom w:val="single" w:sz="4" w:space="0" w:color="auto"/>
              <w:right w:val="single" w:sz="4" w:space="0" w:color="auto"/>
            </w:tcBorders>
            <w:shd w:val="clear" w:color="auto" w:fill="auto"/>
            <w:noWrap/>
            <w:hideMark/>
          </w:tcPr>
          <w:p w14:paraId="699B0614"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1.740</w:t>
            </w:r>
          </w:p>
        </w:tc>
        <w:tc>
          <w:tcPr>
            <w:tcW w:w="684" w:type="pct"/>
            <w:tcBorders>
              <w:top w:val="nil"/>
              <w:left w:val="nil"/>
              <w:bottom w:val="single" w:sz="4" w:space="0" w:color="auto"/>
              <w:right w:val="single" w:sz="4" w:space="0" w:color="auto"/>
            </w:tcBorders>
            <w:shd w:val="clear" w:color="auto" w:fill="auto"/>
            <w:noWrap/>
            <w:hideMark/>
          </w:tcPr>
          <w:p w14:paraId="7B4522E7"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0.110</w:t>
            </w:r>
          </w:p>
        </w:tc>
      </w:tr>
      <w:tr w:rsidR="00237178" w:rsidRPr="005A7FF0" w14:paraId="7A7F594C"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3B2E51DF"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Human carcinogenic toxicity</w:t>
            </w:r>
          </w:p>
        </w:tc>
        <w:tc>
          <w:tcPr>
            <w:tcW w:w="678" w:type="pct"/>
            <w:tcBorders>
              <w:top w:val="nil"/>
              <w:left w:val="nil"/>
              <w:bottom w:val="single" w:sz="4" w:space="0" w:color="auto"/>
              <w:right w:val="single" w:sz="4" w:space="0" w:color="auto"/>
            </w:tcBorders>
            <w:shd w:val="clear" w:color="auto" w:fill="auto"/>
            <w:noWrap/>
            <w:hideMark/>
          </w:tcPr>
          <w:p w14:paraId="7B07BB5D"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0.395</w:t>
            </w:r>
          </w:p>
        </w:tc>
        <w:tc>
          <w:tcPr>
            <w:tcW w:w="559" w:type="pct"/>
            <w:tcBorders>
              <w:top w:val="nil"/>
              <w:left w:val="nil"/>
              <w:bottom w:val="single" w:sz="4" w:space="0" w:color="auto"/>
              <w:right w:val="single" w:sz="4" w:space="0" w:color="auto"/>
            </w:tcBorders>
            <w:shd w:val="clear" w:color="auto" w:fill="auto"/>
            <w:noWrap/>
            <w:hideMark/>
          </w:tcPr>
          <w:p w14:paraId="72ABD971"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0.012</w:t>
            </w:r>
          </w:p>
        </w:tc>
        <w:tc>
          <w:tcPr>
            <w:tcW w:w="684" w:type="pct"/>
            <w:tcBorders>
              <w:top w:val="nil"/>
              <w:left w:val="nil"/>
              <w:bottom w:val="single" w:sz="4" w:space="0" w:color="auto"/>
              <w:right w:val="single" w:sz="4" w:space="0" w:color="auto"/>
            </w:tcBorders>
            <w:shd w:val="clear" w:color="auto" w:fill="auto"/>
            <w:noWrap/>
            <w:hideMark/>
          </w:tcPr>
          <w:p w14:paraId="45C1AB3A"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0.006</w:t>
            </w:r>
          </w:p>
        </w:tc>
        <w:tc>
          <w:tcPr>
            <w:tcW w:w="684" w:type="pct"/>
            <w:tcBorders>
              <w:top w:val="nil"/>
              <w:left w:val="nil"/>
              <w:bottom w:val="single" w:sz="4" w:space="0" w:color="auto"/>
              <w:right w:val="single" w:sz="4" w:space="0" w:color="auto"/>
            </w:tcBorders>
            <w:shd w:val="clear" w:color="auto" w:fill="auto"/>
            <w:noWrap/>
            <w:hideMark/>
          </w:tcPr>
          <w:p w14:paraId="31D2AE8E"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0.005</w:t>
            </w:r>
          </w:p>
        </w:tc>
      </w:tr>
      <w:tr w:rsidR="00237178" w:rsidRPr="005A7FF0" w14:paraId="2B04B98E"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02919F0A"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Human non-carcinogenic toxicity</w:t>
            </w:r>
          </w:p>
        </w:tc>
        <w:tc>
          <w:tcPr>
            <w:tcW w:w="678" w:type="pct"/>
            <w:tcBorders>
              <w:top w:val="nil"/>
              <w:left w:val="nil"/>
              <w:bottom w:val="single" w:sz="4" w:space="0" w:color="auto"/>
              <w:right w:val="single" w:sz="4" w:space="0" w:color="auto"/>
            </w:tcBorders>
            <w:shd w:val="clear" w:color="auto" w:fill="auto"/>
            <w:noWrap/>
            <w:hideMark/>
          </w:tcPr>
          <w:p w14:paraId="278F01CD"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0.027</w:t>
            </w:r>
          </w:p>
        </w:tc>
        <w:tc>
          <w:tcPr>
            <w:tcW w:w="559" w:type="pct"/>
            <w:tcBorders>
              <w:top w:val="nil"/>
              <w:left w:val="nil"/>
              <w:bottom w:val="single" w:sz="4" w:space="0" w:color="auto"/>
              <w:right w:val="single" w:sz="4" w:space="0" w:color="auto"/>
            </w:tcBorders>
            <w:shd w:val="clear" w:color="auto" w:fill="auto"/>
            <w:noWrap/>
            <w:hideMark/>
          </w:tcPr>
          <w:p w14:paraId="3444CDAC"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0.220</w:t>
            </w:r>
          </w:p>
        </w:tc>
        <w:tc>
          <w:tcPr>
            <w:tcW w:w="684" w:type="pct"/>
            <w:tcBorders>
              <w:top w:val="nil"/>
              <w:left w:val="nil"/>
              <w:bottom w:val="single" w:sz="4" w:space="0" w:color="auto"/>
              <w:right w:val="single" w:sz="4" w:space="0" w:color="auto"/>
            </w:tcBorders>
            <w:shd w:val="clear" w:color="auto" w:fill="auto"/>
            <w:noWrap/>
            <w:hideMark/>
          </w:tcPr>
          <w:p w14:paraId="4E9312CE"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-0.012</w:t>
            </w:r>
          </w:p>
        </w:tc>
        <w:tc>
          <w:tcPr>
            <w:tcW w:w="684" w:type="pct"/>
            <w:tcBorders>
              <w:top w:val="nil"/>
              <w:left w:val="nil"/>
              <w:bottom w:val="single" w:sz="4" w:space="0" w:color="auto"/>
              <w:right w:val="single" w:sz="4" w:space="0" w:color="auto"/>
            </w:tcBorders>
            <w:shd w:val="clear" w:color="auto" w:fill="auto"/>
            <w:noWrap/>
            <w:hideMark/>
          </w:tcPr>
          <w:p w14:paraId="7B454212"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-0.008</w:t>
            </w:r>
          </w:p>
        </w:tc>
      </w:tr>
      <w:tr w:rsidR="00237178" w:rsidRPr="005A7FF0" w14:paraId="2099C76F"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6F4F50BA"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Ionizing radiation</w:t>
            </w:r>
          </w:p>
        </w:tc>
        <w:tc>
          <w:tcPr>
            <w:tcW w:w="678" w:type="pct"/>
            <w:tcBorders>
              <w:top w:val="nil"/>
              <w:left w:val="nil"/>
              <w:bottom w:val="single" w:sz="4" w:space="0" w:color="auto"/>
              <w:right w:val="single" w:sz="4" w:space="0" w:color="auto"/>
            </w:tcBorders>
            <w:shd w:val="clear" w:color="auto" w:fill="auto"/>
            <w:noWrap/>
            <w:hideMark/>
          </w:tcPr>
          <w:p w14:paraId="50D8EF19"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0.001</w:t>
            </w:r>
          </w:p>
        </w:tc>
        <w:tc>
          <w:tcPr>
            <w:tcW w:w="559" w:type="pct"/>
            <w:tcBorders>
              <w:top w:val="nil"/>
              <w:left w:val="nil"/>
              <w:bottom w:val="single" w:sz="4" w:space="0" w:color="auto"/>
              <w:right w:val="single" w:sz="4" w:space="0" w:color="auto"/>
            </w:tcBorders>
            <w:shd w:val="clear" w:color="auto" w:fill="auto"/>
            <w:noWrap/>
            <w:hideMark/>
          </w:tcPr>
          <w:p w14:paraId="2D5971EB" w14:textId="7F0C4E10"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0.00006</w:t>
            </w:r>
          </w:p>
        </w:tc>
        <w:tc>
          <w:tcPr>
            <w:tcW w:w="684" w:type="pct"/>
            <w:tcBorders>
              <w:top w:val="nil"/>
              <w:left w:val="nil"/>
              <w:bottom w:val="single" w:sz="4" w:space="0" w:color="auto"/>
              <w:right w:val="single" w:sz="4" w:space="0" w:color="auto"/>
            </w:tcBorders>
            <w:shd w:val="clear" w:color="auto" w:fill="auto"/>
            <w:noWrap/>
            <w:hideMark/>
          </w:tcPr>
          <w:p w14:paraId="5B74040F" w14:textId="161BC78F"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0.000007</w:t>
            </w:r>
          </w:p>
        </w:tc>
        <w:tc>
          <w:tcPr>
            <w:tcW w:w="684" w:type="pct"/>
            <w:tcBorders>
              <w:top w:val="nil"/>
              <w:left w:val="nil"/>
              <w:bottom w:val="single" w:sz="4" w:space="0" w:color="auto"/>
              <w:right w:val="single" w:sz="4" w:space="0" w:color="auto"/>
            </w:tcBorders>
            <w:shd w:val="clear" w:color="auto" w:fill="auto"/>
            <w:noWrap/>
            <w:hideMark/>
          </w:tcPr>
          <w:p w14:paraId="0CCC9C6D" w14:textId="0115B0CD"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0.000008</w:t>
            </w:r>
          </w:p>
        </w:tc>
      </w:tr>
      <w:tr w:rsidR="00E90FA7" w:rsidRPr="005A7FF0" w14:paraId="3FB00CF2"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4684ABE4" w14:textId="77777777" w:rsidR="00E90FA7" w:rsidRPr="005A7FF0" w:rsidRDefault="00E90FA7"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Land use-Occupation, annual crop</w:t>
            </w:r>
          </w:p>
        </w:tc>
        <w:tc>
          <w:tcPr>
            <w:tcW w:w="678" w:type="pct"/>
            <w:tcBorders>
              <w:top w:val="nil"/>
              <w:left w:val="nil"/>
              <w:bottom w:val="single" w:sz="4" w:space="0" w:color="auto"/>
              <w:right w:val="single" w:sz="4" w:space="0" w:color="auto"/>
            </w:tcBorders>
            <w:shd w:val="clear" w:color="auto" w:fill="auto"/>
            <w:noWrap/>
            <w:hideMark/>
          </w:tcPr>
          <w:p w14:paraId="6AC31701" w14:textId="2CF308EA" w:rsidR="00E90FA7" w:rsidRPr="005A7FF0" w:rsidRDefault="00E90FA7" w:rsidP="003632A1">
            <w:pPr>
              <w:spacing w:after="0" w:line="360" w:lineRule="auto"/>
              <w:jc w:val="center"/>
              <w:rPr>
                <w:rFonts w:ascii="Calibri" w:eastAsia="Times New Roman" w:hAnsi="Calibri" w:cs="Calibri"/>
                <w:color w:val="FF0000"/>
                <w:sz w:val="24"/>
                <w:szCs w:val="24"/>
              </w:rPr>
            </w:pPr>
            <w:r w:rsidRPr="005A7FF0">
              <w:rPr>
                <w:rFonts w:ascii="Calibri" w:eastAsia="Times New Roman" w:hAnsi="Calibri" w:cs="Calibri"/>
                <w:sz w:val="24"/>
                <w:szCs w:val="24"/>
              </w:rPr>
              <w:t>3</w:t>
            </w:r>
            <w:r w:rsidR="0049450D" w:rsidRPr="005A7FF0">
              <w:rPr>
                <w:rFonts w:ascii="Calibri" w:eastAsia="Times New Roman" w:hAnsi="Calibri" w:cs="Calibri"/>
                <w:sz w:val="24"/>
                <w:szCs w:val="24"/>
              </w:rPr>
              <w:t>,</w:t>
            </w:r>
            <w:r w:rsidRPr="005A7FF0">
              <w:rPr>
                <w:rFonts w:ascii="Calibri" w:eastAsia="Times New Roman" w:hAnsi="Calibri" w:cs="Calibri"/>
                <w:sz w:val="24"/>
                <w:szCs w:val="24"/>
              </w:rPr>
              <w:t>470</w:t>
            </w:r>
          </w:p>
        </w:tc>
        <w:tc>
          <w:tcPr>
            <w:tcW w:w="559" w:type="pct"/>
            <w:tcBorders>
              <w:top w:val="nil"/>
              <w:left w:val="nil"/>
              <w:bottom w:val="single" w:sz="4" w:space="0" w:color="auto"/>
              <w:right w:val="single" w:sz="4" w:space="0" w:color="auto"/>
            </w:tcBorders>
            <w:shd w:val="clear" w:color="auto" w:fill="auto"/>
            <w:noWrap/>
            <w:hideMark/>
          </w:tcPr>
          <w:p w14:paraId="59565EA6" w14:textId="57C561CF"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roofErr w:type="spellStart"/>
            <w:r w:rsidRPr="005A7FF0">
              <w:rPr>
                <w:rFonts w:ascii="Calibri" w:eastAsia="Times New Roman" w:hAnsi="Calibri" w:cs="Calibri"/>
                <w:color w:val="000000"/>
                <w:sz w:val="24"/>
                <w:szCs w:val="24"/>
              </w:rPr>
              <w:t>na</w:t>
            </w:r>
            <w:proofErr w:type="spellEnd"/>
          </w:p>
        </w:tc>
        <w:tc>
          <w:tcPr>
            <w:tcW w:w="684" w:type="pct"/>
            <w:tcBorders>
              <w:top w:val="nil"/>
              <w:left w:val="nil"/>
              <w:bottom w:val="single" w:sz="4" w:space="0" w:color="auto"/>
              <w:right w:val="single" w:sz="4" w:space="0" w:color="auto"/>
            </w:tcBorders>
            <w:shd w:val="clear" w:color="auto" w:fill="auto"/>
            <w:noWrap/>
            <w:hideMark/>
          </w:tcPr>
          <w:p w14:paraId="6179E59D" w14:textId="267D0F1B"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roofErr w:type="spellStart"/>
            <w:r w:rsidRPr="005A7FF0">
              <w:rPr>
                <w:rFonts w:ascii="Calibri" w:eastAsia="Times New Roman" w:hAnsi="Calibri" w:cs="Calibri"/>
                <w:color w:val="000000"/>
                <w:sz w:val="24"/>
                <w:szCs w:val="24"/>
              </w:rPr>
              <w:t>na</w:t>
            </w:r>
            <w:proofErr w:type="spellEnd"/>
          </w:p>
        </w:tc>
        <w:tc>
          <w:tcPr>
            <w:tcW w:w="684" w:type="pct"/>
            <w:tcBorders>
              <w:top w:val="nil"/>
              <w:left w:val="nil"/>
              <w:bottom w:val="single" w:sz="4" w:space="0" w:color="auto"/>
              <w:right w:val="single" w:sz="4" w:space="0" w:color="auto"/>
            </w:tcBorders>
            <w:shd w:val="clear" w:color="auto" w:fill="auto"/>
            <w:noWrap/>
            <w:hideMark/>
          </w:tcPr>
          <w:p w14:paraId="1C6A93AD" w14:textId="04EB54B5"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roofErr w:type="spellStart"/>
            <w:r w:rsidRPr="005A7FF0">
              <w:rPr>
                <w:rFonts w:ascii="Calibri" w:eastAsia="Times New Roman" w:hAnsi="Calibri" w:cs="Calibri"/>
                <w:color w:val="000000"/>
                <w:sz w:val="24"/>
                <w:szCs w:val="24"/>
              </w:rPr>
              <w:t>na</w:t>
            </w:r>
            <w:proofErr w:type="spellEnd"/>
          </w:p>
        </w:tc>
      </w:tr>
      <w:tr w:rsidR="00E90FA7" w:rsidRPr="005A7FF0" w14:paraId="6B303AAD"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5FED6320" w14:textId="77777777" w:rsidR="00E90FA7" w:rsidRPr="005A7FF0" w:rsidRDefault="00E90FA7"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Land use-Occupation, permanent crop, Tropical Forest</w:t>
            </w:r>
          </w:p>
        </w:tc>
        <w:tc>
          <w:tcPr>
            <w:tcW w:w="678" w:type="pct"/>
            <w:tcBorders>
              <w:top w:val="nil"/>
              <w:left w:val="nil"/>
              <w:bottom w:val="single" w:sz="4" w:space="0" w:color="auto"/>
              <w:right w:val="single" w:sz="4" w:space="0" w:color="auto"/>
            </w:tcBorders>
            <w:shd w:val="clear" w:color="auto" w:fill="auto"/>
            <w:noWrap/>
            <w:hideMark/>
          </w:tcPr>
          <w:p w14:paraId="310099D8" w14:textId="02A9C3CA"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3</w:t>
            </w:r>
            <w:r w:rsidR="0049450D" w:rsidRPr="005A7FF0">
              <w:rPr>
                <w:rFonts w:ascii="Calibri" w:eastAsia="Times New Roman" w:hAnsi="Calibri" w:cs="Calibri"/>
                <w:color w:val="000000"/>
                <w:sz w:val="24"/>
                <w:szCs w:val="24"/>
              </w:rPr>
              <w:t>,</w:t>
            </w:r>
            <w:r w:rsidRPr="005A7FF0">
              <w:rPr>
                <w:rFonts w:ascii="Calibri" w:eastAsia="Times New Roman" w:hAnsi="Calibri" w:cs="Calibri"/>
                <w:color w:val="000000"/>
                <w:sz w:val="24"/>
                <w:szCs w:val="24"/>
              </w:rPr>
              <w:t>030</w:t>
            </w:r>
          </w:p>
        </w:tc>
        <w:tc>
          <w:tcPr>
            <w:tcW w:w="559" w:type="pct"/>
            <w:tcBorders>
              <w:top w:val="nil"/>
              <w:left w:val="nil"/>
              <w:bottom w:val="single" w:sz="4" w:space="0" w:color="auto"/>
              <w:right w:val="single" w:sz="4" w:space="0" w:color="auto"/>
            </w:tcBorders>
            <w:shd w:val="clear" w:color="auto" w:fill="auto"/>
            <w:noWrap/>
            <w:hideMark/>
          </w:tcPr>
          <w:p w14:paraId="7F1AB76D" w14:textId="651B8903"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roofErr w:type="spellStart"/>
            <w:r w:rsidRPr="005A7FF0">
              <w:rPr>
                <w:rFonts w:ascii="Calibri" w:eastAsia="Times New Roman" w:hAnsi="Calibri" w:cs="Calibri"/>
                <w:color w:val="000000"/>
                <w:sz w:val="24"/>
                <w:szCs w:val="24"/>
              </w:rPr>
              <w:t>na</w:t>
            </w:r>
            <w:proofErr w:type="spellEnd"/>
          </w:p>
        </w:tc>
        <w:tc>
          <w:tcPr>
            <w:tcW w:w="684" w:type="pct"/>
            <w:tcBorders>
              <w:top w:val="nil"/>
              <w:left w:val="nil"/>
              <w:bottom w:val="single" w:sz="4" w:space="0" w:color="auto"/>
              <w:right w:val="single" w:sz="4" w:space="0" w:color="auto"/>
            </w:tcBorders>
            <w:shd w:val="clear" w:color="auto" w:fill="auto"/>
            <w:noWrap/>
            <w:hideMark/>
          </w:tcPr>
          <w:p w14:paraId="3EFBC722" w14:textId="2EB313AD"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roofErr w:type="spellStart"/>
            <w:r w:rsidRPr="005A7FF0">
              <w:rPr>
                <w:rFonts w:ascii="Calibri" w:eastAsia="Times New Roman" w:hAnsi="Calibri" w:cs="Calibri"/>
                <w:color w:val="000000"/>
                <w:sz w:val="24"/>
                <w:szCs w:val="24"/>
              </w:rPr>
              <w:t>na</w:t>
            </w:r>
            <w:proofErr w:type="spellEnd"/>
          </w:p>
        </w:tc>
        <w:tc>
          <w:tcPr>
            <w:tcW w:w="684" w:type="pct"/>
            <w:tcBorders>
              <w:top w:val="nil"/>
              <w:left w:val="nil"/>
              <w:bottom w:val="single" w:sz="4" w:space="0" w:color="auto"/>
              <w:right w:val="single" w:sz="4" w:space="0" w:color="auto"/>
            </w:tcBorders>
            <w:shd w:val="clear" w:color="auto" w:fill="auto"/>
            <w:noWrap/>
            <w:hideMark/>
          </w:tcPr>
          <w:p w14:paraId="5C134AFA" w14:textId="24E803CB"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roofErr w:type="spellStart"/>
            <w:r w:rsidRPr="005A7FF0">
              <w:rPr>
                <w:rFonts w:ascii="Calibri" w:eastAsia="Times New Roman" w:hAnsi="Calibri" w:cs="Calibri"/>
                <w:color w:val="000000"/>
                <w:sz w:val="24"/>
                <w:szCs w:val="24"/>
              </w:rPr>
              <w:t>na</w:t>
            </w:r>
            <w:proofErr w:type="spellEnd"/>
          </w:p>
        </w:tc>
      </w:tr>
      <w:tr w:rsidR="00E90FA7" w:rsidRPr="005A7FF0" w14:paraId="31A543F7" w14:textId="77777777" w:rsidTr="007628D0">
        <w:trPr>
          <w:trHeight w:val="575"/>
        </w:trPr>
        <w:tc>
          <w:tcPr>
            <w:tcW w:w="2394" w:type="pct"/>
            <w:tcBorders>
              <w:top w:val="nil"/>
              <w:left w:val="single" w:sz="4" w:space="0" w:color="auto"/>
              <w:bottom w:val="single" w:sz="4" w:space="0" w:color="auto"/>
              <w:right w:val="single" w:sz="4" w:space="0" w:color="auto"/>
            </w:tcBorders>
            <w:shd w:val="clear" w:color="auto" w:fill="auto"/>
            <w:hideMark/>
          </w:tcPr>
          <w:p w14:paraId="11FA05F3" w14:textId="77777777" w:rsidR="00E90FA7" w:rsidRPr="005A7FF0" w:rsidRDefault="00E90FA7"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Land use- clear cutting primary forest to arable land perennial crop, Tropical Forest</w:t>
            </w:r>
          </w:p>
        </w:tc>
        <w:tc>
          <w:tcPr>
            <w:tcW w:w="678" w:type="pct"/>
            <w:tcBorders>
              <w:top w:val="nil"/>
              <w:left w:val="nil"/>
              <w:bottom w:val="single" w:sz="4" w:space="0" w:color="auto"/>
              <w:right w:val="single" w:sz="4" w:space="0" w:color="auto"/>
            </w:tcBorders>
            <w:shd w:val="clear" w:color="auto" w:fill="auto"/>
            <w:noWrap/>
            <w:hideMark/>
          </w:tcPr>
          <w:p w14:paraId="3FC3053B" w14:textId="45732A3B"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w:t>
            </w:r>
            <w:r w:rsidR="0049450D" w:rsidRPr="005A7FF0">
              <w:rPr>
                <w:rFonts w:ascii="Calibri" w:eastAsia="Times New Roman" w:hAnsi="Calibri" w:cs="Calibri"/>
                <w:color w:val="000000"/>
                <w:sz w:val="24"/>
                <w:szCs w:val="24"/>
              </w:rPr>
              <w:t>,</w:t>
            </w:r>
            <w:r w:rsidRPr="005A7FF0">
              <w:rPr>
                <w:rFonts w:ascii="Calibri" w:eastAsia="Times New Roman" w:hAnsi="Calibri" w:cs="Calibri"/>
                <w:color w:val="000000"/>
                <w:sz w:val="24"/>
                <w:szCs w:val="24"/>
              </w:rPr>
              <w:t>160</w:t>
            </w:r>
          </w:p>
        </w:tc>
        <w:tc>
          <w:tcPr>
            <w:tcW w:w="559" w:type="pct"/>
            <w:tcBorders>
              <w:top w:val="nil"/>
              <w:left w:val="nil"/>
              <w:bottom w:val="single" w:sz="4" w:space="0" w:color="auto"/>
              <w:right w:val="single" w:sz="4" w:space="0" w:color="auto"/>
            </w:tcBorders>
            <w:shd w:val="clear" w:color="auto" w:fill="auto"/>
            <w:noWrap/>
            <w:hideMark/>
          </w:tcPr>
          <w:p w14:paraId="37AC8CFD" w14:textId="4AE128B4"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roofErr w:type="spellStart"/>
            <w:r w:rsidRPr="005A7FF0">
              <w:rPr>
                <w:rFonts w:ascii="Calibri" w:eastAsia="Times New Roman" w:hAnsi="Calibri" w:cs="Calibri"/>
                <w:color w:val="000000"/>
                <w:sz w:val="24"/>
                <w:szCs w:val="24"/>
              </w:rPr>
              <w:t>na</w:t>
            </w:r>
            <w:proofErr w:type="spellEnd"/>
          </w:p>
        </w:tc>
        <w:tc>
          <w:tcPr>
            <w:tcW w:w="684" w:type="pct"/>
            <w:tcBorders>
              <w:top w:val="nil"/>
              <w:left w:val="nil"/>
              <w:bottom w:val="single" w:sz="4" w:space="0" w:color="auto"/>
              <w:right w:val="single" w:sz="4" w:space="0" w:color="auto"/>
            </w:tcBorders>
            <w:shd w:val="clear" w:color="auto" w:fill="auto"/>
            <w:noWrap/>
            <w:hideMark/>
          </w:tcPr>
          <w:p w14:paraId="71A9969B" w14:textId="425A53A3"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roofErr w:type="spellStart"/>
            <w:r w:rsidRPr="005A7FF0">
              <w:rPr>
                <w:rFonts w:ascii="Calibri" w:eastAsia="Times New Roman" w:hAnsi="Calibri" w:cs="Calibri"/>
                <w:color w:val="000000"/>
                <w:sz w:val="24"/>
                <w:szCs w:val="24"/>
              </w:rPr>
              <w:t>na</w:t>
            </w:r>
            <w:proofErr w:type="spellEnd"/>
          </w:p>
        </w:tc>
        <w:tc>
          <w:tcPr>
            <w:tcW w:w="684" w:type="pct"/>
            <w:tcBorders>
              <w:top w:val="nil"/>
              <w:left w:val="nil"/>
              <w:bottom w:val="single" w:sz="4" w:space="0" w:color="auto"/>
              <w:right w:val="single" w:sz="4" w:space="0" w:color="auto"/>
            </w:tcBorders>
            <w:shd w:val="clear" w:color="auto" w:fill="auto"/>
            <w:noWrap/>
            <w:hideMark/>
          </w:tcPr>
          <w:p w14:paraId="1203AA34" w14:textId="339574EF" w:rsidR="00E90FA7" w:rsidRPr="005A7FF0" w:rsidRDefault="00E90FA7"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roofErr w:type="spellStart"/>
            <w:r w:rsidRPr="005A7FF0">
              <w:rPr>
                <w:rFonts w:ascii="Calibri" w:eastAsia="Times New Roman" w:hAnsi="Calibri" w:cs="Calibri"/>
                <w:color w:val="000000"/>
                <w:sz w:val="24"/>
                <w:szCs w:val="24"/>
              </w:rPr>
              <w:t>na</w:t>
            </w:r>
            <w:proofErr w:type="spellEnd"/>
          </w:p>
        </w:tc>
      </w:tr>
      <w:tr w:rsidR="00237178" w:rsidRPr="005A7FF0" w14:paraId="35FF98C9"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2C2D219D"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Marine ecotoxicity</w:t>
            </w:r>
          </w:p>
        </w:tc>
        <w:tc>
          <w:tcPr>
            <w:tcW w:w="678" w:type="pct"/>
            <w:tcBorders>
              <w:top w:val="nil"/>
              <w:left w:val="nil"/>
              <w:bottom w:val="single" w:sz="4" w:space="0" w:color="auto"/>
              <w:right w:val="single" w:sz="4" w:space="0" w:color="auto"/>
            </w:tcBorders>
            <w:shd w:val="clear" w:color="auto" w:fill="auto"/>
            <w:noWrap/>
            <w:hideMark/>
          </w:tcPr>
          <w:p w14:paraId="5A6F576E"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0.0026</w:t>
            </w:r>
          </w:p>
        </w:tc>
        <w:tc>
          <w:tcPr>
            <w:tcW w:w="559" w:type="pct"/>
            <w:tcBorders>
              <w:top w:val="nil"/>
              <w:left w:val="nil"/>
              <w:bottom w:val="single" w:sz="4" w:space="0" w:color="auto"/>
              <w:right w:val="single" w:sz="4" w:space="0" w:color="auto"/>
            </w:tcBorders>
            <w:shd w:val="clear" w:color="auto" w:fill="auto"/>
            <w:noWrap/>
            <w:hideMark/>
          </w:tcPr>
          <w:p w14:paraId="7C79F72A"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0.0001164</w:t>
            </w:r>
          </w:p>
        </w:tc>
        <w:tc>
          <w:tcPr>
            <w:tcW w:w="684" w:type="pct"/>
            <w:tcBorders>
              <w:top w:val="nil"/>
              <w:left w:val="nil"/>
              <w:bottom w:val="single" w:sz="4" w:space="0" w:color="auto"/>
              <w:right w:val="single" w:sz="4" w:space="0" w:color="auto"/>
            </w:tcBorders>
            <w:shd w:val="clear" w:color="auto" w:fill="auto"/>
            <w:noWrap/>
            <w:hideMark/>
          </w:tcPr>
          <w:p w14:paraId="6E0C0F26"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0.0000327</w:t>
            </w:r>
          </w:p>
        </w:tc>
        <w:tc>
          <w:tcPr>
            <w:tcW w:w="684" w:type="pct"/>
            <w:tcBorders>
              <w:top w:val="nil"/>
              <w:left w:val="nil"/>
              <w:bottom w:val="single" w:sz="4" w:space="0" w:color="auto"/>
              <w:right w:val="single" w:sz="4" w:space="0" w:color="auto"/>
            </w:tcBorders>
            <w:shd w:val="clear" w:color="auto" w:fill="auto"/>
            <w:noWrap/>
            <w:hideMark/>
          </w:tcPr>
          <w:p w14:paraId="5FAE1F9C"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0.0000387</w:t>
            </w:r>
          </w:p>
        </w:tc>
      </w:tr>
      <w:tr w:rsidR="00237178" w:rsidRPr="005A7FF0" w14:paraId="2250F243"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29952D30"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Marine eutrophication</w:t>
            </w:r>
          </w:p>
        </w:tc>
        <w:tc>
          <w:tcPr>
            <w:tcW w:w="678" w:type="pct"/>
            <w:tcBorders>
              <w:top w:val="nil"/>
              <w:left w:val="nil"/>
              <w:bottom w:val="single" w:sz="4" w:space="0" w:color="auto"/>
              <w:right w:val="single" w:sz="4" w:space="0" w:color="auto"/>
            </w:tcBorders>
            <w:shd w:val="clear" w:color="auto" w:fill="auto"/>
            <w:noWrap/>
            <w:hideMark/>
          </w:tcPr>
          <w:p w14:paraId="5AF35FEE"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20.1</w:t>
            </w:r>
          </w:p>
        </w:tc>
        <w:tc>
          <w:tcPr>
            <w:tcW w:w="559" w:type="pct"/>
            <w:tcBorders>
              <w:top w:val="nil"/>
              <w:left w:val="nil"/>
              <w:bottom w:val="single" w:sz="4" w:space="0" w:color="auto"/>
              <w:right w:val="single" w:sz="4" w:space="0" w:color="auto"/>
            </w:tcBorders>
            <w:shd w:val="clear" w:color="auto" w:fill="auto"/>
            <w:noWrap/>
            <w:hideMark/>
          </w:tcPr>
          <w:p w14:paraId="45B410F7"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0.266</w:t>
            </w:r>
          </w:p>
        </w:tc>
        <w:tc>
          <w:tcPr>
            <w:tcW w:w="684" w:type="pct"/>
            <w:tcBorders>
              <w:top w:val="nil"/>
              <w:left w:val="nil"/>
              <w:bottom w:val="single" w:sz="4" w:space="0" w:color="auto"/>
              <w:right w:val="single" w:sz="4" w:space="0" w:color="auto"/>
            </w:tcBorders>
            <w:shd w:val="clear" w:color="auto" w:fill="auto"/>
            <w:noWrap/>
            <w:hideMark/>
          </w:tcPr>
          <w:p w14:paraId="27FBB5F7"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0.038</w:t>
            </w:r>
          </w:p>
        </w:tc>
        <w:tc>
          <w:tcPr>
            <w:tcW w:w="684" w:type="pct"/>
            <w:tcBorders>
              <w:top w:val="nil"/>
              <w:left w:val="nil"/>
              <w:bottom w:val="single" w:sz="4" w:space="0" w:color="auto"/>
              <w:right w:val="single" w:sz="4" w:space="0" w:color="auto"/>
            </w:tcBorders>
            <w:shd w:val="clear" w:color="auto" w:fill="auto"/>
            <w:noWrap/>
            <w:hideMark/>
          </w:tcPr>
          <w:p w14:paraId="7E807D39"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0.157</w:t>
            </w:r>
          </w:p>
        </w:tc>
      </w:tr>
      <w:tr w:rsidR="00237178" w:rsidRPr="005A7FF0" w14:paraId="6492E995"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166AC63D"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Mineral resource scarcity</w:t>
            </w:r>
          </w:p>
        </w:tc>
        <w:tc>
          <w:tcPr>
            <w:tcW w:w="678" w:type="pct"/>
            <w:tcBorders>
              <w:top w:val="nil"/>
              <w:left w:val="nil"/>
              <w:bottom w:val="single" w:sz="4" w:space="0" w:color="auto"/>
              <w:right w:val="single" w:sz="4" w:space="0" w:color="auto"/>
            </w:tcBorders>
            <w:shd w:val="clear" w:color="auto" w:fill="auto"/>
            <w:noWrap/>
            <w:hideMark/>
          </w:tcPr>
          <w:p w14:paraId="1943DA18"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0.26</w:t>
            </w:r>
          </w:p>
        </w:tc>
        <w:tc>
          <w:tcPr>
            <w:tcW w:w="559" w:type="pct"/>
            <w:tcBorders>
              <w:top w:val="nil"/>
              <w:left w:val="nil"/>
              <w:bottom w:val="single" w:sz="4" w:space="0" w:color="auto"/>
              <w:right w:val="single" w:sz="4" w:space="0" w:color="auto"/>
            </w:tcBorders>
            <w:shd w:val="clear" w:color="auto" w:fill="auto"/>
            <w:noWrap/>
            <w:hideMark/>
          </w:tcPr>
          <w:p w14:paraId="5B128C94"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0.002</w:t>
            </w:r>
          </w:p>
        </w:tc>
        <w:tc>
          <w:tcPr>
            <w:tcW w:w="684" w:type="pct"/>
            <w:tcBorders>
              <w:top w:val="nil"/>
              <w:left w:val="nil"/>
              <w:bottom w:val="single" w:sz="4" w:space="0" w:color="auto"/>
              <w:right w:val="single" w:sz="4" w:space="0" w:color="auto"/>
            </w:tcBorders>
            <w:shd w:val="clear" w:color="auto" w:fill="auto"/>
            <w:noWrap/>
            <w:hideMark/>
          </w:tcPr>
          <w:p w14:paraId="71A7FD01"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0.014</w:t>
            </w:r>
          </w:p>
        </w:tc>
        <w:tc>
          <w:tcPr>
            <w:tcW w:w="684" w:type="pct"/>
            <w:tcBorders>
              <w:top w:val="nil"/>
              <w:left w:val="nil"/>
              <w:bottom w:val="single" w:sz="4" w:space="0" w:color="auto"/>
              <w:right w:val="single" w:sz="4" w:space="0" w:color="auto"/>
            </w:tcBorders>
            <w:shd w:val="clear" w:color="auto" w:fill="auto"/>
            <w:noWrap/>
            <w:hideMark/>
          </w:tcPr>
          <w:p w14:paraId="54A1F723"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0.014</w:t>
            </w:r>
          </w:p>
        </w:tc>
      </w:tr>
      <w:tr w:rsidR="00237178" w:rsidRPr="005A7FF0" w14:paraId="263A78C5"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7317DA3C"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Ozone formation, Human health</w:t>
            </w:r>
          </w:p>
        </w:tc>
        <w:tc>
          <w:tcPr>
            <w:tcW w:w="678" w:type="pct"/>
            <w:tcBorders>
              <w:top w:val="nil"/>
              <w:left w:val="nil"/>
              <w:bottom w:val="single" w:sz="4" w:space="0" w:color="auto"/>
              <w:right w:val="single" w:sz="4" w:space="0" w:color="auto"/>
            </w:tcBorders>
            <w:shd w:val="clear" w:color="auto" w:fill="auto"/>
            <w:noWrap/>
            <w:hideMark/>
          </w:tcPr>
          <w:p w14:paraId="751C1938"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4.19</w:t>
            </w:r>
          </w:p>
        </w:tc>
        <w:tc>
          <w:tcPr>
            <w:tcW w:w="559" w:type="pct"/>
            <w:tcBorders>
              <w:top w:val="nil"/>
              <w:left w:val="nil"/>
              <w:bottom w:val="single" w:sz="4" w:space="0" w:color="auto"/>
              <w:right w:val="single" w:sz="4" w:space="0" w:color="auto"/>
            </w:tcBorders>
            <w:shd w:val="clear" w:color="auto" w:fill="auto"/>
            <w:noWrap/>
            <w:hideMark/>
          </w:tcPr>
          <w:p w14:paraId="52006910"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0.041</w:t>
            </w:r>
          </w:p>
        </w:tc>
        <w:tc>
          <w:tcPr>
            <w:tcW w:w="684" w:type="pct"/>
            <w:tcBorders>
              <w:top w:val="nil"/>
              <w:left w:val="nil"/>
              <w:bottom w:val="single" w:sz="4" w:space="0" w:color="auto"/>
              <w:right w:val="single" w:sz="4" w:space="0" w:color="auto"/>
            </w:tcBorders>
            <w:shd w:val="clear" w:color="auto" w:fill="auto"/>
            <w:noWrap/>
            <w:hideMark/>
          </w:tcPr>
          <w:p w14:paraId="74CB5E0E"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0.008</w:t>
            </w:r>
          </w:p>
        </w:tc>
        <w:tc>
          <w:tcPr>
            <w:tcW w:w="684" w:type="pct"/>
            <w:tcBorders>
              <w:top w:val="nil"/>
              <w:left w:val="nil"/>
              <w:bottom w:val="single" w:sz="4" w:space="0" w:color="auto"/>
              <w:right w:val="single" w:sz="4" w:space="0" w:color="auto"/>
            </w:tcBorders>
            <w:shd w:val="clear" w:color="auto" w:fill="auto"/>
            <w:noWrap/>
            <w:hideMark/>
          </w:tcPr>
          <w:p w14:paraId="38E437B9"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0.004</w:t>
            </w:r>
          </w:p>
        </w:tc>
      </w:tr>
      <w:tr w:rsidR="00237178" w:rsidRPr="005A7FF0" w14:paraId="4C2B7BB3"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2C37D8C3"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Ozone formation, Terrestrial ecosystems</w:t>
            </w:r>
          </w:p>
        </w:tc>
        <w:tc>
          <w:tcPr>
            <w:tcW w:w="678" w:type="pct"/>
            <w:tcBorders>
              <w:top w:val="nil"/>
              <w:left w:val="nil"/>
              <w:bottom w:val="single" w:sz="4" w:space="0" w:color="auto"/>
              <w:right w:val="single" w:sz="4" w:space="0" w:color="auto"/>
            </w:tcBorders>
            <w:shd w:val="clear" w:color="auto" w:fill="auto"/>
            <w:noWrap/>
            <w:hideMark/>
          </w:tcPr>
          <w:p w14:paraId="75837758"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4.19</w:t>
            </w:r>
          </w:p>
        </w:tc>
        <w:tc>
          <w:tcPr>
            <w:tcW w:w="559" w:type="pct"/>
            <w:tcBorders>
              <w:top w:val="nil"/>
              <w:left w:val="nil"/>
              <w:bottom w:val="single" w:sz="4" w:space="0" w:color="auto"/>
              <w:right w:val="single" w:sz="4" w:space="0" w:color="auto"/>
            </w:tcBorders>
            <w:shd w:val="clear" w:color="auto" w:fill="auto"/>
            <w:noWrap/>
            <w:hideMark/>
          </w:tcPr>
          <w:p w14:paraId="4F866840"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0.042</w:t>
            </w:r>
          </w:p>
        </w:tc>
        <w:tc>
          <w:tcPr>
            <w:tcW w:w="684" w:type="pct"/>
            <w:tcBorders>
              <w:top w:val="nil"/>
              <w:left w:val="nil"/>
              <w:bottom w:val="single" w:sz="4" w:space="0" w:color="auto"/>
              <w:right w:val="single" w:sz="4" w:space="0" w:color="auto"/>
            </w:tcBorders>
            <w:shd w:val="clear" w:color="auto" w:fill="auto"/>
            <w:noWrap/>
            <w:hideMark/>
          </w:tcPr>
          <w:p w14:paraId="725A2DB2"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0.009</w:t>
            </w:r>
          </w:p>
        </w:tc>
        <w:tc>
          <w:tcPr>
            <w:tcW w:w="684" w:type="pct"/>
            <w:tcBorders>
              <w:top w:val="nil"/>
              <w:left w:val="nil"/>
              <w:bottom w:val="single" w:sz="4" w:space="0" w:color="auto"/>
              <w:right w:val="single" w:sz="4" w:space="0" w:color="auto"/>
            </w:tcBorders>
            <w:shd w:val="clear" w:color="auto" w:fill="auto"/>
            <w:noWrap/>
            <w:hideMark/>
          </w:tcPr>
          <w:p w14:paraId="08980CB0"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0.004</w:t>
            </w:r>
          </w:p>
        </w:tc>
      </w:tr>
      <w:tr w:rsidR="00237178" w:rsidRPr="005A7FF0" w14:paraId="19F422EE"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3B3571F9"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lastRenderedPageBreak/>
              <w:t>Stratospheric ozone depletion</w:t>
            </w:r>
          </w:p>
        </w:tc>
        <w:tc>
          <w:tcPr>
            <w:tcW w:w="678" w:type="pct"/>
            <w:tcBorders>
              <w:top w:val="nil"/>
              <w:left w:val="nil"/>
              <w:bottom w:val="single" w:sz="4" w:space="0" w:color="auto"/>
              <w:right w:val="single" w:sz="4" w:space="0" w:color="auto"/>
            </w:tcBorders>
            <w:shd w:val="clear" w:color="auto" w:fill="auto"/>
            <w:noWrap/>
            <w:hideMark/>
          </w:tcPr>
          <w:p w14:paraId="0C621F2C"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65.4</w:t>
            </w:r>
          </w:p>
        </w:tc>
        <w:tc>
          <w:tcPr>
            <w:tcW w:w="559" w:type="pct"/>
            <w:tcBorders>
              <w:top w:val="nil"/>
              <w:left w:val="nil"/>
              <w:bottom w:val="single" w:sz="4" w:space="0" w:color="auto"/>
              <w:right w:val="single" w:sz="4" w:space="0" w:color="auto"/>
            </w:tcBorders>
            <w:shd w:val="clear" w:color="auto" w:fill="auto"/>
            <w:noWrap/>
            <w:hideMark/>
          </w:tcPr>
          <w:p w14:paraId="2B5299ED"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0.002</w:t>
            </w:r>
          </w:p>
        </w:tc>
        <w:tc>
          <w:tcPr>
            <w:tcW w:w="684" w:type="pct"/>
            <w:tcBorders>
              <w:top w:val="nil"/>
              <w:left w:val="nil"/>
              <w:bottom w:val="single" w:sz="4" w:space="0" w:color="auto"/>
              <w:right w:val="single" w:sz="4" w:space="0" w:color="auto"/>
            </w:tcBorders>
            <w:shd w:val="clear" w:color="auto" w:fill="auto"/>
            <w:noWrap/>
            <w:hideMark/>
          </w:tcPr>
          <w:p w14:paraId="1AE7E2C1"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0.001</w:t>
            </w:r>
          </w:p>
        </w:tc>
        <w:tc>
          <w:tcPr>
            <w:tcW w:w="684" w:type="pct"/>
            <w:tcBorders>
              <w:top w:val="nil"/>
              <w:left w:val="nil"/>
              <w:bottom w:val="single" w:sz="4" w:space="0" w:color="auto"/>
              <w:right w:val="single" w:sz="4" w:space="0" w:color="auto"/>
            </w:tcBorders>
            <w:shd w:val="clear" w:color="auto" w:fill="auto"/>
            <w:noWrap/>
            <w:hideMark/>
          </w:tcPr>
          <w:p w14:paraId="4CF2CECB"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0.001</w:t>
            </w:r>
          </w:p>
        </w:tc>
      </w:tr>
      <w:tr w:rsidR="00237178" w:rsidRPr="005A7FF0" w14:paraId="05F32909"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45ECCE7D"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Terrestrial acidification</w:t>
            </w:r>
          </w:p>
        </w:tc>
        <w:tc>
          <w:tcPr>
            <w:tcW w:w="678" w:type="pct"/>
            <w:tcBorders>
              <w:top w:val="nil"/>
              <w:left w:val="nil"/>
              <w:bottom w:val="single" w:sz="4" w:space="0" w:color="auto"/>
              <w:right w:val="single" w:sz="4" w:space="0" w:color="auto"/>
            </w:tcBorders>
            <w:shd w:val="clear" w:color="auto" w:fill="auto"/>
            <w:noWrap/>
            <w:hideMark/>
          </w:tcPr>
          <w:p w14:paraId="28BA7CEF"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6.7</w:t>
            </w:r>
          </w:p>
        </w:tc>
        <w:tc>
          <w:tcPr>
            <w:tcW w:w="559" w:type="pct"/>
            <w:tcBorders>
              <w:top w:val="nil"/>
              <w:left w:val="nil"/>
              <w:bottom w:val="single" w:sz="4" w:space="0" w:color="auto"/>
              <w:right w:val="single" w:sz="4" w:space="0" w:color="auto"/>
            </w:tcBorders>
            <w:shd w:val="clear" w:color="auto" w:fill="auto"/>
            <w:noWrap/>
            <w:hideMark/>
          </w:tcPr>
          <w:p w14:paraId="1557A967"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0.482</w:t>
            </w:r>
          </w:p>
        </w:tc>
        <w:tc>
          <w:tcPr>
            <w:tcW w:w="684" w:type="pct"/>
            <w:tcBorders>
              <w:top w:val="nil"/>
              <w:left w:val="nil"/>
              <w:bottom w:val="single" w:sz="4" w:space="0" w:color="auto"/>
              <w:right w:val="single" w:sz="4" w:space="0" w:color="auto"/>
            </w:tcBorders>
            <w:shd w:val="clear" w:color="auto" w:fill="auto"/>
            <w:noWrap/>
            <w:hideMark/>
          </w:tcPr>
          <w:p w14:paraId="5F0AA052"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0.047</w:t>
            </w:r>
          </w:p>
        </w:tc>
        <w:tc>
          <w:tcPr>
            <w:tcW w:w="684" w:type="pct"/>
            <w:tcBorders>
              <w:top w:val="nil"/>
              <w:left w:val="nil"/>
              <w:bottom w:val="single" w:sz="4" w:space="0" w:color="auto"/>
              <w:right w:val="single" w:sz="4" w:space="0" w:color="auto"/>
            </w:tcBorders>
            <w:shd w:val="clear" w:color="auto" w:fill="auto"/>
            <w:noWrap/>
            <w:hideMark/>
          </w:tcPr>
          <w:p w14:paraId="35B543B4"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0.047</w:t>
            </w:r>
          </w:p>
        </w:tc>
      </w:tr>
      <w:tr w:rsidR="00237178" w:rsidRPr="005A7FF0" w14:paraId="163D158A"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5C79ED2C"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Terrestrial ecotoxicity</w:t>
            </w:r>
          </w:p>
        </w:tc>
        <w:tc>
          <w:tcPr>
            <w:tcW w:w="678" w:type="pct"/>
            <w:tcBorders>
              <w:top w:val="nil"/>
              <w:left w:val="nil"/>
              <w:bottom w:val="single" w:sz="4" w:space="0" w:color="auto"/>
              <w:right w:val="single" w:sz="4" w:space="0" w:color="auto"/>
            </w:tcBorders>
            <w:shd w:val="clear" w:color="auto" w:fill="auto"/>
            <w:noWrap/>
            <w:hideMark/>
          </w:tcPr>
          <w:p w14:paraId="4C8CA5F2"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0.0004</w:t>
            </w:r>
          </w:p>
        </w:tc>
        <w:tc>
          <w:tcPr>
            <w:tcW w:w="559" w:type="pct"/>
            <w:tcBorders>
              <w:top w:val="nil"/>
              <w:left w:val="nil"/>
              <w:bottom w:val="single" w:sz="4" w:space="0" w:color="auto"/>
              <w:right w:val="single" w:sz="4" w:space="0" w:color="auto"/>
            </w:tcBorders>
            <w:shd w:val="clear" w:color="auto" w:fill="auto"/>
            <w:noWrap/>
            <w:hideMark/>
          </w:tcPr>
          <w:p w14:paraId="4AC72382"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0.00156</w:t>
            </w:r>
          </w:p>
        </w:tc>
        <w:tc>
          <w:tcPr>
            <w:tcW w:w="684" w:type="pct"/>
            <w:tcBorders>
              <w:top w:val="nil"/>
              <w:left w:val="nil"/>
              <w:bottom w:val="single" w:sz="4" w:space="0" w:color="auto"/>
              <w:right w:val="single" w:sz="4" w:space="0" w:color="auto"/>
            </w:tcBorders>
            <w:shd w:val="clear" w:color="auto" w:fill="auto"/>
            <w:noWrap/>
            <w:hideMark/>
          </w:tcPr>
          <w:p w14:paraId="54AA0FF6"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0.00041</w:t>
            </w:r>
          </w:p>
        </w:tc>
        <w:tc>
          <w:tcPr>
            <w:tcW w:w="684" w:type="pct"/>
            <w:tcBorders>
              <w:top w:val="nil"/>
              <w:left w:val="nil"/>
              <w:bottom w:val="single" w:sz="4" w:space="0" w:color="auto"/>
              <w:right w:val="single" w:sz="4" w:space="0" w:color="auto"/>
            </w:tcBorders>
            <w:shd w:val="clear" w:color="auto" w:fill="auto"/>
            <w:noWrap/>
            <w:hideMark/>
          </w:tcPr>
          <w:p w14:paraId="1B333320"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0.00042</w:t>
            </w:r>
          </w:p>
        </w:tc>
      </w:tr>
      <w:tr w:rsidR="00237178" w:rsidRPr="005A7FF0" w14:paraId="5AF2609A" w14:textId="77777777" w:rsidTr="00237178">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40700A7A" w14:textId="77777777" w:rsidR="00237178" w:rsidRPr="005A7FF0" w:rsidRDefault="00237178"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Water consumption</w:t>
            </w:r>
          </w:p>
        </w:tc>
        <w:tc>
          <w:tcPr>
            <w:tcW w:w="678" w:type="pct"/>
            <w:tcBorders>
              <w:top w:val="nil"/>
              <w:left w:val="nil"/>
              <w:bottom w:val="single" w:sz="4" w:space="0" w:color="auto"/>
              <w:right w:val="single" w:sz="4" w:space="0" w:color="auto"/>
            </w:tcBorders>
            <w:shd w:val="clear" w:color="auto" w:fill="auto"/>
            <w:noWrap/>
            <w:hideMark/>
          </w:tcPr>
          <w:p w14:paraId="254EBEC4"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1.49</w:t>
            </w:r>
          </w:p>
        </w:tc>
        <w:tc>
          <w:tcPr>
            <w:tcW w:w="559" w:type="pct"/>
            <w:tcBorders>
              <w:top w:val="nil"/>
              <w:left w:val="nil"/>
              <w:bottom w:val="single" w:sz="4" w:space="0" w:color="auto"/>
              <w:right w:val="single" w:sz="4" w:space="0" w:color="auto"/>
            </w:tcBorders>
            <w:shd w:val="clear" w:color="auto" w:fill="auto"/>
            <w:noWrap/>
            <w:hideMark/>
          </w:tcPr>
          <w:p w14:paraId="58F933E0"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0.029</w:t>
            </w:r>
          </w:p>
        </w:tc>
        <w:tc>
          <w:tcPr>
            <w:tcW w:w="684" w:type="pct"/>
            <w:tcBorders>
              <w:top w:val="nil"/>
              <w:left w:val="nil"/>
              <w:bottom w:val="single" w:sz="4" w:space="0" w:color="auto"/>
              <w:right w:val="single" w:sz="4" w:space="0" w:color="auto"/>
            </w:tcBorders>
            <w:shd w:val="clear" w:color="auto" w:fill="auto"/>
            <w:noWrap/>
            <w:hideMark/>
          </w:tcPr>
          <w:p w14:paraId="6B480DEF"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0.050</w:t>
            </w:r>
          </w:p>
        </w:tc>
        <w:tc>
          <w:tcPr>
            <w:tcW w:w="684" w:type="pct"/>
            <w:tcBorders>
              <w:top w:val="nil"/>
              <w:left w:val="nil"/>
              <w:bottom w:val="single" w:sz="4" w:space="0" w:color="auto"/>
              <w:right w:val="single" w:sz="4" w:space="0" w:color="auto"/>
            </w:tcBorders>
            <w:shd w:val="clear" w:color="auto" w:fill="auto"/>
            <w:noWrap/>
            <w:hideMark/>
          </w:tcPr>
          <w:p w14:paraId="464B89CD" w14:textId="77777777" w:rsidR="00237178" w:rsidRPr="005A7FF0" w:rsidRDefault="00237178"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0.050</w:t>
            </w:r>
          </w:p>
        </w:tc>
      </w:tr>
      <w:tr w:rsidR="00237178" w:rsidRPr="005A7FF0" w14:paraId="2F0BA236" w14:textId="77777777" w:rsidTr="00B005CF">
        <w:trPr>
          <w:trHeight w:val="300"/>
        </w:trPr>
        <w:tc>
          <w:tcPr>
            <w:tcW w:w="2394" w:type="pct"/>
            <w:tcBorders>
              <w:top w:val="nil"/>
              <w:left w:val="single" w:sz="4" w:space="0" w:color="auto"/>
              <w:bottom w:val="single" w:sz="4" w:space="0" w:color="auto"/>
              <w:right w:val="single" w:sz="4" w:space="0" w:color="auto"/>
            </w:tcBorders>
            <w:shd w:val="clear" w:color="auto" w:fill="auto"/>
            <w:noWrap/>
            <w:hideMark/>
          </w:tcPr>
          <w:p w14:paraId="1F70D9B3" w14:textId="4EF1BD0D" w:rsidR="00237178" w:rsidRPr="005A7FF0" w:rsidRDefault="00237178" w:rsidP="003632A1">
            <w:pPr>
              <w:spacing w:after="0" w:line="360" w:lineRule="auto"/>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 xml:space="preserve">Total </w:t>
            </w:r>
            <w:r w:rsidR="00E90FA7" w:rsidRPr="005A7FF0">
              <w:rPr>
                <w:rFonts w:ascii="Calibri" w:eastAsia="Times New Roman" w:hAnsi="Calibri" w:cs="Calibri"/>
                <w:b/>
                <w:bCs/>
                <w:color w:val="000000"/>
                <w:sz w:val="24"/>
                <w:szCs w:val="24"/>
              </w:rPr>
              <w:t>external cost ($/kg of oil)</w:t>
            </w:r>
          </w:p>
        </w:tc>
        <w:tc>
          <w:tcPr>
            <w:tcW w:w="678" w:type="pct"/>
            <w:tcBorders>
              <w:top w:val="nil"/>
              <w:left w:val="nil"/>
              <w:bottom w:val="single" w:sz="4" w:space="0" w:color="auto"/>
              <w:right w:val="single" w:sz="4" w:space="0" w:color="auto"/>
            </w:tcBorders>
            <w:shd w:val="clear" w:color="auto" w:fill="auto"/>
            <w:noWrap/>
          </w:tcPr>
          <w:p w14:paraId="475C7521" w14:textId="1CD27177" w:rsidR="00237178" w:rsidRPr="005A7FF0" w:rsidRDefault="00237178" w:rsidP="003632A1">
            <w:pPr>
              <w:spacing w:after="0" w:line="360" w:lineRule="auto"/>
              <w:jc w:val="center"/>
              <w:rPr>
                <w:rFonts w:ascii="Calibri" w:eastAsia="Times New Roman" w:hAnsi="Calibri" w:cs="Calibri"/>
                <w:b/>
                <w:bCs/>
                <w:color w:val="000000"/>
                <w:sz w:val="24"/>
                <w:szCs w:val="24"/>
              </w:rPr>
            </w:pPr>
          </w:p>
        </w:tc>
        <w:tc>
          <w:tcPr>
            <w:tcW w:w="559" w:type="pct"/>
            <w:tcBorders>
              <w:top w:val="nil"/>
              <w:left w:val="nil"/>
              <w:bottom w:val="single" w:sz="4" w:space="0" w:color="auto"/>
              <w:right w:val="single" w:sz="4" w:space="0" w:color="auto"/>
            </w:tcBorders>
            <w:shd w:val="clear" w:color="auto" w:fill="auto"/>
            <w:noWrap/>
            <w:hideMark/>
          </w:tcPr>
          <w:p w14:paraId="4106494E" w14:textId="20268AF0" w:rsidR="00237178" w:rsidRPr="005A7FF0" w:rsidRDefault="00237178"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2.62</w:t>
            </w:r>
          </w:p>
        </w:tc>
        <w:tc>
          <w:tcPr>
            <w:tcW w:w="684" w:type="pct"/>
            <w:tcBorders>
              <w:top w:val="nil"/>
              <w:left w:val="nil"/>
              <w:bottom w:val="single" w:sz="4" w:space="0" w:color="auto"/>
              <w:right w:val="single" w:sz="4" w:space="0" w:color="auto"/>
            </w:tcBorders>
            <w:shd w:val="clear" w:color="auto" w:fill="auto"/>
            <w:noWrap/>
            <w:hideMark/>
          </w:tcPr>
          <w:p w14:paraId="293718C4" w14:textId="1AAAA91D" w:rsidR="00237178" w:rsidRPr="005A7FF0" w:rsidRDefault="00237178"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2.27</w:t>
            </w:r>
          </w:p>
        </w:tc>
        <w:tc>
          <w:tcPr>
            <w:tcW w:w="684" w:type="pct"/>
            <w:tcBorders>
              <w:top w:val="nil"/>
              <w:left w:val="nil"/>
              <w:bottom w:val="single" w:sz="4" w:space="0" w:color="auto"/>
              <w:right w:val="single" w:sz="4" w:space="0" w:color="auto"/>
            </w:tcBorders>
            <w:shd w:val="clear" w:color="auto" w:fill="auto"/>
            <w:noWrap/>
            <w:hideMark/>
          </w:tcPr>
          <w:p w14:paraId="41BDF277" w14:textId="682626C8" w:rsidR="00237178" w:rsidRPr="005A7FF0" w:rsidRDefault="00237178"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0.55</w:t>
            </w:r>
          </w:p>
        </w:tc>
      </w:tr>
      <w:tr w:rsidR="00B005CF" w:rsidRPr="005A7FF0" w14:paraId="42F8939E" w14:textId="77777777" w:rsidTr="00B005CF">
        <w:trPr>
          <w:trHeight w:val="300"/>
        </w:trPr>
        <w:tc>
          <w:tcPr>
            <w:tcW w:w="2394" w:type="pct"/>
            <w:tcBorders>
              <w:top w:val="single" w:sz="4" w:space="0" w:color="auto"/>
              <w:left w:val="single" w:sz="4" w:space="0" w:color="auto"/>
              <w:bottom w:val="single" w:sz="4" w:space="0" w:color="auto"/>
              <w:right w:val="single" w:sz="4" w:space="0" w:color="auto"/>
            </w:tcBorders>
            <w:shd w:val="clear" w:color="auto" w:fill="auto"/>
            <w:noWrap/>
          </w:tcPr>
          <w:p w14:paraId="78F3EEB8" w14:textId="2DA65448" w:rsidR="00B005CF" w:rsidRPr="005A7FF0" w:rsidRDefault="00712F50" w:rsidP="003632A1">
            <w:pPr>
              <w:spacing w:after="0" w:line="360" w:lineRule="auto"/>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Market p</w:t>
            </w:r>
            <w:r w:rsidR="00B005CF" w:rsidRPr="005A7FF0">
              <w:rPr>
                <w:rFonts w:ascii="Calibri" w:eastAsia="Times New Roman" w:hAnsi="Calibri" w:cs="Calibri"/>
                <w:b/>
                <w:bCs/>
                <w:color w:val="000000"/>
                <w:sz w:val="24"/>
                <w:szCs w:val="24"/>
              </w:rPr>
              <w:t>rice ($/kg of oil)</w:t>
            </w:r>
          </w:p>
        </w:tc>
        <w:tc>
          <w:tcPr>
            <w:tcW w:w="678" w:type="pct"/>
            <w:tcBorders>
              <w:top w:val="single" w:sz="4" w:space="0" w:color="auto"/>
              <w:left w:val="nil"/>
              <w:bottom w:val="single" w:sz="4" w:space="0" w:color="auto"/>
              <w:right w:val="single" w:sz="4" w:space="0" w:color="auto"/>
            </w:tcBorders>
            <w:shd w:val="clear" w:color="auto" w:fill="auto"/>
            <w:noWrap/>
          </w:tcPr>
          <w:p w14:paraId="411A0287" w14:textId="77777777" w:rsidR="00B005CF" w:rsidRPr="005A7FF0" w:rsidRDefault="00B005CF" w:rsidP="003632A1">
            <w:pPr>
              <w:spacing w:after="0" w:line="360" w:lineRule="auto"/>
              <w:jc w:val="center"/>
              <w:rPr>
                <w:rFonts w:ascii="Calibri" w:eastAsia="Times New Roman" w:hAnsi="Calibri" w:cs="Calibri"/>
                <w:b/>
                <w:bCs/>
                <w:color w:val="000000"/>
                <w:sz w:val="24"/>
                <w:szCs w:val="24"/>
              </w:rPr>
            </w:pPr>
          </w:p>
        </w:tc>
        <w:tc>
          <w:tcPr>
            <w:tcW w:w="559" w:type="pct"/>
            <w:tcBorders>
              <w:top w:val="single" w:sz="4" w:space="0" w:color="auto"/>
              <w:left w:val="nil"/>
              <w:bottom w:val="single" w:sz="4" w:space="0" w:color="auto"/>
              <w:right w:val="single" w:sz="4" w:space="0" w:color="auto"/>
            </w:tcBorders>
            <w:shd w:val="clear" w:color="auto" w:fill="auto"/>
            <w:noWrap/>
          </w:tcPr>
          <w:p w14:paraId="1DDFD9D3" w14:textId="112077AC" w:rsidR="00B005CF" w:rsidRPr="005A7FF0" w:rsidRDefault="00B005CF"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0.</w:t>
            </w:r>
            <w:r w:rsidR="000F1210" w:rsidRPr="005A7FF0">
              <w:rPr>
                <w:rFonts w:ascii="Calibri" w:eastAsia="Times New Roman" w:hAnsi="Calibri" w:cs="Calibri"/>
                <w:b/>
                <w:bCs/>
                <w:color w:val="000000"/>
                <w:sz w:val="24"/>
                <w:szCs w:val="24"/>
              </w:rPr>
              <w:t>80</w:t>
            </w:r>
            <w:r w:rsidRPr="005A7FF0">
              <w:rPr>
                <w:rFonts w:ascii="Calibri" w:eastAsia="Times New Roman" w:hAnsi="Calibri" w:cs="Calibri"/>
                <w:b/>
                <w:bCs/>
                <w:color w:val="000000"/>
                <w:sz w:val="24"/>
                <w:szCs w:val="24"/>
                <w:vertAlign w:val="superscript"/>
              </w:rPr>
              <w:t>1</w:t>
            </w:r>
          </w:p>
        </w:tc>
        <w:tc>
          <w:tcPr>
            <w:tcW w:w="684" w:type="pct"/>
            <w:tcBorders>
              <w:top w:val="single" w:sz="4" w:space="0" w:color="auto"/>
              <w:left w:val="nil"/>
              <w:bottom w:val="single" w:sz="4" w:space="0" w:color="auto"/>
              <w:right w:val="single" w:sz="4" w:space="0" w:color="auto"/>
            </w:tcBorders>
            <w:shd w:val="clear" w:color="auto" w:fill="auto"/>
            <w:noWrap/>
          </w:tcPr>
          <w:p w14:paraId="2FB432E5" w14:textId="7C9F1F5B" w:rsidR="00B005CF" w:rsidRPr="005A7FF0" w:rsidRDefault="00B005CF"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0.68</w:t>
            </w:r>
            <w:r w:rsidRPr="005A7FF0">
              <w:rPr>
                <w:rFonts w:ascii="Calibri" w:eastAsia="Times New Roman" w:hAnsi="Calibri" w:cs="Calibri"/>
                <w:b/>
                <w:bCs/>
                <w:color w:val="000000"/>
                <w:sz w:val="24"/>
                <w:szCs w:val="24"/>
                <w:vertAlign w:val="superscript"/>
              </w:rPr>
              <w:t>2</w:t>
            </w:r>
          </w:p>
        </w:tc>
        <w:tc>
          <w:tcPr>
            <w:tcW w:w="684" w:type="pct"/>
            <w:tcBorders>
              <w:top w:val="single" w:sz="4" w:space="0" w:color="auto"/>
              <w:left w:val="nil"/>
              <w:bottom w:val="single" w:sz="4" w:space="0" w:color="auto"/>
              <w:right w:val="single" w:sz="4" w:space="0" w:color="auto"/>
            </w:tcBorders>
            <w:shd w:val="clear" w:color="auto" w:fill="auto"/>
            <w:noWrap/>
          </w:tcPr>
          <w:p w14:paraId="2F113A5B" w14:textId="5CF63C6E" w:rsidR="00B005CF" w:rsidRPr="005A7FF0" w:rsidRDefault="00B005CF"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0.68</w:t>
            </w:r>
            <w:r w:rsidRPr="005A7FF0">
              <w:rPr>
                <w:rFonts w:ascii="Calibri" w:eastAsia="Times New Roman" w:hAnsi="Calibri" w:cs="Calibri"/>
                <w:b/>
                <w:bCs/>
                <w:color w:val="000000"/>
                <w:sz w:val="24"/>
                <w:szCs w:val="24"/>
                <w:vertAlign w:val="superscript"/>
              </w:rPr>
              <w:t>2</w:t>
            </w:r>
          </w:p>
        </w:tc>
      </w:tr>
    </w:tbl>
    <w:p w14:paraId="2D6C5A86" w14:textId="4471D627" w:rsidR="00E90FA7" w:rsidRPr="005A7FF0" w:rsidRDefault="00E90FA7" w:rsidP="00BD6801">
      <w:pPr>
        <w:spacing w:after="0" w:line="240" w:lineRule="auto"/>
      </w:pPr>
      <w:r w:rsidRPr="005A7FF0">
        <w:t xml:space="preserve">Note: </w:t>
      </w:r>
      <w:proofErr w:type="spellStart"/>
      <w:r w:rsidRPr="005A7FF0">
        <w:t>na</w:t>
      </w:r>
      <w:proofErr w:type="spellEnd"/>
      <w:r w:rsidRPr="005A7FF0">
        <w:t>-not available.</w:t>
      </w:r>
    </w:p>
    <w:p w14:paraId="5E317028" w14:textId="19BDF717" w:rsidR="00B005CF" w:rsidRPr="005A7FF0" w:rsidRDefault="00B005CF" w:rsidP="00BD6801">
      <w:pPr>
        <w:spacing w:after="0" w:line="240" w:lineRule="auto"/>
      </w:pPr>
      <w:r w:rsidRPr="005A7FF0">
        <w:rPr>
          <w:vertAlign w:val="superscript"/>
        </w:rPr>
        <w:t>1</w:t>
      </w:r>
      <w:r w:rsidR="000F1210" w:rsidRPr="005A7FF0">
        <w:t>Source: Statistics Canada, Canadian International Merchandise Trade Database. Average canola crude oil export value 2020</w:t>
      </w:r>
      <w:r w:rsidR="00270082" w:rsidRPr="005A7FF0">
        <w:t>, 1 ton canola crude oil</w:t>
      </w:r>
      <w:r w:rsidR="006E3AB7" w:rsidRPr="005A7FF0">
        <w:t xml:space="preserve"> in Canadian dollars of 2020</w:t>
      </w:r>
      <w:r w:rsidR="000F1210" w:rsidRPr="005A7FF0">
        <w:t>. The price has been transformed to US$ with an exchange rate of CAD 1.34</w:t>
      </w:r>
      <w:r w:rsidR="00270082" w:rsidRPr="005A7FF0">
        <w:t>1</w:t>
      </w:r>
      <w:r w:rsidR="000F1210" w:rsidRPr="005A7FF0">
        <w:t>/</w:t>
      </w:r>
      <w:r w:rsidR="00067EDD" w:rsidRPr="005A7FF0">
        <w:t xml:space="preserve">1 US$ and adjusted to 2021 </w:t>
      </w:r>
      <w:r w:rsidR="006E3AB7" w:rsidRPr="005A7FF0">
        <w:t xml:space="preserve">prices </w:t>
      </w:r>
      <w:r w:rsidR="00067EDD" w:rsidRPr="005A7FF0">
        <w:t>using the Word Bank GDP Deflator between 2020 and 2021 (</w:t>
      </w:r>
      <w:hyperlink r:id="rId25" w:history="1">
        <w:r w:rsidR="00067EDD" w:rsidRPr="005A7FF0">
          <w:rPr>
            <w:rStyle w:val="Hyperlink"/>
          </w:rPr>
          <w:t>https://data.worldbank.org/indicator/NY.GDP.DEFL.ZS?end=2021&amp;start=2012</w:t>
        </w:r>
      </w:hyperlink>
      <w:r w:rsidR="00067EDD" w:rsidRPr="005A7FF0">
        <w:t>)</w:t>
      </w:r>
      <w:r w:rsidR="00712F50" w:rsidRPr="005A7FF0">
        <w:t xml:space="preserve">. Market prices were adjusted to 2021 to make them comparable with the monetization factors used. </w:t>
      </w:r>
    </w:p>
    <w:p w14:paraId="5833C0C2" w14:textId="77777777" w:rsidR="003A5CC6" w:rsidRPr="005A7FF0" w:rsidRDefault="00067EDD" w:rsidP="00BD6801">
      <w:pPr>
        <w:spacing w:after="0" w:line="240" w:lineRule="auto"/>
      </w:pPr>
      <w:r w:rsidRPr="005A7FF0">
        <w:rPr>
          <w:sz w:val="24"/>
          <w:szCs w:val="24"/>
          <w:vertAlign w:val="superscript"/>
        </w:rPr>
        <w:t>2</w:t>
      </w:r>
      <w:r w:rsidRPr="005A7FF0">
        <w:rPr>
          <w:sz w:val="24"/>
          <w:szCs w:val="24"/>
        </w:rPr>
        <w:t xml:space="preserve">Source: </w:t>
      </w:r>
      <w:proofErr w:type="spellStart"/>
      <w:r w:rsidRPr="005A7FF0">
        <w:rPr>
          <w:sz w:val="24"/>
          <w:szCs w:val="24"/>
        </w:rPr>
        <w:t>Parveez</w:t>
      </w:r>
      <w:proofErr w:type="spellEnd"/>
      <w:r w:rsidRPr="005A7FF0">
        <w:rPr>
          <w:sz w:val="24"/>
          <w:szCs w:val="24"/>
        </w:rPr>
        <w:t xml:space="preserve"> et al. (2022) Table 6. Malaysian price of </w:t>
      </w:r>
      <w:r w:rsidR="00270082" w:rsidRPr="005A7FF0">
        <w:rPr>
          <w:sz w:val="24"/>
          <w:szCs w:val="24"/>
        </w:rPr>
        <w:t xml:space="preserve">1 ton of </w:t>
      </w:r>
      <w:r w:rsidRPr="005A7FF0">
        <w:rPr>
          <w:sz w:val="24"/>
          <w:szCs w:val="24"/>
        </w:rPr>
        <w:t>CPO, local delivered</w:t>
      </w:r>
      <w:r w:rsidR="00270082" w:rsidRPr="005A7FF0">
        <w:rPr>
          <w:sz w:val="24"/>
          <w:szCs w:val="24"/>
        </w:rPr>
        <w:t xml:space="preserve"> in Malaysian Ringgit</w:t>
      </w:r>
      <w:r w:rsidR="006E3AB7" w:rsidRPr="005A7FF0">
        <w:rPr>
          <w:sz w:val="24"/>
          <w:szCs w:val="24"/>
        </w:rPr>
        <w:t xml:space="preserve"> of</w:t>
      </w:r>
      <w:r w:rsidR="00270082" w:rsidRPr="005A7FF0">
        <w:rPr>
          <w:sz w:val="24"/>
          <w:szCs w:val="24"/>
        </w:rPr>
        <w:t xml:space="preserve"> 2020. </w:t>
      </w:r>
      <w:r w:rsidR="00270082" w:rsidRPr="005A7FF0">
        <w:t xml:space="preserve">The price has been transformed to US$ with an exchange rate of CAD 4.201/1 US$ and adjusted </w:t>
      </w:r>
      <w:r w:rsidR="006E3AB7" w:rsidRPr="005A7FF0">
        <w:t xml:space="preserve">to </w:t>
      </w:r>
      <w:r w:rsidR="00270082" w:rsidRPr="005A7FF0">
        <w:t xml:space="preserve">2021 </w:t>
      </w:r>
      <w:r w:rsidR="006E3AB7" w:rsidRPr="005A7FF0">
        <w:t xml:space="preserve">prices by </w:t>
      </w:r>
      <w:r w:rsidR="00270082" w:rsidRPr="005A7FF0">
        <w:t>using the Word Bank GDP Deflator between 2020 and 2021 (</w:t>
      </w:r>
      <w:hyperlink r:id="rId26" w:history="1">
        <w:r w:rsidR="00270082" w:rsidRPr="005A7FF0">
          <w:rPr>
            <w:rStyle w:val="Hyperlink"/>
          </w:rPr>
          <w:t>https://data.worldbank.org/indicator/NY.GDP.DEFL.ZS?end=2021&amp;start=2012</w:t>
        </w:r>
      </w:hyperlink>
      <w:r w:rsidR="00270082" w:rsidRPr="005A7FF0">
        <w:t>).</w:t>
      </w:r>
      <w:r w:rsidR="00712F50" w:rsidRPr="005A7FF0">
        <w:t xml:space="preserve"> Market prices were adjusted to 2021 to make them comparable with the monetization factors used. </w:t>
      </w:r>
    </w:p>
    <w:p w14:paraId="0E8632BA" w14:textId="389F740C" w:rsidR="00270082" w:rsidRPr="005A7FF0" w:rsidRDefault="00270082" w:rsidP="00BD6801">
      <w:pPr>
        <w:spacing w:after="0" w:line="240" w:lineRule="auto"/>
      </w:pPr>
      <w:r w:rsidRPr="005A7FF0">
        <w:t>Note: the prices of rapeseed and palm oil are not completely equivalent since the former is export price and the latter is local delivered. Unfortunately,</w:t>
      </w:r>
      <w:r w:rsidR="008A488C" w:rsidRPr="005A7FF0">
        <w:t xml:space="preserve"> Canadian data on prices was only available for export. </w:t>
      </w:r>
      <w:r w:rsidRPr="005A7FF0">
        <w:t xml:space="preserve"> </w:t>
      </w:r>
    </w:p>
    <w:p w14:paraId="666C019A" w14:textId="4D54C6A3" w:rsidR="00B005CF" w:rsidRPr="005A7FF0" w:rsidRDefault="00B005CF" w:rsidP="003632A1">
      <w:pPr>
        <w:spacing w:before="120" w:after="0" w:line="360" w:lineRule="auto"/>
        <w:rPr>
          <w:sz w:val="24"/>
          <w:szCs w:val="24"/>
        </w:rPr>
      </w:pPr>
    </w:p>
    <w:p w14:paraId="285FFAF2" w14:textId="68F35F7F" w:rsidR="004419F4" w:rsidRPr="005A7FF0" w:rsidRDefault="004419F4" w:rsidP="003632A1">
      <w:pPr>
        <w:spacing w:line="360" w:lineRule="auto"/>
        <w:rPr>
          <w:sz w:val="24"/>
          <w:szCs w:val="24"/>
        </w:rPr>
      </w:pPr>
      <w:r w:rsidRPr="005A7FF0">
        <w:rPr>
          <w:sz w:val="24"/>
          <w:szCs w:val="24"/>
        </w:rPr>
        <w:br w:type="page"/>
      </w:r>
    </w:p>
    <w:p w14:paraId="55720E79" w14:textId="77168123" w:rsidR="00260697" w:rsidRPr="00171A13" w:rsidRDefault="00260697" w:rsidP="003632A1">
      <w:pPr>
        <w:spacing w:before="120" w:after="0" w:line="360" w:lineRule="auto"/>
        <w:rPr>
          <w:sz w:val="24"/>
          <w:szCs w:val="24"/>
        </w:rPr>
      </w:pPr>
      <w:r w:rsidRPr="00171A13">
        <w:rPr>
          <w:sz w:val="24"/>
          <w:szCs w:val="24"/>
        </w:rPr>
        <w:lastRenderedPageBreak/>
        <w:t>Table 4. Monetization of impact results per hectare</w:t>
      </w:r>
    </w:p>
    <w:tbl>
      <w:tblPr>
        <w:tblW w:w="0" w:type="auto"/>
        <w:tblLook w:val="04A0" w:firstRow="1" w:lastRow="0" w:firstColumn="1" w:lastColumn="0" w:noHBand="0" w:noVBand="1"/>
      </w:tblPr>
      <w:tblGrid>
        <w:gridCol w:w="6262"/>
        <w:gridCol w:w="1917"/>
        <w:gridCol w:w="1166"/>
        <w:gridCol w:w="1762"/>
        <w:gridCol w:w="1843"/>
      </w:tblGrid>
      <w:tr w:rsidR="00260697" w:rsidRPr="00171A13" w14:paraId="04DD2E9B" w14:textId="77777777" w:rsidTr="00260697">
        <w:trPr>
          <w:trHeight w:val="600"/>
        </w:trPr>
        <w:tc>
          <w:tcPr>
            <w:tcW w:w="6262" w:type="dxa"/>
            <w:tcBorders>
              <w:top w:val="single" w:sz="4" w:space="0" w:color="auto"/>
              <w:left w:val="single" w:sz="4" w:space="0" w:color="auto"/>
              <w:bottom w:val="single" w:sz="4" w:space="0" w:color="auto"/>
              <w:right w:val="single" w:sz="4" w:space="0" w:color="auto"/>
            </w:tcBorders>
            <w:shd w:val="clear" w:color="auto" w:fill="auto"/>
            <w:noWrap/>
            <w:hideMark/>
          </w:tcPr>
          <w:p w14:paraId="7F8F54ED" w14:textId="77777777" w:rsidR="00260697" w:rsidRPr="00384F3C" w:rsidRDefault="00260697" w:rsidP="003632A1">
            <w:pPr>
              <w:spacing w:after="0" w:line="360" w:lineRule="auto"/>
              <w:rPr>
                <w:rFonts w:ascii="Calibri" w:eastAsia="Times New Roman" w:hAnsi="Calibri" w:cs="Times New Roman"/>
                <w:sz w:val="24"/>
                <w:szCs w:val="24"/>
              </w:rPr>
            </w:pPr>
            <w:r w:rsidRPr="00384F3C">
              <w:rPr>
                <w:rFonts w:ascii="Calibri" w:eastAsia="Times New Roman" w:hAnsi="Calibri" w:cs="Times New Roman"/>
                <w:sz w:val="24"/>
                <w:szCs w:val="24"/>
              </w:rPr>
              <w:t>Impact category</w:t>
            </w:r>
          </w:p>
        </w:tc>
        <w:tc>
          <w:tcPr>
            <w:tcW w:w="0" w:type="auto"/>
            <w:tcBorders>
              <w:top w:val="single" w:sz="4" w:space="0" w:color="auto"/>
              <w:left w:val="nil"/>
              <w:bottom w:val="single" w:sz="4" w:space="0" w:color="auto"/>
              <w:right w:val="single" w:sz="4" w:space="0" w:color="auto"/>
            </w:tcBorders>
            <w:shd w:val="clear" w:color="auto" w:fill="auto"/>
            <w:hideMark/>
          </w:tcPr>
          <w:p w14:paraId="38BA01EF"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Monetization Factor ($/unit)</w:t>
            </w:r>
          </w:p>
        </w:tc>
        <w:tc>
          <w:tcPr>
            <w:tcW w:w="0" w:type="auto"/>
            <w:tcBorders>
              <w:top w:val="single" w:sz="4" w:space="0" w:color="auto"/>
              <w:left w:val="nil"/>
              <w:bottom w:val="single" w:sz="4" w:space="0" w:color="auto"/>
              <w:right w:val="single" w:sz="4" w:space="0" w:color="auto"/>
            </w:tcBorders>
            <w:shd w:val="clear" w:color="auto" w:fill="auto"/>
            <w:hideMark/>
          </w:tcPr>
          <w:p w14:paraId="52E8EEC9"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Rapeseed</w:t>
            </w:r>
          </w:p>
        </w:tc>
        <w:tc>
          <w:tcPr>
            <w:tcW w:w="0" w:type="auto"/>
            <w:tcBorders>
              <w:top w:val="single" w:sz="4" w:space="0" w:color="auto"/>
              <w:left w:val="nil"/>
              <w:bottom w:val="single" w:sz="4" w:space="0" w:color="auto"/>
              <w:right w:val="single" w:sz="4" w:space="0" w:color="auto"/>
            </w:tcBorders>
            <w:shd w:val="clear" w:color="auto" w:fill="auto"/>
            <w:hideMark/>
          </w:tcPr>
          <w:p w14:paraId="4D1D815E"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Palm oil deforestation</w:t>
            </w:r>
          </w:p>
        </w:tc>
        <w:tc>
          <w:tcPr>
            <w:tcW w:w="0" w:type="auto"/>
            <w:tcBorders>
              <w:top w:val="single" w:sz="4" w:space="0" w:color="auto"/>
              <w:left w:val="nil"/>
              <w:bottom w:val="single" w:sz="4" w:space="0" w:color="auto"/>
              <w:right w:val="single" w:sz="4" w:space="0" w:color="auto"/>
            </w:tcBorders>
            <w:shd w:val="clear" w:color="auto" w:fill="auto"/>
            <w:hideMark/>
          </w:tcPr>
          <w:p w14:paraId="7FF8BFA6"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Palm oil no deforestation</w:t>
            </w:r>
          </w:p>
        </w:tc>
      </w:tr>
      <w:tr w:rsidR="00260697" w:rsidRPr="00171A13" w14:paraId="7334D4D8"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3451A7FB"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Fine particulate matter formation</w:t>
            </w:r>
          </w:p>
        </w:tc>
        <w:tc>
          <w:tcPr>
            <w:tcW w:w="0" w:type="auto"/>
            <w:tcBorders>
              <w:top w:val="nil"/>
              <w:left w:val="nil"/>
              <w:bottom w:val="single" w:sz="4" w:space="0" w:color="auto"/>
              <w:right w:val="single" w:sz="4" w:space="0" w:color="auto"/>
            </w:tcBorders>
            <w:shd w:val="clear" w:color="auto" w:fill="auto"/>
            <w:noWrap/>
            <w:hideMark/>
          </w:tcPr>
          <w:p w14:paraId="3BA62073"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75</w:t>
            </w:r>
          </w:p>
        </w:tc>
        <w:tc>
          <w:tcPr>
            <w:tcW w:w="0" w:type="auto"/>
            <w:tcBorders>
              <w:top w:val="nil"/>
              <w:left w:val="nil"/>
              <w:bottom w:val="single" w:sz="4" w:space="0" w:color="auto"/>
              <w:right w:val="single" w:sz="4" w:space="0" w:color="auto"/>
            </w:tcBorders>
            <w:shd w:val="clear" w:color="auto" w:fill="auto"/>
            <w:noWrap/>
            <w:hideMark/>
          </w:tcPr>
          <w:p w14:paraId="6F37B491"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829.99</w:t>
            </w:r>
          </w:p>
        </w:tc>
        <w:tc>
          <w:tcPr>
            <w:tcW w:w="0" w:type="auto"/>
            <w:tcBorders>
              <w:top w:val="nil"/>
              <w:left w:val="nil"/>
              <w:bottom w:val="single" w:sz="4" w:space="0" w:color="auto"/>
              <w:right w:val="single" w:sz="4" w:space="0" w:color="auto"/>
            </w:tcBorders>
            <w:shd w:val="clear" w:color="auto" w:fill="auto"/>
            <w:noWrap/>
            <w:hideMark/>
          </w:tcPr>
          <w:p w14:paraId="471701E1"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951.88</w:t>
            </w:r>
          </w:p>
        </w:tc>
        <w:tc>
          <w:tcPr>
            <w:tcW w:w="0" w:type="auto"/>
            <w:tcBorders>
              <w:top w:val="nil"/>
              <w:left w:val="nil"/>
              <w:bottom w:val="single" w:sz="4" w:space="0" w:color="auto"/>
              <w:right w:val="single" w:sz="4" w:space="0" w:color="auto"/>
            </w:tcBorders>
            <w:shd w:val="clear" w:color="auto" w:fill="auto"/>
            <w:noWrap/>
            <w:hideMark/>
          </w:tcPr>
          <w:p w14:paraId="58B00175"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285.26</w:t>
            </w:r>
          </w:p>
        </w:tc>
      </w:tr>
      <w:tr w:rsidR="00260697" w:rsidRPr="00171A13" w14:paraId="530D7B89"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4CD65F86"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Fossil resource scarcity</w:t>
            </w:r>
          </w:p>
        </w:tc>
        <w:tc>
          <w:tcPr>
            <w:tcW w:w="0" w:type="auto"/>
            <w:tcBorders>
              <w:top w:val="nil"/>
              <w:left w:val="nil"/>
              <w:bottom w:val="single" w:sz="4" w:space="0" w:color="auto"/>
              <w:right w:val="single" w:sz="4" w:space="0" w:color="auto"/>
            </w:tcBorders>
            <w:shd w:val="clear" w:color="auto" w:fill="auto"/>
            <w:noWrap/>
            <w:hideMark/>
          </w:tcPr>
          <w:p w14:paraId="571B77A9"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0.516</w:t>
            </w:r>
          </w:p>
        </w:tc>
        <w:tc>
          <w:tcPr>
            <w:tcW w:w="0" w:type="auto"/>
            <w:tcBorders>
              <w:top w:val="nil"/>
              <w:left w:val="nil"/>
              <w:bottom w:val="single" w:sz="4" w:space="0" w:color="auto"/>
              <w:right w:val="single" w:sz="4" w:space="0" w:color="auto"/>
            </w:tcBorders>
            <w:shd w:val="clear" w:color="auto" w:fill="auto"/>
            <w:noWrap/>
            <w:hideMark/>
          </w:tcPr>
          <w:p w14:paraId="53CA8262"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154.59</w:t>
            </w:r>
          </w:p>
        </w:tc>
        <w:tc>
          <w:tcPr>
            <w:tcW w:w="0" w:type="auto"/>
            <w:tcBorders>
              <w:top w:val="nil"/>
              <w:left w:val="nil"/>
              <w:bottom w:val="single" w:sz="4" w:space="0" w:color="auto"/>
              <w:right w:val="single" w:sz="4" w:space="0" w:color="auto"/>
            </w:tcBorders>
            <w:shd w:val="clear" w:color="auto" w:fill="auto"/>
            <w:noWrap/>
            <w:hideMark/>
          </w:tcPr>
          <w:p w14:paraId="1AF8CA56"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98.80</w:t>
            </w:r>
          </w:p>
        </w:tc>
        <w:tc>
          <w:tcPr>
            <w:tcW w:w="0" w:type="auto"/>
            <w:tcBorders>
              <w:top w:val="nil"/>
              <w:left w:val="nil"/>
              <w:bottom w:val="single" w:sz="4" w:space="0" w:color="auto"/>
              <w:right w:val="single" w:sz="4" w:space="0" w:color="auto"/>
            </w:tcBorders>
            <w:shd w:val="clear" w:color="auto" w:fill="auto"/>
            <w:noWrap/>
            <w:hideMark/>
          </w:tcPr>
          <w:p w14:paraId="55770BD3"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108.58</w:t>
            </w:r>
          </w:p>
        </w:tc>
      </w:tr>
      <w:tr w:rsidR="00260697" w:rsidRPr="00171A13" w14:paraId="2C109BE4"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47492776"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Freshwater ecotoxicity</w:t>
            </w:r>
          </w:p>
        </w:tc>
        <w:tc>
          <w:tcPr>
            <w:tcW w:w="0" w:type="auto"/>
            <w:tcBorders>
              <w:top w:val="nil"/>
              <w:left w:val="nil"/>
              <w:bottom w:val="single" w:sz="4" w:space="0" w:color="auto"/>
              <w:right w:val="single" w:sz="4" w:space="0" w:color="auto"/>
            </w:tcBorders>
            <w:shd w:val="clear" w:color="auto" w:fill="auto"/>
            <w:noWrap/>
            <w:hideMark/>
          </w:tcPr>
          <w:p w14:paraId="5C7BBAE6"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0.0579</w:t>
            </w:r>
          </w:p>
        </w:tc>
        <w:tc>
          <w:tcPr>
            <w:tcW w:w="0" w:type="auto"/>
            <w:tcBorders>
              <w:top w:val="nil"/>
              <w:left w:val="nil"/>
              <w:bottom w:val="single" w:sz="4" w:space="0" w:color="auto"/>
              <w:right w:val="single" w:sz="4" w:space="0" w:color="auto"/>
            </w:tcBorders>
            <w:shd w:val="clear" w:color="auto" w:fill="auto"/>
            <w:noWrap/>
            <w:hideMark/>
          </w:tcPr>
          <w:p w14:paraId="11BDEC03"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1.89</w:t>
            </w:r>
          </w:p>
        </w:tc>
        <w:tc>
          <w:tcPr>
            <w:tcW w:w="0" w:type="auto"/>
            <w:tcBorders>
              <w:top w:val="nil"/>
              <w:left w:val="nil"/>
              <w:bottom w:val="single" w:sz="4" w:space="0" w:color="auto"/>
              <w:right w:val="single" w:sz="4" w:space="0" w:color="auto"/>
            </w:tcBorders>
            <w:shd w:val="clear" w:color="auto" w:fill="auto"/>
            <w:noWrap/>
            <w:hideMark/>
          </w:tcPr>
          <w:p w14:paraId="3E13FC7E"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2.48</w:t>
            </w:r>
          </w:p>
        </w:tc>
        <w:tc>
          <w:tcPr>
            <w:tcW w:w="0" w:type="auto"/>
            <w:tcBorders>
              <w:top w:val="nil"/>
              <w:left w:val="nil"/>
              <w:bottom w:val="single" w:sz="4" w:space="0" w:color="auto"/>
              <w:right w:val="single" w:sz="4" w:space="0" w:color="auto"/>
            </w:tcBorders>
            <w:shd w:val="clear" w:color="auto" w:fill="auto"/>
            <w:noWrap/>
            <w:hideMark/>
          </w:tcPr>
          <w:p w14:paraId="1FCA399A"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2.81</w:t>
            </w:r>
          </w:p>
        </w:tc>
      </w:tr>
      <w:tr w:rsidR="00260697" w:rsidRPr="00171A13" w14:paraId="00AE2FD2"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14395698"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Freshwater eutrophication</w:t>
            </w:r>
          </w:p>
        </w:tc>
        <w:tc>
          <w:tcPr>
            <w:tcW w:w="0" w:type="auto"/>
            <w:tcBorders>
              <w:top w:val="nil"/>
              <w:left w:val="nil"/>
              <w:bottom w:val="single" w:sz="4" w:space="0" w:color="auto"/>
              <w:right w:val="single" w:sz="4" w:space="0" w:color="auto"/>
            </w:tcBorders>
            <w:shd w:val="clear" w:color="auto" w:fill="auto"/>
            <w:noWrap/>
            <w:hideMark/>
          </w:tcPr>
          <w:p w14:paraId="76BBB3BF" w14:textId="6405076B"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290</w:t>
            </w:r>
          </w:p>
        </w:tc>
        <w:tc>
          <w:tcPr>
            <w:tcW w:w="0" w:type="auto"/>
            <w:tcBorders>
              <w:top w:val="nil"/>
              <w:left w:val="nil"/>
              <w:bottom w:val="single" w:sz="4" w:space="0" w:color="auto"/>
              <w:right w:val="single" w:sz="4" w:space="0" w:color="auto"/>
            </w:tcBorders>
            <w:shd w:val="clear" w:color="auto" w:fill="auto"/>
            <w:noWrap/>
            <w:hideMark/>
          </w:tcPr>
          <w:p w14:paraId="19EB9EE0"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171.87</w:t>
            </w:r>
          </w:p>
        </w:tc>
        <w:tc>
          <w:tcPr>
            <w:tcW w:w="0" w:type="auto"/>
            <w:tcBorders>
              <w:top w:val="nil"/>
              <w:left w:val="nil"/>
              <w:bottom w:val="single" w:sz="4" w:space="0" w:color="auto"/>
              <w:right w:val="single" w:sz="4" w:space="0" w:color="auto"/>
            </w:tcBorders>
            <w:shd w:val="clear" w:color="auto" w:fill="auto"/>
            <w:noWrap/>
            <w:hideMark/>
          </w:tcPr>
          <w:p w14:paraId="7F3AADD8"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118.70</w:t>
            </w:r>
          </w:p>
        </w:tc>
        <w:tc>
          <w:tcPr>
            <w:tcW w:w="0" w:type="auto"/>
            <w:tcBorders>
              <w:top w:val="nil"/>
              <w:left w:val="nil"/>
              <w:bottom w:val="single" w:sz="4" w:space="0" w:color="auto"/>
              <w:right w:val="single" w:sz="4" w:space="0" w:color="auto"/>
            </w:tcBorders>
            <w:shd w:val="clear" w:color="auto" w:fill="auto"/>
            <w:noWrap/>
            <w:hideMark/>
          </w:tcPr>
          <w:p w14:paraId="092C39B3"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129.72</w:t>
            </w:r>
          </w:p>
        </w:tc>
      </w:tr>
      <w:tr w:rsidR="00260697" w:rsidRPr="00171A13" w14:paraId="7B2B7EC5"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356D29B6"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Global warming</w:t>
            </w:r>
          </w:p>
        </w:tc>
        <w:tc>
          <w:tcPr>
            <w:tcW w:w="0" w:type="auto"/>
            <w:tcBorders>
              <w:top w:val="nil"/>
              <w:left w:val="nil"/>
              <w:bottom w:val="single" w:sz="4" w:space="0" w:color="auto"/>
              <w:right w:val="single" w:sz="4" w:space="0" w:color="auto"/>
            </w:tcBorders>
            <w:shd w:val="clear" w:color="auto" w:fill="auto"/>
            <w:noWrap/>
            <w:hideMark/>
          </w:tcPr>
          <w:p w14:paraId="37E5FB38"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0.224</w:t>
            </w:r>
          </w:p>
        </w:tc>
        <w:tc>
          <w:tcPr>
            <w:tcW w:w="0" w:type="auto"/>
            <w:tcBorders>
              <w:top w:val="nil"/>
              <w:left w:val="nil"/>
              <w:bottom w:val="single" w:sz="4" w:space="0" w:color="auto"/>
              <w:right w:val="single" w:sz="4" w:space="0" w:color="auto"/>
            </w:tcBorders>
            <w:shd w:val="clear" w:color="auto" w:fill="auto"/>
            <w:noWrap/>
            <w:hideMark/>
          </w:tcPr>
          <w:p w14:paraId="0CE358F5"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443.08</w:t>
            </w:r>
          </w:p>
        </w:tc>
        <w:tc>
          <w:tcPr>
            <w:tcW w:w="0" w:type="auto"/>
            <w:tcBorders>
              <w:top w:val="nil"/>
              <w:left w:val="nil"/>
              <w:bottom w:val="single" w:sz="4" w:space="0" w:color="auto"/>
              <w:right w:val="single" w:sz="4" w:space="0" w:color="auto"/>
            </w:tcBorders>
            <w:shd w:val="clear" w:color="auto" w:fill="auto"/>
            <w:noWrap/>
            <w:hideMark/>
          </w:tcPr>
          <w:p w14:paraId="08D858AB"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5515.79</w:t>
            </w:r>
          </w:p>
        </w:tc>
        <w:tc>
          <w:tcPr>
            <w:tcW w:w="0" w:type="auto"/>
            <w:tcBorders>
              <w:top w:val="nil"/>
              <w:left w:val="nil"/>
              <w:bottom w:val="single" w:sz="4" w:space="0" w:color="auto"/>
              <w:right w:val="single" w:sz="4" w:space="0" w:color="auto"/>
            </w:tcBorders>
            <w:shd w:val="clear" w:color="auto" w:fill="auto"/>
            <w:noWrap/>
            <w:hideMark/>
          </w:tcPr>
          <w:p w14:paraId="6ECE4B4B"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349.91</w:t>
            </w:r>
          </w:p>
        </w:tc>
      </w:tr>
      <w:tr w:rsidR="00260697" w:rsidRPr="00171A13" w14:paraId="52E22151"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4EAB3597"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Human carcinogenic toxicity</w:t>
            </w:r>
          </w:p>
        </w:tc>
        <w:tc>
          <w:tcPr>
            <w:tcW w:w="0" w:type="auto"/>
            <w:tcBorders>
              <w:top w:val="nil"/>
              <w:left w:val="nil"/>
              <w:bottom w:val="single" w:sz="4" w:space="0" w:color="auto"/>
              <w:right w:val="single" w:sz="4" w:space="0" w:color="auto"/>
            </w:tcBorders>
            <w:shd w:val="clear" w:color="auto" w:fill="auto"/>
            <w:noWrap/>
            <w:hideMark/>
          </w:tcPr>
          <w:p w14:paraId="1933BC99"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0.395</w:t>
            </w:r>
          </w:p>
        </w:tc>
        <w:tc>
          <w:tcPr>
            <w:tcW w:w="0" w:type="auto"/>
            <w:tcBorders>
              <w:top w:val="nil"/>
              <w:left w:val="nil"/>
              <w:bottom w:val="single" w:sz="4" w:space="0" w:color="auto"/>
              <w:right w:val="single" w:sz="4" w:space="0" w:color="auto"/>
            </w:tcBorders>
            <w:shd w:val="clear" w:color="auto" w:fill="auto"/>
            <w:noWrap/>
            <w:hideMark/>
          </w:tcPr>
          <w:p w14:paraId="70D6EBC8"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12.63</w:t>
            </w:r>
          </w:p>
        </w:tc>
        <w:tc>
          <w:tcPr>
            <w:tcW w:w="0" w:type="auto"/>
            <w:tcBorders>
              <w:top w:val="nil"/>
              <w:left w:val="nil"/>
              <w:bottom w:val="single" w:sz="4" w:space="0" w:color="auto"/>
              <w:right w:val="single" w:sz="4" w:space="0" w:color="auto"/>
            </w:tcBorders>
            <w:shd w:val="clear" w:color="auto" w:fill="auto"/>
            <w:noWrap/>
            <w:hideMark/>
          </w:tcPr>
          <w:p w14:paraId="00204C53"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17.57</w:t>
            </w:r>
          </w:p>
        </w:tc>
        <w:tc>
          <w:tcPr>
            <w:tcW w:w="0" w:type="auto"/>
            <w:tcBorders>
              <w:top w:val="nil"/>
              <w:left w:val="nil"/>
              <w:bottom w:val="single" w:sz="4" w:space="0" w:color="auto"/>
              <w:right w:val="single" w:sz="4" w:space="0" w:color="auto"/>
            </w:tcBorders>
            <w:shd w:val="clear" w:color="auto" w:fill="auto"/>
            <w:noWrap/>
            <w:hideMark/>
          </w:tcPr>
          <w:p w14:paraId="721CB895"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14.95</w:t>
            </w:r>
          </w:p>
        </w:tc>
      </w:tr>
      <w:tr w:rsidR="00260697" w:rsidRPr="00171A13" w14:paraId="6BDF43E0"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48250BF3"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Human non-carcinogenic toxicity</w:t>
            </w:r>
          </w:p>
        </w:tc>
        <w:tc>
          <w:tcPr>
            <w:tcW w:w="0" w:type="auto"/>
            <w:tcBorders>
              <w:top w:val="nil"/>
              <w:left w:val="nil"/>
              <w:bottom w:val="single" w:sz="4" w:space="0" w:color="auto"/>
              <w:right w:val="single" w:sz="4" w:space="0" w:color="auto"/>
            </w:tcBorders>
            <w:shd w:val="clear" w:color="auto" w:fill="auto"/>
            <w:noWrap/>
            <w:hideMark/>
          </w:tcPr>
          <w:p w14:paraId="504835DA"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0.027</w:t>
            </w:r>
          </w:p>
        </w:tc>
        <w:tc>
          <w:tcPr>
            <w:tcW w:w="0" w:type="auto"/>
            <w:tcBorders>
              <w:top w:val="nil"/>
              <w:left w:val="nil"/>
              <w:bottom w:val="single" w:sz="4" w:space="0" w:color="auto"/>
              <w:right w:val="single" w:sz="4" w:space="0" w:color="auto"/>
            </w:tcBorders>
            <w:shd w:val="clear" w:color="auto" w:fill="auto"/>
            <w:noWrap/>
            <w:hideMark/>
          </w:tcPr>
          <w:p w14:paraId="7D46DE75"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231.29</w:t>
            </w:r>
          </w:p>
        </w:tc>
        <w:tc>
          <w:tcPr>
            <w:tcW w:w="0" w:type="auto"/>
            <w:tcBorders>
              <w:top w:val="nil"/>
              <w:left w:val="nil"/>
              <w:bottom w:val="single" w:sz="4" w:space="0" w:color="auto"/>
              <w:right w:val="single" w:sz="4" w:space="0" w:color="auto"/>
            </w:tcBorders>
            <w:shd w:val="clear" w:color="auto" w:fill="auto"/>
            <w:noWrap/>
            <w:hideMark/>
          </w:tcPr>
          <w:p w14:paraId="22D12EC9"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-37.54</w:t>
            </w:r>
          </w:p>
        </w:tc>
        <w:tc>
          <w:tcPr>
            <w:tcW w:w="0" w:type="auto"/>
            <w:tcBorders>
              <w:top w:val="nil"/>
              <w:left w:val="nil"/>
              <w:bottom w:val="single" w:sz="4" w:space="0" w:color="auto"/>
              <w:right w:val="single" w:sz="4" w:space="0" w:color="auto"/>
            </w:tcBorders>
            <w:shd w:val="clear" w:color="auto" w:fill="auto"/>
            <w:noWrap/>
            <w:hideMark/>
          </w:tcPr>
          <w:p w14:paraId="4DFC874C"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-25.19</w:t>
            </w:r>
          </w:p>
        </w:tc>
      </w:tr>
      <w:tr w:rsidR="00260697" w:rsidRPr="00171A13" w14:paraId="1D38E9B4"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6F3BDD56"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Ionizing radiation</w:t>
            </w:r>
          </w:p>
        </w:tc>
        <w:tc>
          <w:tcPr>
            <w:tcW w:w="0" w:type="auto"/>
            <w:tcBorders>
              <w:top w:val="nil"/>
              <w:left w:val="nil"/>
              <w:bottom w:val="single" w:sz="4" w:space="0" w:color="auto"/>
              <w:right w:val="single" w:sz="4" w:space="0" w:color="auto"/>
            </w:tcBorders>
            <w:shd w:val="clear" w:color="auto" w:fill="auto"/>
            <w:noWrap/>
            <w:hideMark/>
          </w:tcPr>
          <w:p w14:paraId="66A71AE9"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0.001</w:t>
            </w:r>
          </w:p>
        </w:tc>
        <w:tc>
          <w:tcPr>
            <w:tcW w:w="0" w:type="auto"/>
            <w:tcBorders>
              <w:top w:val="nil"/>
              <w:left w:val="nil"/>
              <w:bottom w:val="single" w:sz="4" w:space="0" w:color="auto"/>
              <w:right w:val="single" w:sz="4" w:space="0" w:color="auto"/>
            </w:tcBorders>
            <w:shd w:val="clear" w:color="auto" w:fill="auto"/>
            <w:noWrap/>
            <w:hideMark/>
          </w:tcPr>
          <w:p w14:paraId="33C0416D"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0.06</w:t>
            </w:r>
          </w:p>
        </w:tc>
        <w:tc>
          <w:tcPr>
            <w:tcW w:w="0" w:type="auto"/>
            <w:tcBorders>
              <w:top w:val="nil"/>
              <w:left w:val="nil"/>
              <w:bottom w:val="single" w:sz="4" w:space="0" w:color="auto"/>
              <w:right w:val="single" w:sz="4" w:space="0" w:color="auto"/>
            </w:tcBorders>
            <w:shd w:val="clear" w:color="auto" w:fill="auto"/>
            <w:noWrap/>
            <w:hideMark/>
          </w:tcPr>
          <w:p w14:paraId="719AB1D6"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0.02</w:t>
            </w:r>
          </w:p>
        </w:tc>
        <w:tc>
          <w:tcPr>
            <w:tcW w:w="0" w:type="auto"/>
            <w:tcBorders>
              <w:top w:val="nil"/>
              <w:left w:val="nil"/>
              <w:bottom w:val="single" w:sz="4" w:space="0" w:color="auto"/>
              <w:right w:val="single" w:sz="4" w:space="0" w:color="auto"/>
            </w:tcBorders>
            <w:shd w:val="clear" w:color="auto" w:fill="auto"/>
            <w:noWrap/>
            <w:hideMark/>
          </w:tcPr>
          <w:p w14:paraId="56A54445"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0.03</w:t>
            </w:r>
          </w:p>
        </w:tc>
      </w:tr>
      <w:tr w:rsidR="00260697" w:rsidRPr="00171A13" w14:paraId="5215ECC9"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2B6A61AE"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Land use-Occupation, annual crop</w:t>
            </w:r>
          </w:p>
        </w:tc>
        <w:tc>
          <w:tcPr>
            <w:tcW w:w="0" w:type="auto"/>
            <w:tcBorders>
              <w:top w:val="nil"/>
              <w:left w:val="nil"/>
              <w:bottom w:val="single" w:sz="4" w:space="0" w:color="auto"/>
              <w:right w:val="single" w:sz="4" w:space="0" w:color="auto"/>
            </w:tcBorders>
            <w:shd w:val="clear" w:color="auto" w:fill="auto"/>
            <w:noWrap/>
            <w:hideMark/>
          </w:tcPr>
          <w:p w14:paraId="2B320809" w14:textId="3D8EDE4D" w:rsidR="00260697" w:rsidRPr="00171A13" w:rsidRDefault="00260697" w:rsidP="003632A1">
            <w:pPr>
              <w:spacing w:after="0" w:line="360" w:lineRule="auto"/>
              <w:jc w:val="center"/>
              <w:rPr>
                <w:rFonts w:ascii="Calibri" w:eastAsia="Times New Roman" w:hAnsi="Calibri" w:cs="Times New Roman"/>
                <w:sz w:val="24"/>
                <w:szCs w:val="24"/>
              </w:rPr>
            </w:pPr>
            <w:r w:rsidRPr="00171A13">
              <w:rPr>
                <w:rFonts w:ascii="Calibri" w:eastAsia="Times New Roman" w:hAnsi="Calibri" w:cs="Times New Roman"/>
                <w:sz w:val="24"/>
                <w:szCs w:val="24"/>
              </w:rPr>
              <w:t>3</w:t>
            </w:r>
            <w:r w:rsidR="0049450D" w:rsidRPr="00171A13">
              <w:rPr>
                <w:rFonts w:ascii="Calibri" w:eastAsia="Times New Roman" w:hAnsi="Calibri" w:cs="Times New Roman"/>
                <w:sz w:val="24"/>
                <w:szCs w:val="24"/>
              </w:rPr>
              <w:t>,</w:t>
            </w:r>
            <w:r w:rsidRPr="00171A13">
              <w:rPr>
                <w:rFonts w:ascii="Calibri" w:eastAsia="Times New Roman" w:hAnsi="Calibri" w:cs="Times New Roman"/>
                <w:sz w:val="24"/>
                <w:szCs w:val="24"/>
              </w:rPr>
              <w:t>470</w:t>
            </w:r>
          </w:p>
        </w:tc>
        <w:tc>
          <w:tcPr>
            <w:tcW w:w="0" w:type="auto"/>
            <w:tcBorders>
              <w:top w:val="nil"/>
              <w:left w:val="nil"/>
              <w:bottom w:val="single" w:sz="4" w:space="0" w:color="auto"/>
              <w:right w:val="single" w:sz="4" w:space="0" w:color="auto"/>
            </w:tcBorders>
            <w:shd w:val="clear" w:color="auto" w:fill="auto"/>
            <w:noWrap/>
            <w:hideMark/>
          </w:tcPr>
          <w:p w14:paraId="396B011C" w14:textId="25CE5802"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Calibri"/>
                <w:color w:val="000000"/>
                <w:sz w:val="24"/>
                <w:szCs w:val="24"/>
              </w:rPr>
              <w:t> </w:t>
            </w:r>
            <w:proofErr w:type="spellStart"/>
            <w:r w:rsidRPr="00171A13">
              <w:rPr>
                <w:rFonts w:ascii="Calibri" w:eastAsia="Times New Roman" w:hAnsi="Calibri" w:cs="Calibri"/>
                <w:color w:val="000000"/>
                <w:sz w:val="24"/>
                <w:szCs w:val="24"/>
              </w:rPr>
              <w:t>na</w:t>
            </w:r>
            <w:proofErr w:type="spellEnd"/>
          </w:p>
        </w:tc>
        <w:tc>
          <w:tcPr>
            <w:tcW w:w="0" w:type="auto"/>
            <w:tcBorders>
              <w:top w:val="nil"/>
              <w:left w:val="nil"/>
              <w:bottom w:val="single" w:sz="4" w:space="0" w:color="auto"/>
              <w:right w:val="single" w:sz="4" w:space="0" w:color="auto"/>
            </w:tcBorders>
            <w:shd w:val="clear" w:color="auto" w:fill="auto"/>
            <w:noWrap/>
            <w:hideMark/>
          </w:tcPr>
          <w:p w14:paraId="59165FB8" w14:textId="0B444F01"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Calibri"/>
                <w:color w:val="000000"/>
                <w:sz w:val="24"/>
                <w:szCs w:val="24"/>
              </w:rPr>
              <w:t> </w:t>
            </w:r>
            <w:proofErr w:type="spellStart"/>
            <w:r w:rsidRPr="00171A13">
              <w:rPr>
                <w:rFonts w:ascii="Calibri" w:eastAsia="Times New Roman" w:hAnsi="Calibri" w:cs="Calibri"/>
                <w:color w:val="000000"/>
                <w:sz w:val="24"/>
                <w:szCs w:val="24"/>
              </w:rPr>
              <w:t>na</w:t>
            </w:r>
            <w:proofErr w:type="spellEnd"/>
          </w:p>
        </w:tc>
        <w:tc>
          <w:tcPr>
            <w:tcW w:w="0" w:type="auto"/>
            <w:tcBorders>
              <w:top w:val="nil"/>
              <w:left w:val="nil"/>
              <w:bottom w:val="single" w:sz="4" w:space="0" w:color="auto"/>
              <w:right w:val="single" w:sz="4" w:space="0" w:color="auto"/>
            </w:tcBorders>
            <w:shd w:val="clear" w:color="auto" w:fill="auto"/>
            <w:noWrap/>
            <w:hideMark/>
          </w:tcPr>
          <w:p w14:paraId="4A62F9CC" w14:textId="11250D35"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Calibri"/>
                <w:color w:val="000000"/>
                <w:sz w:val="24"/>
                <w:szCs w:val="24"/>
              </w:rPr>
              <w:t> </w:t>
            </w:r>
            <w:proofErr w:type="spellStart"/>
            <w:r w:rsidRPr="00171A13">
              <w:rPr>
                <w:rFonts w:ascii="Calibri" w:eastAsia="Times New Roman" w:hAnsi="Calibri" w:cs="Calibri"/>
                <w:color w:val="000000"/>
                <w:sz w:val="24"/>
                <w:szCs w:val="24"/>
              </w:rPr>
              <w:t>na</w:t>
            </w:r>
            <w:proofErr w:type="spellEnd"/>
          </w:p>
        </w:tc>
      </w:tr>
      <w:tr w:rsidR="00260697" w:rsidRPr="00171A13" w14:paraId="6FC90861"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2E29C784"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Land use-Occupation, permanent crop, Tropical Forest</w:t>
            </w:r>
          </w:p>
        </w:tc>
        <w:tc>
          <w:tcPr>
            <w:tcW w:w="0" w:type="auto"/>
            <w:tcBorders>
              <w:top w:val="nil"/>
              <w:left w:val="nil"/>
              <w:bottom w:val="single" w:sz="4" w:space="0" w:color="auto"/>
              <w:right w:val="single" w:sz="4" w:space="0" w:color="auto"/>
            </w:tcBorders>
            <w:shd w:val="clear" w:color="auto" w:fill="auto"/>
            <w:noWrap/>
            <w:hideMark/>
          </w:tcPr>
          <w:p w14:paraId="13D7ED65" w14:textId="7E8E8B9C"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3</w:t>
            </w:r>
            <w:r w:rsidR="0049450D" w:rsidRPr="00171A13">
              <w:rPr>
                <w:rFonts w:ascii="Calibri" w:eastAsia="Times New Roman" w:hAnsi="Calibri" w:cs="Times New Roman"/>
                <w:color w:val="000000"/>
                <w:sz w:val="24"/>
                <w:szCs w:val="24"/>
              </w:rPr>
              <w:t>,</w:t>
            </w:r>
            <w:r w:rsidRPr="00171A13">
              <w:rPr>
                <w:rFonts w:ascii="Calibri" w:eastAsia="Times New Roman" w:hAnsi="Calibri" w:cs="Times New Roman"/>
                <w:color w:val="000000"/>
                <w:sz w:val="24"/>
                <w:szCs w:val="24"/>
              </w:rPr>
              <w:t>030</w:t>
            </w:r>
          </w:p>
        </w:tc>
        <w:tc>
          <w:tcPr>
            <w:tcW w:w="0" w:type="auto"/>
            <w:tcBorders>
              <w:top w:val="nil"/>
              <w:left w:val="nil"/>
              <w:bottom w:val="single" w:sz="4" w:space="0" w:color="auto"/>
              <w:right w:val="single" w:sz="4" w:space="0" w:color="auto"/>
            </w:tcBorders>
            <w:shd w:val="clear" w:color="auto" w:fill="auto"/>
            <w:noWrap/>
            <w:hideMark/>
          </w:tcPr>
          <w:p w14:paraId="5DBAF862" w14:textId="09037A54"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Calibri"/>
                <w:color w:val="000000"/>
                <w:sz w:val="24"/>
                <w:szCs w:val="24"/>
              </w:rPr>
              <w:t> </w:t>
            </w:r>
            <w:proofErr w:type="spellStart"/>
            <w:r w:rsidRPr="00171A13">
              <w:rPr>
                <w:rFonts w:ascii="Calibri" w:eastAsia="Times New Roman" w:hAnsi="Calibri" w:cs="Calibri"/>
                <w:color w:val="000000"/>
                <w:sz w:val="24"/>
                <w:szCs w:val="24"/>
              </w:rPr>
              <w:t>na</w:t>
            </w:r>
            <w:proofErr w:type="spellEnd"/>
          </w:p>
        </w:tc>
        <w:tc>
          <w:tcPr>
            <w:tcW w:w="0" w:type="auto"/>
            <w:tcBorders>
              <w:top w:val="nil"/>
              <w:left w:val="nil"/>
              <w:bottom w:val="single" w:sz="4" w:space="0" w:color="auto"/>
              <w:right w:val="single" w:sz="4" w:space="0" w:color="auto"/>
            </w:tcBorders>
            <w:shd w:val="clear" w:color="auto" w:fill="auto"/>
            <w:noWrap/>
            <w:hideMark/>
          </w:tcPr>
          <w:p w14:paraId="68D7A662" w14:textId="601EE445"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Calibri"/>
                <w:color w:val="000000"/>
                <w:sz w:val="24"/>
                <w:szCs w:val="24"/>
              </w:rPr>
              <w:t> </w:t>
            </w:r>
            <w:proofErr w:type="spellStart"/>
            <w:r w:rsidRPr="00171A13">
              <w:rPr>
                <w:rFonts w:ascii="Calibri" w:eastAsia="Times New Roman" w:hAnsi="Calibri" w:cs="Calibri"/>
                <w:color w:val="000000"/>
                <w:sz w:val="24"/>
                <w:szCs w:val="24"/>
              </w:rPr>
              <w:t>na</w:t>
            </w:r>
            <w:proofErr w:type="spellEnd"/>
          </w:p>
        </w:tc>
        <w:tc>
          <w:tcPr>
            <w:tcW w:w="0" w:type="auto"/>
            <w:tcBorders>
              <w:top w:val="nil"/>
              <w:left w:val="nil"/>
              <w:bottom w:val="single" w:sz="4" w:space="0" w:color="auto"/>
              <w:right w:val="single" w:sz="4" w:space="0" w:color="auto"/>
            </w:tcBorders>
            <w:shd w:val="clear" w:color="auto" w:fill="auto"/>
            <w:noWrap/>
            <w:hideMark/>
          </w:tcPr>
          <w:p w14:paraId="3416F530" w14:textId="48F76B6F"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Calibri"/>
                <w:color w:val="000000"/>
                <w:sz w:val="24"/>
                <w:szCs w:val="24"/>
              </w:rPr>
              <w:t> </w:t>
            </w:r>
            <w:proofErr w:type="spellStart"/>
            <w:r w:rsidRPr="00171A13">
              <w:rPr>
                <w:rFonts w:ascii="Calibri" w:eastAsia="Times New Roman" w:hAnsi="Calibri" w:cs="Calibri"/>
                <w:color w:val="000000"/>
                <w:sz w:val="24"/>
                <w:szCs w:val="24"/>
              </w:rPr>
              <w:t>na</w:t>
            </w:r>
            <w:proofErr w:type="spellEnd"/>
          </w:p>
        </w:tc>
      </w:tr>
      <w:tr w:rsidR="00260697" w:rsidRPr="00171A13" w14:paraId="725C91E2" w14:textId="77777777" w:rsidTr="00260697">
        <w:trPr>
          <w:trHeight w:val="585"/>
        </w:trPr>
        <w:tc>
          <w:tcPr>
            <w:tcW w:w="6262" w:type="dxa"/>
            <w:tcBorders>
              <w:top w:val="nil"/>
              <w:left w:val="single" w:sz="4" w:space="0" w:color="auto"/>
              <w:bottom w:val="single" w:sz="4" w:space="0" w:color="auto"/>
              <w:right w:val="single" w:sz="4" w:space="0" w:color="auto"/>
            </w:tcBorders>
            <w:shd w:val="clear" w:color="auto" w:fill="auto"/>
            <w:hideMark/>
          </w:tcPr>
          <w:p w14:paraId="0E535831"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Land use- clear cutting primary forest to arable land perennial crop, Tropical Forest</w:t>
            </w:r>
          </w:p>
        </w:tc>
        <w:tc>
          <w:tcPr>
            <w:tcW w:w="0" w:type="auto"/>
            <w:tcBorders>
              <w:top w:val="nil"/>
              <w:left w:val="nil"/>
              <w:bottom w:val="single" w:sz="4" w:space="0" w:color="auto"/>
              <w:right w:val="single" w:sz="4" w:space="0" w:color="auto"/>
            </w:tcBorders>
            <w:shd w:val="clear" w:color="auto" w:fill="auto"/>
            <w:noWrap/>
            <w:hideMark/>
          </w:tcPr>
          <w:p w14:paraId="2E6B1975" w14:textId="3907E2A4"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4</w:t>
            </w:r>
            <w:r w:rsidR="0049450D" w:rsidRPr="00171A13">
              <w:rPr>
                <w:rFonts w:ascii="Calibri" w:eastAsia="Times New Roman" w:hAnsi="Calibri" w:cs="Times New Roman"/>
                <w:color w:val="000000"/>
                <w:sz w:val="24"/>
                <w:szCs w:val="24"/>
              </w:rPr>
              <w:t>,</w:t>
            </w:r>
            <w:r w:rsidRPr="00171A13">
              <w:rPr>
                <w:rFonts w:ascii="Calibri" w:eastAsia="Times New Roman" w:hAnsi="Calibri" w:cs="Times New Roman"/>
                <w:color w:val="000000"/>
                <w:sz w:val="24"/>
                <w:szCs w:val="24"/>
              </w:rPr>
              <w:t>160</w:t>
            </w:r>
          </w:p>
        </w:tc>
        <w:tc>
          <w:tcPr>
            <w:tcW w:w="0" w:type="auto"/>
            <w:tcBorders>
              <w:top w:val="nil"/>
              <w:left w:val="nil"/>
              <w:bottom w:val="single" w:sz="4" w:space="0" w:color="auto"/>
              <w:right w:val="single" w:sz="4" w:space="0" w:color="auto"/>
            </w:tcBorders>
            <w:shd w:val="clear" w:color="auto" w:fill="auto"/>
            <w:noWrap/>
            <w:hideMark/>
          </w:tcPr>
          <w:p w14:paraId="5DBC662F" w14:textId="1C5C83FD"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Calibri"/>
                <w:color w:val="000000"/>
                <w:sz w:val="24"/>
                <w:szCs w:val="24"/>
              </w:rPr>
              <w:t> </w:t>
            </w:r>
            <w:proofErr w:type="spellStart"/>
            <w:r w:rsidRPr="00171A13">
              <w:rPr>
                <w:rFonts w:ascii="Calibri" w:eastAsia="Times New Roman" w:hAnsi="Calibri" w:cs="Calibri"/>
                <w:color w:val="000000"/>
                <w:sz w:val="24"/>
                <w:szCs w:val="24"/>
              </w:rPr>
              <w:t>na</w:t>
            </w:r>
            <w:proofErr w:type="spellEnd"/>
          </w:p>
        </w:tc>
        <w:tc>
          <w:tcPr>
            <w:tcW w:w="0" w:type="auto"/>
            <w:tcBorders>
              <w:top w:val="nil"/>
              <w:left w:val="nil"/>
              <w:bottom w:val="single" w:sz="4" w:space="0" w:color="auto"/>
              <w:right w:val="single" w:sz="4" w:space="0" w:color="auto"/>
            </w:tcBorders>
            <w:shd w:val="clear" w:color="auto" w:fill="auto"/>
            <w:noWrap/>
            <w:hideMark/>
          </w:tcPr>
          <w:p w14:paraId="1FA8FA42" w14:textId="4DF88DB5"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Calibri"/>
                <w:color w:val="000000"/>
                <w:sz w:val="24"/>
                <w:szCs w:val="24"/>
              </w:rPr>
              <w:t> </w:t>
            </w:r>
            <w:proofErr w:type="spellStart"/>
            <w:r w:rsidRPr="00171A13">
              <w:rPr>
                <w:rFonts w:ascii="Calibri" w:eastAsia="Times New Roman" w:hAnsi="Calibri" w:cs="Calibri"/>
                <w:color w:val="000000"/>
                <w:sz w:val="24"/>
                <w:szCs w:val="24"/>
              </w:rPr>
              <w:t>na</w:t>
            </w:r>
            <w:proofErr w:type="spellEnd"/>
          </w:p>
        </w:tc>
        <w:tc>
          <w:tcPr>
            <w:tcW w:w="0" w:type="auto"/>
            <w:tcBorders>
              <w:top w:val="nil"/>
              <w:left w:val="nil"/>
              <w:bottom w:val="single" w:sz="4" w:space="0" w:color="auto"/>
              <w:right w:val="single" w:sz="4" w:space="0" w:color="auto"/>
            </w:tcBorders>
            <w:shd w:val="clear" w:color="auto" w:fill="auto"/>
            <w:noWrap/>
            <w:hideMark/>
          </w:tcPr>
          <w:p w14:paraId="30958002" w14:textId="512F964A"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Calibri"/>
                <w:color w:val="000000"/>
                <w:sz w:val="24"/>
                <w:szCs w:val="24"/>
              </w:rPr>
              <w:t> </w:t>
            </w:r>
            <w:proofErr w:type="spellStart"/>
            <w:r w:rsidRPr="00171A13">
              <w:rPr>
                <w:rFonts w:ascii="Calibri" w:eastAsia="Times New Roman" w:hAnsi="Calibri" w:cs="Calibri"/>
                <w:color w:val="000000"/>
                <w:sz w:val="24"/>
                <w:szCs w:val="24"/>
              </w:rPr>
              <w:t>na</w:t>
            </w:r>
            <w:proofErr w:type="spellEnd"/>
          </w:p>
        </w:tc>
      </w:tr>
      <w:tr w:rsidR="00260697" w:rsidRPr="00171A13" w14:paraId="0E6F8063" w14:textId="77777777" w:rsidTr="00260697">
        <w:trPr>
          <w:trHeight w:val="390"/>
        </w:trPr>
        <w:tc>
          <w:tcPr>
            <w:tcW w:w="6262" w:type="dxa"/>
            <w:tcBorders>
              <w:top w:val="nil"/>
              <w:left w:val="single" w:sz="4" w:space="0" w:color="auto"/>
              <w:bottom w:val="single" w:sz="4" w:space="0" w:color="auto"/>
              <w:right w:val="single" w:sz="4" w:space="0" w:color="auto"/>
            </w:tcBorders>
            <w:shd w:val="clear" w:color="auto" w:fill="auto"/>
            <w:noWrap/>
            <w:hideMark/>
          </w:tcPr>
          <w:p w14:paraId="64557E0A"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Marine ecotoxicity</w:t>
            </w:r>
          </w:p>
        </w:tc>
        <w:tc>
          <w:tcPr>
            <w:tcW w:w="0" w:type="auto"/>
            <w:tcBorders>
              <w:top w:val="nil"/>
              <w:left w:val="nil"/>
              <w:bottom w:val="single" w:sz="4" w:space="0" w:color="auto"/>
              <w:right w:val="single" w:sz="4" w:space="0" w:color="auto"/>
            </w:tcBorders>
            <w:shd w:val="clear" w:color="auto" w:fill="auto"/>
            <w:noWrap/>
            <w:hideMark/>
          </w:tcPr>
          <w:p w14:paraId="3ED1380C"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0.0026</w:t>
            </w:r>
          </w:p>
        </w:tc>
        <w:tc>
          <w:tcPr>
            <w:tcW w:w="0" w:type="auto"/>
            <w:tcBorders>
              <w:top w:val="nil"/>
              <w:left w:val="nil"/>
              <w:bottom w:val="single" w:sz="4" w:space="0" w:color="auto"/>
              <w:right w:val="single" w:sz="4" w:space="0" w:color="auto"/>
            </w:tcBorders>
            <w:shd w:val="clear" w:color="auto" w:fill="auto"/>
            <w:noWrap/>
            <w:hideMark/>
          </w:tcPr>
          <w:p w14:paraId="7B600C35"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0.12</w:t>
            </w:r>
          </w:p>
        </w:tc>
        <w:tc>
          <w:tcPr>
            <w:tcW w:w="0" w:type="auto"/>
            <w:tcBorders>
              <w:top w:val="nil"/>
              <w:left w:val="nil"/>
              <w:bottom w:val="single" w:sz="4" w:space="0" w:color="auto"/>
              <w:right w:val="single" w:sz="4" w:space="0" w:color="auto"/>
            </w:tcBorders>
            <w:shd w:val="clear" w:color="auto" w:fill="auto"/>
            <w:noWrap/>
            <w:hideMark/>
          </w:tcPr>
          <w:p w14:paraId="2EC14404"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0.10</w:t>
            </w:r>
          </w:p>
        </w:tc>
        <w:tc>
          <w:tcPr>
            <w:tcW w:w="0" w:type="auto"/>
            <w:tcBorders>
              <w:top w:val="nil"/>
              <w:left w:val="nil"/>
              <w:bottom w:val="single" w:sz="4" w:space="0" w:color="auto"/>
              <w:right w:val="single" w:sz="4" w:space="0" w:color="auto"/>
            </w:tcBorders>
            <w:shd w:val="clear" w:color="auto" w:fill="auto"/>
            <w:noWrap/>
            <w:hideMark/>
          </w:tcPr>
          <w:p w14:paraId="475B238C"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0.12</w:t>
            </w:r>
          </w:p>
        </w:tc>
      </w:tr>
      <w:tr w:rsidR="00260697" w:rsidRPr="00171A13" w14:paraId="54FAC57A"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669D173A"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Marine eutrophication</w:t>
            </w:r>
          </w:p>
        </w:tc>
        <w:tc>
          <w:tcPr>
            <w:tcW w:w="0" w:type="auto"/>
            <w:tcBorders>
              <w:top w:val="nil"/>
              <w:left w:val="nil"/>
              <w:bottom w:val="single" w:sz="4" w:space="0" w:color="auto"/>
              <w:right w:val="single" w:sz="4" w:space="0" w:color="auto"/>
            </w:tcBorders>
            <w:shd w:val="clear" w:color="auto" w:fill="auto"/>
            <w:noWrap/>
            <w:hideMark/>
          </w:tcPr>
          <w:p w14:paraId="3390EDEE"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20.1</w:t>
            </w:r>
          </w:p>
        </w:tc>
        <w:tc>
          <w:tcPr>
            <w:tcW w:w="0" w:type="auto"/>
            <w:tcBorders>
              <w:top w:val="nil"/>
              <w:left w:val="nil"/>
              <w:bottom w:val="single" w:sz="4" w:space="0" w:color="auto"/>
              <w:right w:val="single" w:sz="4" w:space="0" w:color="auto"/>
            </w:tcBorders>
            <w:shd w:val="clear" w:color="auto" w:fill="auto"/>
            <w:noWrap/>
            <w:hideMark/>
          </w:tcPr>
          <w:p w14:paraId="5A047F7A"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279.62</w:t>
            </w:r>
          </w:p>
        </w:tc>
        <w:tc>
          <w:tcPr>
            <w:tcW w:w="0" w:type="auto"/>
            <w:tcBorders>
              <w:top w:val="nil"/>
              <w:left w:val="nil"/>
              <w:bottom w:val="single" w:sz="4" w:space="0" w:color="auto"/>
              <w:right w:val="single" w:sz="4" w:space="0" w:color="auto"/>
            </w:tcBorders>
            <w:shd w:val="clear" w:color="auto" w:fill="auto"/>
            <w:noWrap/>
            <w:hideMark/>
          </w:tcPr>
          <w:p w14:paraId="799B581D"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120.15</w:t>
            </w:r>
          </w:p>
        </w:tc>
        <w:tc>
          <w:tcPr>
            <w:tcW w:w="0" w:type="auto"/>
            <w:tcBorders>
              <w:top w:val="nil"/>
              <w:left w:val="nil"/>
              <w:bottom w:val="single" w:sz="4" w:space="0" w:color="auto"/>
              <w:right w:val="single" w:sz="4" w:space="0" w:color="auto"/>
            </w:tcBorders>
            <w:shd w:val="clear" w:color="auto" w:fill="auto"/>
            <w:noWrap/>
            <w:hideMark/>
          </w:tcPr>
          <w:p w14:paraId="579046D9"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497.64</w:t>
            </w:r>
          </w:p>
        </w:tc>
      </w:tr>
      <w:tr w:rsidR="00260697" w:rsidRPr="00171A13" w14:paraId="7C339628"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3376C093"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Mineral resource scarcity</w:t>
            </w:r>
          </w:p>
        </w:tc>
        <w:tc>
          <w:tcPr>
            <w:tcW w:w="0" w:type="auto"/>
            <w:tcBorders>
              <w:top w:val="nil"/>
              <w:left w:val="nil"/>
              <w:bottom w:val="single" w:sz="4" w:space="0" w:color="auto"/>
              <w:right w:val="single" w:sz="4" w:space="0" w:color="auto"/>
            </w:tcBorders>
            <w:shd w:val="clear" w:color="auto" w:fill="auto"/>
            <w:noWrap/>
            <w:hideMark/>
          </w:tcPr>
          <w:p w14:paraId="6DC6866A"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0.26</w:t>
            </w:r>
          </w:p>
        </w:tc>
        <w:tc>
          <w:tcPr>
            <w:tcW w:w="0" w:type="auto"/>
            <w:tcBorders>
              <w:top w:val="nil"/>
              <w:left w:val="nil"/>
              <w:bottom w:val="single" w:sz="4" w:space="0" w:color="auto"/>
              <w:right w:val="single" w:sz="4" w:space="0" w:color="auto"/>
            </w:tcBorders>
            <w:shd w:val="clear" w:color="auto" w:fill="auto"/>
            <w:noWrap/>
            <w:hideMark/>
          </w:tcPr>
          <w:p w14:paraId="741F877E"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2.10</w:t>
            </w:r>
          </w:p>
        </w:tc>
        <w:tc>
          <w:tcPr>
            <w:tcW w:w="0" w:type="auto"/>
            <w:tcBorders>
              <w:top w:val="nil"/>
              <w:left w:val="nil"/>
              <w:bottom w:val="single" w:sz="4" w:space="0" w:color="auto"/>
              <w:right w:val="single" w:sz="4" w:space="0" w:color="auto"/>
            </w:tcBorders>
            <w:shd w:val="clear" w:color="auto" w:fill="auto"/>
            <w:noWrap/>
            <w:hideMark/>
          </w:tcPr>
          <w:p w14:paraId="789DD7B1"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44.41</w:t>
            </w:r>
          </w:p>
        </w:tc>
        <w:tc>
          <w:tcPr>
            <w:tcW w:w="0" w:type="auto"/>
            <w:tcBorders>
              <w:top w:val="nil"/>
              <w:left w:val="nil"/>
              <w:bottom w:val="single" w:sz="4" w:space="0" w:color="auto"/>
              <w:right w:val="single" w:sz="4" w:space="0" w:color="auto"/>
            </w:tcBorders>
            <w:shd w:val="clear" w:color="auto" w:fill="auto"/>
            <w:noWrap/>
            <w:hideMark/>
          </w:tcPr>
          <w:p w14:paraId="5A68A94B"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44.75</w:t>
            </w:r>
          </w:p>
        </w:tc>
      </w:tr>
      <w:tr w:rsidR="00260697" w:rsidRPr="00171A13" w14:paraId="7E90EAE1"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62147CA8"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Ozone formation, Human health</w:t>
            </w:r>
          </w:p>
        </w:tc>
        <w:tc>
          <w:tcPr>
            <w:tcW w:w="0" w:type="auto"/>
            <w:tcBorders>
              <w:top w:val="nil"/>
              <w:left w:val="nil"/>
              <w:bottom w:val="single" w:sz="4" w:space="0" w:color="auto"/>
              <w:right w:val="single" w:sz="4" w:space="0" w:color="auto"/>
            </w:tcBorders>
            <w:shd w:val="clear" w:color="auto" w:fill="auto"/>
            <w:noWrap/>
            <w:hideMark/>
          </w:tcPr>
          <w:p w14:paraId="46FF2A3F"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4.19</w:t>
            </w:r>
          </w:p>
        </w:tc>
        <w:tc>
          <w:tcPr>
            <w:tcW w:w="0" w:type="auto"/>
            <w:tcBorders>
              <w:top w:val="nil"/>
              <w:left w:val="nil"/>
              <w:bottom w:val="single" w:sz="4" w:space="0" w:color="auto"/>
              <w:right w:val="single" w:sz="4" w:space="0" w:color="auto"/>
            </w:tcBorders>
            <w:shd w:val="clear" w:color="auto" w:fill="auto"/>
            <w:noWrap/>
            <w:hideMark/>
          </w:tcPr>
          <w:p w14:paraId="46049E55"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43.34</w:t>
            </w:r>
          </w:p>
        </w:tc>
        <w:tc>
          <w:tcPr>
            <w:tcW w:w="0" w:type="auto"/>
            <w:tcBorders>
              <w:top w:val="nil"/>
              <w:left w:val="nil"/>
              <w:bottom w:val="single" w:sz="4" w:space="0" w:color="auto"/>
              <w:right w:val="single" w:sz="4" w:space="0" w:color="auto"/>
            </w:tcBorders>
            <w:shd w:val="clear" w:color="auto" w:fill="auto"/>
            <w:noWrap/>
            <w:hideMark/>
          </w:tcPr>
          <w:p w14:paraId="3A3B0EDA"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25.07</w:t>
            </w:r>
          </w:p>
        </w:tc>
        <w:tc>
          <w:tcPr>
            <w:tcW w:w="0" w:type="auto"/>
            <w:tcBorders>
              <w:top w:val="nil"/>
              <w:left w:val="nil"/>
              <w:bottom w:val="single" w:sz="4" w:space="0" w:color="auto"/>
              <w:right w:val="single" w:sz="4" w:space="0" w:color="auto"/>
            </w:tcBorders>
            <w:shd w:val="clear" w:color="auto" w:fill="auto"/>
            <w:noWrap/>
            <w:hideMark/>
          </w:tcPr>
          <w:p w14:paraId="06B59139"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12.51</w:t>
            </w:r>
          </w:p>
        </w:tc>
      </w:tr>
      <w:tr w:rsidR="00260697" w:rsidRPr="00171A13" w14:paraId="0B69DDF6"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188FBC44"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Ozone formation, Terrestrial ecosystems</w:t>
            </w:r>
          </w:p>
        </w:tc>
        <w:tc>
          <w:tcPr>
            <w:tcW w:w="0" w:type="auto"/>
            <w:tcBorders>
              <w:top w:val="nil"/>
              <w:left w:val="nil"/>
              <w:bottom w:val="single" w:sz="4" w:space="0" w:color="auto"/>
              <w:right w:val="single" w:sz="4" w:space="0" w:color="auto"/>
            </w:tcBorders>
            <w:shd w:val="clear" w:color="auto" w:fill="auto"/>
            <w:noWrap/>
            <w:hideMark/>
          </w:tcPr>
          <w:p w14:paraId="5D36405D"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4.19</w:t>
            </w:r>
          </w:p>
        </w:tc>
        <w:tc>
          <w:tcPr>
            <w:tcW w:w="0" w:type="auto"/>
            <w:tcBorders>
              <w:top w:val="nil"/>
              <w:left w:val="nil"/>
              <w:bottom w:val="single" w:sz="4" w:space="0" w:color="auto"/>
              <w:right w:val="single" w:sz="4" w:space="0" w:color="auto"/>
            </w:tcBorders>
            <w:shd w:val="clear" w:color="auto" w:fill="auto"/>
            <w:noWrap/>
            <w:hideMark/>
          </w:tcPr>
          <w:p w14:paraId="05500A74"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43.77</w:t>
            </w:r>
          </w:p>
        </w:tc>
        <w:tc>
          <w:tcPr>
            <w:tcW w:w="0" w:type="auto"/>
            <w:tcBorders>
              <w:top w:val="nil"/>
              <w:left w:val="nil"/>
              <w:bottom w:val="single" w:sz="4" w:space="0" w:color="auto"/>
              <w:right w:val="single" w:sz="4" w:space="0" w:color="auto"/>
            </w:tcBorders>
            <w:shd w:val="clear" w:color="auto" w:fill="auto"/>
            <w:noWrap/>
            <w:hideMark/>
          </w:tcPr>
          <w:p w14:paraId="6AADAF5F"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29.56</w:t>
            </w:r>
          </w:p>
        </w:tc>
        <w:tc>
          <w:tcPr>
            <w:tcW w:w="0" w:type="auto"/>
            <w:tcBorders>
              <w:top w:val="nil"/>
              <w:left w:val="nil"/>
              <w:bottom w:val="single" w:sz="4" w:space="0" w:color="auto"/>
              <w:right w:val="single" w:sz="4" w:space="0" w:color="auto"/>
            </w:tcBorders>
            <w:shd w:val="clear" w:color="auto" w:fill="auto"/>
            <w:noWrap/>
            <w:hideMark/>
          </w:tcPr>
          <w:p w14:paraId="242DC84C"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12.78</w:t>
            </w:r>
          </w:p>
        </w:tc>
      </w:tr>
      <w:tr w:rsidR="00260697" w:rsidRPr="00171A13" w14:paraId="1B88383D"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7774CB61"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lastRenderedPageBreak/>
              <w:t>Stratospheric ozone depletion</w:t>
            </w:r>
          </w:p>
        </w:tc>
        <w:tc>
          <w:tcPr>
            <w:tcW w:w="0" w:type="auto"/>
            <w:tcBorders>
              <w:top w:val="nil"/>
              <w:left w:val="nil"/>
              <w:bottom w:val="single" w:sz="4" w:space="0" w:color="auto"/>
              <w:right w:val="single" w:sz="4" w:space="0" w:color="auto"/>
            </w:tcBorders>
            <w:shd w:val="clear" w:color="auto" w:fill="auto"/>
            <w:noWrap/>
            <w:hideMark/>
          </w:tcPr>
          <w:p w14:paraId="56AB3E19"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65.4</w:t>
            </w:r>
          </w:p>
        </w:tc>
        <w:tc>
          <w:tcPr>
            <w:tcW w:w="0" w:type="auto"/>
            <w:tcBorders>
              <w:top w:val="nil"/>
              <w:left w:val="nil"/>
              <w:bottom w:val="single" w:sz="4" w:space="0" w:color="auto"/>
              <w:right w:val="single" w:sz="4" w:space="0" w:color="auto"/>
            </w:tcBorders>
            <w:shd w:val="clear" w:color="auto" w:fill="auto"/>
            <w:noWrap/>
            <w:hideMark/>
          </w:tcPr>
          <w:p w14:paraId="027A3AA6"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2.44</w:t>
            </w:r>
          </w:p>
        </w:tc>
        <w:tc>
          <w:tcPr>
            <w:tcW w:w="0" w:type="auto"/>
            <w:tcBorders>
              <w:top w:val="nil"/>
              <w:left w:val="nil"/>
              <w:bottom w:val="single" w:sz="4" w:space="0" w:color="auto"/>
              <w:right w:val="single" w:sz="4" w:space="0" w:color="auto"/>
            </w:tcBorders>
            <w:shd w:val="clear" w:color="auto" w:fill="auto"/>
            <w:noWrap/>
            <w:hideMark/>
          </w:tcPr>
          <w:p w14:paraId="2628A58F"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2.26</w:t>
            </w:r>
          </w:p>
        </w:tc>
        <w:tc>
          <w:tcPr>
            <w:tcW w:w="0" w:type="auto"/>
            <w:tcBorders>
              <w:top w:val="nil"/>
              <w:left w:val="nil"/>
              <w:bottom w:val="single" w:sz="4" w:space="0" w:color="auto"/>
              <w:right w:val="single" w:sz="4" w:space="0" w:color="auto"/>
            </w:tcBorders>
            <w:shd w:val="clear" w:color="auto" w:fill="auto"/>
            <w:noWrap/>
            <w:hideMark/>
          </w:tcPr>
          <w:p w14:paraId="00641BB9"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2.12</w:t>
            </w:r>
          </w:p>
        </w:tc>
      </w:tr>
      <w:tr w:rsidR="00260697" w:rsidRPr="00171A13" w14:paraId="5D710C13"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53E24032"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Terrestrial acidification</w:t>
            </w:r>
          </w:p>
        </w:tc>
        <w:tc>
          <w:tcPr>
            <w:tcW w:w="0" w:type="auto"/>
            <w:tcBorders>
              <w:top w:val="nil"/>
              <w:left w:val="nil"/>
              <w:bottom w:val="single" w:sz="4" w:space="0" w:color="auto"/>
              <w:right w:val="single" w:sz="4" w:space="0" w:color="auto"/>
            </w:tcBorders>
            <w:shd w:val="clear" w:color="auto" w:fill="auto"/>
            <w:noWrap/>
            <w:hideMark/>
          </w:tcPr>
          <w:p w14:paraId="29C5A3B2"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6.7</w:t>
            </w:r>
          </w:p>
        </w:tc>
        <w:tc>
          <w:tcPr>
            <w:tcW w:w="0" w:type="auto"/>
            <w:tcBorders>
              <w:top w:val="nil"/>
              <w:left w:val="nil"/>
              <w:bottom w:val="single" w:sz="4" w:space="0" w:color="auto"/>
              <w:right w:val="single" w:sz="4" w:space="0" w:color="auto"/>
            </w:tcBorders>
            <w:shd w:val="clear" w:color="auto" w:fill="auto"/>
            <w:noWrap/>
            <w:hideMark/>
          </w:tcPr>
          <w:p w14:paraId="1E259BDD"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506.01</w:t>
            </w:r>
          </w:p>
        </w:tc>
        <w:tc>
          <w:tcPr>
            <w:tcW w:w="0" w:type="auto"/>
            <w:tcBorders>
              <w:top w:val="nil"/>
              <w:left w:val="nil"/>
              <w:bottom w:val="single" w:sz="4" w:space="0" w:color="auto"/>
              <w:right w:val="single" w:sz="4" w:space="0" w:color="auto"/>
            </w:tcBorders>
            <w:shd w:val="clear" w:color="auto" w:fill="auto"/>
            <w:noWrap/>
            <w:hideMark/>
          </w:tcPr>
          <w:p w14:paraId="23D9299B"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149.04</w:t>
            </w:r>
          </w:p>
        </w:tc>
        <w:tc>
          <w:tcPr>
            <w:tcW w:w="0" w:type="auto"/>
            <w:tcBorders>
              <w:top w:val="nil"/>
              <w:left w:val="nil"/>
              <w:bottom w:val="single" w:sz="4" w:space="0" w:color="auto"/>
              <w:right w:val="single" w:sz="4" w:space="0" w:color="auto"/>
            </w:tcBorders>
            <w:shd w:val="clear" w:color="auto" w:fill="auto"/>
            <w:noWrap/>
            <w:hideMark/>
          </w:tcPr>
          <w:p w14:paraId="5D1DDB40"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149.90</w:t>
            </w:r>
          </w:p>
        </w:tc>
      </w:tr>
      <w:tr w:rsidR="00260697" w:rsidRPr="00171A13" w14:paraId="68D9D334"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54E92F56"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Terrestrial ecotoxicity</w:t>
            </w:r>
          </w:p>
        </w:tc>
        <w:tc>
          <w:tcPr>
            <w:tcW w:w="0" w:type="auto"/>
            <w:tcBorders>
              <w:top w:val="nil"/>
              <w:left w:val="nil"/>
              <w:bottom w:val="single" w:sz="4" w:space="0" w:color="auto"/>
              <w:right w:val="single" w:sz="4" w:space="0" w:color="auto"/>
            </w:tcBorders>
            <w:shd w:val="clear" w:color="auto" w:fill="auto"/>
            <w:noWrap/>
            <w:hideMark/>
          </w:tcPr>
          <w:p w14:paraId="10C9C871"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0.0004</w:t>
            </w:r>
          </w:p>
        </w:tc>
        <w:tc>
          <w:tcPr>
            <w:tcW w:w="0" w:type="auto"/>
            <w:tcBorders>
              <w:top w:val="nil"/>
              <w:left w:val="nil"/>
              <w:bottom w:val="single" w:sz="4" w:space="0" w:color="auto"/>
              <w:right w:val="single" w:sz="4" w:space="0" w:color="auto"/>
            </w:tcBorders>
            <w:shd w:val="clear" w:color="auto" w:fill="auto"/>
            <w:noWrap/>
            <w:hideMark/>
          </w:tcPr>
          <w:p w14:paraId="281B547E"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1.64</w:t>
            </w:r>
          </w:p>
        </w:tc>
        <w:tc>
          <w:tcPr>
            <w:tcW w:w="0" w:type="auto"/>
            <w:tcBorders>
              <w:top w:val="nil"/>
              <w:left w:val="nil"/>
              <w:bottom w:val="single" w:sz="4" w:space="0" w:color="auto"/>
              <w:right w:val="single" w:sz="4" w:space="0" w:color="auto"/>
            </w:tcBorders>
            <w:shd w:val="clear" w:color="auto" w:fill="auto"/>
            <w:noWrap/>
            <w:hideMark/>
          </w:tcPr>
          <w:p w14:paraId="3B853D84"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1.31</w:t>
            </w:r>
          </w:p>
        </w:tc>
        <w:tc>
          <w:tcPr>
            <w:tcW w:w="0" w:type="auto"/>
            <w:tcBorders>
              <w:top w:val="nil"/>
              <w:left w:val="nil"/>
              <w:bottom w:val="single" w:sz="4" w:space="0" w:color="auto"/>
              <w:right w:val="single" w:sz="4" w:space="0" w:color="auto"/>
            </w:tcBorders>
            <w:shd w:val="clear" w:color="auto" w:fill="auto"/>
            <w:noWrap/>
            <w:hideMark/>
          </w:tcPr>
          <w:p w14:paraId="0195BF55"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1.32</w:t>
            </w:r>
          </w:p>
        </w:tc>
      </w:tr>
      <w:tr w:rsidR="00260697" w:rsidRPr="00171A13" w14:paraId="3710EA49"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07885BFE" w14:textId="77777777" w:rsidR="00260697" w:rsidRPr="00171A13" w:rsidRDefault="00260697" w:rsidP="003632A1">
            <w:pPr>
              <w:spacing w:after="0" w:line="360" w:lineRule="auto"/>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Water consumption</w:t>
            </w:r>
          </w:p>
        </w:tc>
        <w:tc>
          <w:tcPr>
            <w:tcW w:w="0" w:type="auto"/>
            <w:tcBorders>
              <w:top w:val="nil"/>
              <w:left w:val="nil"/>
              <w:bottom w:val="single" w:sz="4" w:space="0" w:color="auto"/>
              <w:right w:val="single" w:sz="4" w:space="0" w:color="auto"/>
            </w:tcBorders>
            <w:shd w:val="clear" w:color="auto" w:fill="auto"/>
            <w:noWrap/>
            <w:hideMark/>
          </w:tcPr>
          <w:p w14:paraId="153DE602"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1.49</w:t>
            </w:r>
          </w:p>
        </w:tc>
        <w:tc>
          <w:tcPr>
            <w:tcW w:w="0" w:type="auto"/>
            <w:tcBorders>
              <w:top w:val="nil"/>
              <w:left w:val="nil"/>
              <w:bottom w:val="single" w:sz="4" w:space="0" w:color="auto"/>
              <w:right w:val="single" w:sz="4" w:space="0" w:color="auto"/>
            </w:tcBorders>
            <w:shd w:val="clear" w:color="auto" w:fill="auto"/>
            <w:noWrap/>
            <w:hideMark/>
          </w:tcPr>
          <w:p w14:paraId="02ADA030"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30.70</w:t>
            </w:r>
          </w:p>
        </w:tc>
        <w:tc>
          <w:tcPr>
            <w:tcW w:w="0" w:type="auto"/>
            <w:tcBorders>
              <w:top w:val="nil"/>
              <w:left w:val="nil"/>
              <w:bottom w:val="single" w:sz="4" w:space="0" w:color="auto"/>
              <w:right w:val="single" w:sz="4" w:space="0" w:color="auto"/>
            </w:tcBorders>
            <w:shd w:val="clear" w:color="auto" w:fill="auto"/>
            <w:noWrap/>
            <w:hideMark/>
          </w:tcPr>
          <w:p w14:paraId="59E71386"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158.06</w:t>
            </w:r>
          </w:p>
        </w:tc>
        <w:tc>
          <w:tcPr>
            <w:tcW w:w="0" w:type="auto"/>
            <w:tcBorders>
              <w:top w:val="nil"/>
              <w:left w:val="nil"/>
              <w:bottom w:val="single" w:sz="4" w:space="0" w:color="auto"/>
              <w:right w:val="single" w:sz="4" w:space="0" w:color="auto"/>
            </w:tcBorders>
            <w:shd w:val="clear" w:color="auto" w:fill="auto"/>
            <w:noWrap/>
            <w:hideMark/>
          </w:tcPr>
          <w:p w14:paraId="10E4DD77" w14:textId="77777777" w:rsidR="00260697" w:rsidRPr="00171A13" w:rsidRDefault="00260697" w:rsidP="003632A1">
            <w:pPr>
              <w:spacing w:after="0" w:line="360" w:lineRule="auto"/>
              <w:jc w:val="center"/>
              <w:rPr>
                <w:rFonts w:ascii="Calibri" w:eastAsia="Times New Roman" w:hAnsi="Calibri" w:cs="Times New Roman"/>
                <w:color w:val="000000"/>
                <w:sz w:val="24"/>
                <w:szCs w:val="24"/>
              </w:rPr>
            </w:pPr>
            <w:r w:rsidRPr="00171A13">
              <w:rPr>
                <w:rFonts w:ascii="Calibri" w:eastAsia="Times New Roman" w:hAnsi="Calibri" w:cs="Times New Roman"/>
                <w:color w:val="000000"/>
                <w:sz w:val="24"/>
                <w:szCs w:val="24"/>
              </w:rPr>
              <w:t>158.69</w:t>
            </w:r>
          </w:p>
        </w:tc>
      </w:tr>
      <w:tr w:rsidR="00260697" w:rsidRPr="00171A13" w14:paraId="1879C596" w14:textId="77777777" w:rsidTr="00260697">
        <w:trPr>
          <w:trHeight w:val="300"/>
        </w:trPr>
        <w:tc>
          <w:tcPr>
            <w:tcW w:w="6262" w:type="dxa"/>
            <w:tcBorders>
              <w:top w:val="nil"/>
              <w:left w:val="single" w:sz="4" w:space="0" w:color="auto"/>
              <w:bottom w:val="single" w:sz="4" w:space="0" w:color="auto"/>
              <w:right w:val="single" w:sz="4" w:space="0" w:color="auto"/>
            </w:tcBorders>
            <w:shd w:val="clear" w:color="auto" w:fill="auto"/>
            <w:noWrap/>
            <w:hideMark/>
          </w:tcPr>
          <w:p w14:paraId="1EF8B402" w14:textId="44306522" w:rsidR="00260697" w:rsidRPr="00171A13" w:rsidRDefault="00260697" w:rsidP="003632A1">
            <w:pPr>
              <w:spacing w:after="0" w:line="360" w:lineRule="auto"/>
              <w:rPr>
                <w:rFonts w:ascii="Calibri" w:eastAsia="Times New Roman" w:hAnsi="Calibri" w:cs="Times New Roman"/>
                <w:b/>
                <w:bCs/>
                <w:color w:val="000000"/>
                <w:sz w:val="24"/>
                <w:szCs w:val="24"/>
              </w:rPr>
            </w:pPr>
            <w:r w:rsidRPr="00171A13">
              <w:rPr>
                <w:rFonts w:ascii="Calibri" w:eastAsia="Times New Roman" w:hAnsi="Calibri" w:cs="Times New Roman"/>
                <w:b/>
                <w:bCs/>
                <w:color w:val="000000"/>
                <w:sz w:val="24"/>
                <w:szCs w:val="24"/>
              </w:rPr>
              <w:t xml:space="preserve">Total </w:t>
            </w:r>
            <w:r w:rsidR="000F507F" w:rsidRPr="00171A13">
              <w:rPr>
                <w:rFonts w:ascii="Calibri" w:eastAsia="Times New Roman" w:hAnsi="Calibri" w:cs="Times New Roman"/>
                <w:b/>
                <w:bCs/>
                <w:color w:val="000000"/>
                <w:sz w:val="24"/>
                <w:szCs w:val="24"/>
              </w:rPr>
              <w:t xml:space="preserve">external </w:t>
            </w:r>
            <w:r w:rsidRPr="00171A13">
              <w:rPr>
                <w:rFonts w:ascii="Calibri" w:eastAsia="Times New Roman" w:hAnsi="Calibri" w:cs="Times New Roman"/>
                <w:b/>
                <w:bCs/>
                <w:color w:val="000000"/>
                <w:sz w:val="24"/>
                <w:szCs w:val="24"/>
              </w:rPr>
              <w:t xml:space="preserve">cost </w:t>
            </w:r>
            <w:r w:rsidR="000F507F" w:rsidRPr="00171A13">
              <w:rPr>
                <w:rFonts w:ascii="Calibri" w:eastAsia="Times New Roman" w:hAnsi="Calibri" w:cs="Times New Roman"/>
                <w:b/>
                <w:bCs/>
                <w:color w:val="000000"/>
                <w:sz w:val="24"/>
                <w:szCs w:val="24"/>
              </w:rPr>
              <w:t>($/ha)</w:t>
            </w:r>
          </w:p>
        </w:tc>
        <w:tc>
          <w:tcPr>
            <w:tcW w:w="0" w:type="auto"/>
            <w:tcBorders>
              <w:top w:val="nil"/>
              <w:left w:val="nil"/>
              <w:bottom w:val="single" w:sz="4" w:space="0" w:color="auto"/>
              <w:right w:val="single" w:sz="4" w:space="0" w:color="auto"/>
            </w:tcBorders>
            <w:shd w:val="clear" w:color="auto" w:fill="auto"/>
            <w:noWrap/>
            <w:hideMark/>
          </w:tcPr>
          <w:p w14:paraId="461E8120" w14:textId="6DDF8FF4" w:rsidR="00260697" w:rsidRPr="00171A13" w:rsidRDefault="00260697" w:rsidP="003632A1">
            <w:pPr>
              <w:spacing w:after="0" w:line="360" w:lineRule="auto"/>
              <w:jc w:val="center"/>
              <w:rPr>
                <w:rFonts w:ascii="Calibri" w:eastAsia="Times New Roman" w:hAnsi="Calibri"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noWrap/>
            <w:hideMark/>
          </w:tcPr>
          <w:p w14:paraId="1B4C7EA5" w14:textId="70984686" w:rsidR="00260697" w:rsidRPr="00171A13" w:rsidRDefault="00260697" w:rsidP="003632A1">
            <w:pPr>
              <w:spacing w:after="0" w:line="360" w:lineRule="auto"/>
              <w:jc w:val="center"/>
              <w:rPr>
                <w:rFonts w:ascii="Calibri" w:eastAsia="Times New Roman" w:hAnsi="Calibri" w:cs="Times New Roman"/>
                <w:b/>
                <w:bCs/>
                <w:color w:val="000000"/>
                <w:sz w:val="24"/>
                <w:szCs w:val="24"/>
              </w:rPr>
            </w:pPr>
            <w:r w:rsidRPr="00171A13">
              <w:rPr>
                <w:rFonts w:ascii="Calibri" w:eastAsia="Times New Roman" w:hAnsi="Calibri" w:cs="Times New Roman"/>
                <w:b/>
                <w:bCs/>
                <w:color w:val="000000"/>
                <w:sz w:val="24"/>
                <w:szCs w:val="24"/>
              </w:rPr>
              <w:t>2</w:t>
            </w:r>
            <w:r w:rsidR="000F507F" w:rsidRPr="00171A13">
              <w:rPr>
                <w:rFonts w:ascii="Calibri" w:eastAsia="Times New Roman" w:hAnsi="Calibri" w:cs="Times New Roman"/>
                <w:b/>
                <w:bCs/>
                <w:color w:val="000000"/>
                <w:sz w:val="24"/>
                <w:szCs w:val="24"/>
              </w:rPr>
              <w:t>,</w:t>
            </w:r>
            <w:r w:rsidRPr="00171A13">
              <w:rPr>
                <w:rFonts w:ascii="Calibri" w:eastAsia="Times New Roman" w:hAnsi="Calibri" w:cs="Times New Roman"/>
                <w:b/>
                <w:bCs/>
                <w:color w:val="000000"/>
                <w:sz w:val="24"/>
                <w:szCs w:val="24"/>
              </w:rPr>
              <w:t>755.15</w:t>
            </w:r>
          </w:p>
        </w:tc>
        <w:tc>
          <w:tcPr>
            <w:tcW w:w="0" w:type="auto"/>
            <w:tcBorders>
              <w:top w:val="nil"/>
              <w:left w:val="nil"/>
              <w:bottom w:val="single" w:sz="4" w:space="0" w:color="auto"/>
              <w:right w:val="single" w:sz="4" w:space="0" w:color="auto"/>
            </w:tcBorders>
            <w:shd w:val="clear" w:color="auto" w:fill="auto"/>
            <w:noWrap/>
            <w:hideMark/>
          </w:tcPr>
          <w:p w14:paraId="60A3477F" w14:textId="1CD67DB7" w:rsidR="00260697" w:rsidRPr="00171A13" w:rsidRDefault="00260697" w:rsidP="003632A1">
            <w:pPr>
              <w:spacing w:after="0" w:line="360" w:lineRule="auto"/>
              <w:jc w:val="center"/>
              <w:rPr>
                <w:rFonts w:ascii="Calibri" w:eastAsia="Times New Roman" w:hAnsi="Calibri" w:cs="Times New Roman"/>
                <w:b/>
                <w:bCs/>
                <w:color w:val="000000"/>
                <w:sz w:val="24"/>
                <w:szCs w:val="24"/>
              </w:rPr>
            </w:pPr>
            <w:r w:rsidRPr="00171A13">
              <w:rPr>
                <w:rFonts w:ascii="Calibri" w:eastAsia="Times New Roman" w:hAnsi="Calibri" w:cs="Times New Roman"/>
                <w:b/>
                <w:bCs/>
                <w:color w:val="000000"/>
                <w:sz w:val="24"/>
                <w:szCs w:val="24"/>
              </w:rPr>
              <w:t>7</w:t>
            </w:r>
            <w:r w:rsidR="000F507F" w:rsidRPr="00171A13">
              <w:rPr>
                <w:rFonts w:ascii="Calibri" w:eastAsia="Times New Roman" w:hAnsi="Calibri" w:cs="Times New Roman"/>
                <w:b/>
                <w:bCs/>
                <w:color w:val="000000"/>
                <w:sz w:val="24"/>
                <w:szCs w:val="24"/>
              </w:rPr>
              <w:t>,</w:t>
            </w:r>
            <w:r w:rsidRPr="00171A13">
              <w:rPr>
                <w:rFonts w:ascii="Calibri" w:eastAsia="Times New Roman" w:hAnsi="Calibri" w:cs="Times New Roman"/>
                <w:b/>
                <w:bCs/>
                <w:color w:val="000000"/>
                <w:sz w:val="24"/>
                <w:szCs w:val="24"/>
              </w:rPr>
              <w:t>197.67</w:t>
            </w:r>
          </w:p>
        </w:tc>
        <w:tc>
          <w:tcPr>
            <w:tcW w:w="0" w:type="auto"/>
            <w:tcBorders>
              <w:top w:val="nil"/>
              <w:left w:val="nil"/>
              <w:bottom w:val="single" w:sz="4" w:space="0" w:color="auto"/>
              <w:right w:val="single" w:sz="4" w:space="0" w:color="auto"/>
            </w:tcBorders>
            <w:shd w:val="clear" w:color="auto" w:fill="auto"/>
            <w:noWrap/>
            <w:hideMark/>
          </w:tcPr>
          <w:p w14:paraId="72FABEE1" w14:textId="6BA192D8" w:rsidR="00260697" w:rsidRPr="00171A13" w:rsidRDefault="00260697" w:rsidP="003632A1">
            <w:pPr>
              <w:spacing w:after="0" w:line="360" w:lineRule="auto"/>
              <w:jc w:val="center"/>
              <w:rPr>
                <w:rFonts w:ascii="Calibri" w:eastAsia="Times New Roman" w:hAnsi="Calibri" w:cs="Times New Roman"/>
                <w:b/>
                <w:bCs/>
                <w:color w:val="000000"/>
                <w:sz w:val="24"/>
                <w:szCs w:val="24"/>
              </w:rPr>
            </w:pPr>
            <w:bookmarkStart w:id="1" w:name="_Hlk129065519"/>
            <w:r w:rsidRPr="00171A13">
              <w:rPr>
                <w:rFonts w:ascii="Calibri" w:eastAsia="Times New Roman" w:hAnsi="Calibri" w:cs="Times New Roman"/>
                <w:b/>
                <w:bCs/>
                <w:color w:val="000000"/>
                <w:sz w:val="24"/>
                <w:szCs w:val="24"/>
              </w:rPr>
              <w:t>1</w:t>
            </w:r>
            <w:r w:rsidR="000F507F" w:rsidRPr="00171A13">
              <w:rPr>
                <w:rFonts w:ascii="Calibri" w:eastAsia="Times New Roman" w:hAnsi="Calibri" w:cs="Times New Roman"/>
                <w:b/>
                <w:bCs/>
                <w:color w:val="000000"/>
                <w:sz w:val="24"/>
                <w:szCs w:val="24"/>
              </w:rPr>
              <w:t>,</w:t>
            </w:r>
            <w:r w:rsidRPr="00171A13">
              <w:rPr>
                <w:rFonts w:ascii="Calibri" w:eastAsia="Times New Roman" w:hAnsi="Calibri" w:cs="Times New Roman"/>
                <w:b/>
                <w:bCs/>
                <w:color w:val="000000"/>
                <w:sz w:val="24"/>
                <w:szCs w:val="24"/>
              </w:rPr>
              <w:t>745.90</w:t>
            </w:r>
            <w:bookmarkEnd w:id="1"/>
          </w:p>
        </w:tc>
      </w:tr>
    </w:tbl>
    <w:p w14:paraId="4FB16D7C" w14:textId="72978CEB" w:rsidR="00D32D57" w:rsidRPr="00171A13" w:rsidRDefault="00390D7C" w:rsidP="003632A1">
      <w:pPr>
        <w:spacing w:before="120" w:after="0" w:line="360" w:lineRule="auto"/>
        <w:rPr>
          <w:sz w:val="24"/>
          <w:szCs w:val="24"/>
        </w:rPr>
      </w:pPr>
      <w:r>
        <w:rPr>
          <w:sz w:val="24"/>
          <w:szCs w:val="24"/>
        </w:rPr>
        <w:t>Note: Not available.</w:t>
      </w:r>
    </w:p>
    <w:p w14:paraId="0336BB52" w14:textId="77777777" w:rsidR="00D32D57" w:rsidRPr="005A7FF0" w:rsidRDefault="00D32D57" w:rsidP="003632A1">
      <w:pPr>
        <w:spacing w:before="120" w:after="0" w:line="360" w:lineRule="auto"/>
        <w:rPr>
          <w:sz w:val="24"/>
          <w:szCs w:val="24"/>
        </w:rPr>
      </w:pPr>
    </w:p>
    <w:p w14:paraId="002B7311" w14:textId="77777777" w:rsidR="00D32D57" w:rsidRPr="005A7FF0" w:rsidRDefault="00D32D57" w:rsidP="003632A1">
      <w:pPr>
        <w:spacing w:before="120" w:after="0" w:line="360" w:lineRule="auto"/>
        <w:rPr>
          <w:sz w:val="24"/>
          <w:szCs w:val="24"/>
        </w:rPr>
      </w:pPr>
    </w:p>
    <w:p w14:paraId="3E4D376A" w14:textId="11979B3F" w:rsidR="00D32D57" w:rsidRPr="005A7FF0" w:rsidRDefault="00D32D57" w:rsidP="003632A1">
      <w:pPr>
        <w:spacing w:before="120" w:after="0" w:line="360" w:lineRule="auto"/>
        <w:rPr>
          <w:sz w:val="24"/>
          <w:szCs w:val="24"/>
        </w:rPr>
        <w:sectPr w:rsidR="00D32D57" w:rsidRPr="005A7FF0" w:rsidSect="00E90FA7">
          <w:pgSz w:w="15840" w:h="12240" w:orient="landscape"/>
          <w:pgMar w:top="1440" w:right="1440" w:bottom="1440" w:left="1440" w:header="720" w:footer="720" w:gutter="0"/>
          <w:cols w:space="720"/>
          <w:docGrid w:linePitch="360"/>
        </w:sectPr>
      </w:pPr>
    </w:p>
    <w:p w14:paraId="26ED4575" w14:textId="7E0450E2" w:rsidR="00C143B7" w:rsidRPr="005A7FF0" w:rsidRDefault="00C143B7" w:rsidP="003632A1">
      <w:pPr>
        <w:spacing w:before="120" w:after="0" w:line="360" w:lineRule="auto"/>
        <w:rPr>
          <w:sz w:val="28"/>
          <w:szCs w:val="28"/>
        </w:rPr>
      </w:pPr>
      <w:r w:rsidRPr="005A7FF0">
        <w:rPr>
          <w:sz w:val="28"/>
          <w:szCs w:val="28"/>
        </w:rPr>
        <w:lastRenderedPageBreak/>
        <w:t>3.3 Midpoint impact results at the landscape level</w:t>
      </w:r>
    </w:p>
    <w:p w14:paraId="069FE1CB" w14:textId="5E743F6D" w:rsidR="00C143B7" w:rsidRPr="005A7FF0" w:rsidRDefault="00C143B7" w:rsidP="003632A1">
      <w:pPr>
        <w:spacing w:before="120" w:after="0" w:line="360" w:lineRule="auto"/>
        <w:rPr>
          <w:sz w:val="24"/>
          <w:szCs w:val="24"/>
        </w:rPr>
      </w:pPr>
      <w:r w:rsidRPr="005A7FF0">
        <w:rPr>
          <w:sz w:val="24"/>
          <w:szCs w:val="24"/>
        </w:rPr>
        <w:t>To appreciate the environmental costs of these products at the landscape level, the total external costs per total area planted were estimated (Table 5). In the case of palm oil, it was assumed that all area was either planted under deforestation or no deforestation, which clearly is not realistic, but it was done to provide a range for these costs. The external cost per ton was also calculated as a check. In the case of rapeseed, the estimate is realistic since land use is relatively homogenous in Saskatchewan. The landscape costs there more than $12.6 billion per year, a substantial sum. Assuming all planted area was done under deforestation, the external cost for palm oil will be more than $22.5 billion. However, if all</w:t>
      </w:r>
      <w:r w:rsidR="00E33CBD">
        <w:rPr>
          <w:sz w:val="24"/>
          <w:szCs w:val="24"/>
        </w:rPr>
        <w:t xml:space="preserve"> production</w:t>
      </w:r>
      <w:r w:rsidRPr="005A7FF0">
        <w:rPr>
          <w:sz w:val="24"/>
          <w:szCs w:val="24"/>
        </w:rPr>
        <w:t xml:space="preserve"> </w:t>
      </w:r>
      <w:r w:rsidR="000F50EF" w:rsidRPr="005A7FF0">
        <w:rPr>
          <w:sz w:val="24"/>
          <w:szCs w:val="24"/>
        </w:rPr>
        <w:t>were</w:t>
      </w:r>
      <w:r w:rsidRPr="005A7FF0">
        <w:rPr>
          <w:sz w:val="24"/>
          <w:szCs w:val="24"/>
        </w:rPr>
        <w:t xml:space="preserve"> done under no deforestation, the cost would be about $5.4 billion.</w:t>
      </w:r>
      <w:r w:rsidR="000420C5" w:rsidRPr="005A7FF0">
        <w:rPr>
          <w:sz w:val="24"/>
          <w:szCs w:val="24"/>
        </w:rPr>
        <w:t xml:space="preserve"> The value of the externalities is much higher than the market value of oil production.</w:t>
      </w:r>
    </w:p>
    <w:p w14:paraId="400EC9A7" w14:textId="60F80BE5" w:rsidR="00BA1765" w:rsidRPr="005A7FF0" w:rsidRDefault="0070396A" w:rsidP="003632A1">
      <w:pPr>
        <w:spacing w:before="120" w:after="0" w:line="360" w:lineRule="auto"/>
        <w:rPr>
          <w:sz w:val="24"/>
          <w:szCs w:val="24"/>
        </w:rPr>
      </w:pPr>
      <w:r w:rsidRPr="005A7FF0">
        <w:rPr>
          <w:sz w:val="24"/>
          <w:szCs w:val="24"/>
        </w:rPr>
        <w:t xml:space="preserve">Table 5. </w:t>
      </w:r>
      <w:r w:rsidR="00B318AA" w:rsidRPr="005A7FF0">
        <w:rPr>
          <w:sz w:val="24"/>
          <w:szCs w:val="24"/>
        </w:rPr>
        <w:t>Estimates</w:t>
      </w:r>
      <w:r w:rsidRPr="005A7FF0">
        <w:rPr>
          <w:sz w:val="24"/>
          <w:szCs w:val="24"/>
        </w:rPr>
        <w:t xml:space="preserve"> of external cost at landscape level</w:t>
      </w:r>
    </w:p>
    <w:tbl>
      <w:tblPr>
        <w:tblW w:w="9142" w:type="dxa"/>
        <w:tblLook w:val="04A0" w:firstRow="1" w:lastRow="0" w:firstColumn="1" w:lastColumn="0" w:noHBand="0" w:noVBand="1"/>
      </w:tblPr>
      <w:tblGrid>
        <w:gridCol w:w="3220"/>
        <w:gridCol w:w="1974"/>
        <w:gridCol w:w="1974"/>
        <w:gridCol w:w="1974"/>
      </w:tblGrid>
      <w:tr w:rsidR="0070396A" w:rsidRPr="005A7FF0" w14:paraId="398FC5D4" w14:textId="77777777" w:rsidTr="0070396A">
        <w:trPr>
          <w:trHeight w:val="600"/>
        </w:trPr>
        <w:tc>
          <w:tcPr>
            <w:tcW w:w="3220" w:type="dxa"/>
            <w:tcBorders>
              <w:top w:val="single" w:sz="4" w:space="0" w:color="auto"/>
              <w:left w:val="single" w:sz="4" w:space="0" w:color="auto"/>
              <w:bottom w:val="single" w:sz="4" w:space="0" w:color="auto"/>
              <w:right w:val="single" w:sz="4" w:space="0" w:color="auto"/>
            </w:tcBorders>
            <w:shd w:val="clear" w:color="auto" w:fill="auto"/>
            <w:noWrap/>
            <w:hideMark/>
          </w:tcPr>
          <w:p w14:paraId="21286284" w14:textId="77777777" w:rsidR="0070396A" w:rsidRPr="005A7FF0" w:rsidRDefault="0070396A"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1974" w:type="dxa"/>
            <w:tcBorders>
              <w:top w:val="single" w:sz="4" w:space="0" w:color="auto"/>
              <w:left w:val="nil"/>
              <w:bottom w:val="single" w:sz="4" w:space="0" w:color="auto"/>
              <w:right w:val="single" w:sz="4" w:space="0" w:color="auto"/>
            </w:tcBorders>
            <w:shd w:val="clear" w:color="auto" w:fill="auto"/>
            <w:hideMark/>
          </w:tcPr>
          <w:p w14:paraId="255832A7"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Rapeseed</w:t>
            </w:r>
          </w:p>
        </w:tc>
        <w:tc>
          <w:tcPr>
            <w:tcW w:w="1974" w:type="dxa"/>
            <w:tcBorders>
              <w:top w:val="single" w:sz="4" w:space="0" w:color="auto"/>
              <w:left w:val="nil"/>
              <w:bottom w:val="single" w:sz="4" w:space="0" w:color="auto"/>
              <w:right w:val="single" w:sz="4" w:space="0" w:color="auto"/>
            </w:tcBorders>
            <w:shd w:val="clear" w:color="auto" w:fill="auto"/>
            <w:hideMark/>
          </w:tcPr>
          <w:p w14:paraId="439BFC32"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Palm oil deforestation</w:t>
            </w:r>
          </w:p>
        </w:tc>
        <w:tc>
          <w:tcPr>
            <w:tcW w:w="1974" w:type="dxa"/>
            <w:tcBorders>
              <w:top w:val="single" w:sz="4" w:space="0" w:color="auto"/>
              <w:left w:val="nil"/>
              <w:bottom w:val="single" w:sz="4" w:space="0" w:color="auto"/>
              <w:right w:val="single" w:sz="4" w:space="0" w:color="auto"/>
            </w:tcBorders>
            <w:shd w:val="clear" w:color="auto" w:fill="auto"/>
            <w:hideMark/>
          </w:tcPr>
          <w:p w14:paraId="5226E799"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Palm oil no deforestation</w:t>
            </w:r>
          </w:p>
        </w:tc>
      </w:tr>
      <w:tr w:rsidR="0070396A" w:rsidRPr="005A7FF0" w14:paraId="1F4923C2" w14:textId="77777777" w:rsidTr="0070396A">
        <w:trPr>
          <w:trHeight w:val="300"/>
        </w:trPr>
        <w:tc>
          <w:tcPr>
            <w:tcW w:w="3220" w:type="dxa"/>
            <w:tcBorders>
              <w:top w:val="nil"/>
              <w:left w:val="single" w:sz="4" w:space="0" w:color="auto"/>
              <w:bottom w:val="single" w:sz="4" w:space="0" w:color="auto"/>
              <w:right w:val="single" w:sz="4" w:space="0" w:color="auto"/>
            </w:tcBorders>
            <w:shd w:val="clear" w:color="auto" w:fill="auto"/>
            <w:noWrap/>
            <w:hideMark/>
          </w:tcPr>
          <w:p w14:paraId="5BA52969" w14:textId="77777777" w:rsidR="0070396A" w:rsidRPr="005A7FF0" w:rsidRDefault="0070396A"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Cost/ha Int US$ 2021</w:t>
            </w:r>
          </w:p>
        </w:tc>
        <w:tc>
          <w:tcPr>
            <w:tcW w:w="1974" w:type="dxa"/>
            <w:tcBorders>
              <w:top w:val="nil"/>
              <w:left w:val="nil"/>
              <w:bottom w:val="single" w:sz="4" w:space="0" w:color="auto"/>
              <w:right w:val="single" w:sz="4" w:space="0" w:color="auto"/>
            </w:tcBorders>
            <w:shd w:val="clear" w:color="auto" w:fill="auto"/>
            <w:noWrap/>
            <w:hideMark/>
          </w:tcPr>
          <w:p w14:paraId="6A32815A" w14:textId="3D6C4AFF"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2,755</w:t>
            </w:r>
          </w:p>
        </w:tc>
        <w:tc>
          <w:tcPr>
            <w:tcW w:w="1974" w:type="dxa"/>
            <w:tcBorders>
              <w:top w:val="nil"/>
              <w:left w:val="nil"/>
              <w:bottom w:val="single" w:sz="4" w:space="0" w:color="auto"/>
              <w:right w:val="single" w:sz="4" w:space="0" w:color="auto"/>
            </w:tcBorders>
            <w:shd w:val="clear" w:color="auto" w:fill="auto"/>
            <w:noWrap/>
            <w:hideMark/>
          </w:tcPr>
          <w:p w14:paraId="2E993C3A" w14:textId="7E85E236"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7,198</w:t>
            </w:r>
          </w:p>
        </w:tc>
        <w:tc>
          <w:tcPr>
            <w:tcW w:w="1974" w:type="dxa"/>
            <w:tcBorders>
              <w:top w:val="nil"/>
              <w:left w:val="nil"/>
              <w:bottom w:val="single" w:sz="4" w:space="0" w:color="auto"/>
              <w:right w:val="single" w:sz="4" w:space="0" w:color="auto"/>
            </w:tcBorders>
            <w:shd w:val="clear" w:color="auto" w:fill="auto"/>
            <w:noWrap/>
            <w:hideMark/>
          </w:tcPr>
          <w:p w14:paraId="47A85170" w14:textId="7144400E"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1,746</w:t>
            </w:r>
          </w:p>
        </w:tc>
      </w:tr>
      <w:tr w:rsidR="0070396A" w:rsidRPr="005A7FF0" w14:paraId="2C0309BA" w14:textId="77777777" w:rsidTr="0070396A">
        <w:trPr>
          <w:trHeight w:val="300"/>
        </w:trPr>
        <w:tc>
          <w:tcPr>
            <w:tcW w:w="3220" w:type="dxa"/>
            <w:tcBorders>
              <w:top w:val="nil"/>
              <w:left w:val="single" w:sz="4" w:space="0" w:color="auto"/>
              <w:bottom w:val="single" w:sz="4" w:space="0" w:color="auto"/>
              <w:right w:val="single" w:sz="4" w:space="0" w:color="auto"/>
            </w:tcBorders>
            <w:shd w:val="clear" w:color="auto" w:fill="auto"/>
            <w:noWrap/>
            <w:hideMark/>
          </w:tcPr>
          <w:p w14:paraId="53ED9CCC" w14:textId="77777777" w:rsidR="0070396A" w:rsidRPr="005A7FF0" w:rsidRDefault="0070396A"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Area planted</w:t>
            </w:r>
          </w:p>
        </w:tc>
        <w:tc>
          <w:tcPr>
            <w:tcW w:w="1974" w:type="dxa"/>
            <w:tcBorders>
              <w:top w:val="nil"/>
              <w:left w:val="nil"/>
              <w:bottom w:val="single" w:sz="4" w:space="0" w:color="auto"/>
              <w:right w:val="single" w:sz="4" w:space="0" w:color="auto"/>
            </w:tcBorders>
            <w:shd w:val="clear" w:color="auto" w:fill="auto"/>
            <w:noWrap/>
            <w:vAlign w:val="bottom"/>
            <w:hideMark/>
          </w:tcPr>
          <w:p w14:paraId="5DA51759"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4,588,800</w:t>
            </w:r>
          </w:p>
        </w:tc>
        <w:tc>
          <w:tcPr>
            <w:tcW w:w="1974" w:type="dxa"/>
            <w:tcBorders>
              <w:top w:val="nil"/>
              <w:left w:val="nil"/>
              <w:bottom w:val="single" w:sz="4" w:space="0" w:color="auto"/>
              <w:right w:val="single" w:sz="4" w:space="0" w:color="auto"/>
            </w:tcBorders>
            <w:shd w:val="clear" w:color="auto" w:fill="auto"/>
            <w:noWrap/>
            <w:vAlign w:val="bottom"/>
            <w:hideMark/>
          </w:tcPr>
          <w:p w14:paraId="217D97FC"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3,127,574</w:t>
            </w:r>
          </w:p>
        </w:tc>
        <w:tc>
          <w:tcPr>
            <w:tcW w:w="1974" w:type="dxa"/>
            <w:tcBorders>
              <w:top w:val="nil"/>
              <w:left w:val="nil"/>
              <w:bottom w:val="single" w:sz="4" w:space="0" w:color="auto"/>
              <w:right w:val="single" w:sz="4" w:space="0" w:color="auto"/>
            </w:tcBorders>
            <w:shd w:val="clear" w:color="auto" w:fill="auto"/>
            <w:noWrap/>
            <w:vAlign w:val="bottom"/>
            <w:hideMark/>
          </w:tcPr>
          <w:p w14:paraId="6A3C728A"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3,127,574</w:t>
            </w:r>
          </w:p>
        </w:tc>
      </w:tr>
      <w:tr w:rsidR="0070396A" w:rsidRPr="005A7FF0" w14:paraId="1CA7ADDE" w14:textId="77777777" w:rsidTr="0070396A">
        <w:trPr>
          <w:trHeight w:val="300"/>
        </w:trPr>
        <w:tc>
          <w:tcPr>
            <w:tcW w:w="3220" w:type="dxa"/>
            <w:tcBorders>
              <w:top w:val="nil"/>
              <w:left w:val="single" w:sz="4" w:space="0" w:color="auto"/>
              <w:bottom w:val="single" w:sz="4" w:space="0" w:color="auto"/>
              <w:right w:val="single" w:sz="4" w:space="0" w:color="auto"/>
            </w:tcBorders>
            <w:shd w:val="clear" w:color="auto" w:fill="auto"/>
            <w:noWrap/>
            <w:hideMark/>
          </w:tcPr>
          <w:p w14:paraId="0B98E623" w14:textId="6EEA9C96" w:rsidR="0070396A" w:rsidRPr="005A7FF0" w:rsidRDefault="0070396A"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External cost (US</w:t>
            </w:r>
            <w:r w:rsidR="00A624C1" w:rsidRPr="005A7FF0">
              <w:rPr>
                <w:rFonts w:ascii="Calibri" w:eastAsia="Times New Roman" w:hAnsi="Calibri" w:cs="Calibri"/>
                <w:color w:val="000000"/>
                <w:sz w:val="24"/>
                <w:szCs w:val="24"/>
              </w:rPr>
              <w:t>$</w:t>
            </w:r>
            <w:r w:rsidRPr="005A7FF0">
              <w:rPr>
                <w:rFonts w:ascii="Calibri" w:eastAsia="Times New Roman" w:hAnsi="Calibri" w:cs="Calibri"/>
                <w:color w:val="000000"/>
                <w:sz w:val="24"/>
                <w:szCs w:val="24"/>
              </w:rPr>
              <w:t xml:space="preserve"> 2021)</w:t>
            </w:r>
          </w:p>
        </w:tc>
        <w:tc>
          <w:tcPr>
            <w:tcW w:w="1974" w:type="dxa"/>
            <w:tcBorders>
              <w:top w:val="nil"/>
              <w:left w:val="nil"/>
              <w:bottom w:val="single" w:sz="4" w:space="0" w:color="auto"/>
              <w:right w:val="single" w:sz="4" w:space="0" w:color="auto"/>
            </w:tcBorders>
            <w:shd w:val="clear" w:color="auto" w:fill="auto"/>
            <w:noWrap/>
            <w:hideMark/>
          </w:tcPr>
          <w:p w14:paraId="03C17DB9" w14:textId="625A3E76"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12,642,849,647</w:t>
            </w:r>
          </w:p>
        </w:tc>
        <w:tc>
          <w:tcPr>
            <w:tcW w:w="1974" w:type="dxa"/>
            <w:tcBorders>
              <w:top w:val="nil"/>
              <w:left w:val="nil"/>
              <w:bottom w:val="single" w:sz="4" w:space="0" w:color="auto"/>
              <w:right w:val="single" w:sz="4" w:space="0" w:color="auto"/>
            </w:tcBorders>
            <w:shd w:val="clear" w:color="auto" w:fill="auto"/>
            <w:noWrap/>
            <w:hideMark/>
          </w:tcPr>
          <w:p w14:paraId="3100CDBE" w14:textId="1C7114FE"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22,511,232,160</w:t>
            </w:r>
          </w:p>
        </w:tc>
        <w:tc>
          <w:tcPr>
            <w:tcW w:w="1974" w:type="dxa"/>
            <w:tcBorders>
              <w:top w:val="nil"/>
              <w:left w:val="nil"/>
              <w:bottom w:val="single" w:sz="4" w:space="0" w:color="auto"/>
              <w:right w:val="single" w:sz="4" w:space="0" w:color="auto"/>
            </w:tcBorders>
            <w:shd w:val="clear" w:color="auto" w:fill="auto"/>
            <w:noWrap/>
            <w:hideMark/>
          </w:tcPr>
          <w:p w14:paraId="06E1B9F5" w14:textId="393F0B59"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5,460,442,034</w:t>
            </w:r>
          </w:p>
        </w:tc>
      </w:tr>
      <w:tr w:rsidR="0070396A" w:rsidRPr="005A7FF0" w14:paraId="6AF51BE9" w14:textId="77777777" w:rsidTr="0070396A">
        <w:trPr>
          <w:trHeight w:val="300"/>
        </w:trPr>
        <w:tc>
          <w:tcPr>
            <w:tcW w:w="3220" w:type="dxa"/>
            <w:tcBorders>
              <w:top w:val="nil"/>
              <w:left w:val="single" w:sz="4" w:space="0" w:color="auto"/>
              <w:bottom w:val="single" w:sz="4" w:space="0" w:color="auto"/>
              <w:right w:val="single" w:sz="4" w:space="0" w:color="auto"/>
            </w:tcBorders>
            <w:shd w:val="clear" w:color="auto" w:fill="auto"/>
            <w:noWrap/>
            <w:hideMark/>
          </w:tcPr>
          <w:p w14:paraId="67C5EA86" w14:textId="77777777" w:rsidR="0070396A" w:rsidRPr="005A7FF0" w:rsidRDefault="0070396A"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Production seed/FFB (ton)</w:t>
            </w:r>
          </w:p>
        </w:tc>
        <w:tc>
          <w:tcPr>
            <w:tcW w:w="1974" w:type="dxa"/>
            <w:tcBorders>
              <w:top w:val="nil"/>
              <w:left w:val="nil"/>
              <w:bottom w:val="single" w:sz="4" w:space="0" w:color="auto"/>
              <w:right w:val="single" w:sz="4" w:space="0" w:color="auto"/>
            </w:tcBorders>
            <w:shd w:val="clear" w:color="auto" w:fill="auto"/>
            <w:vAlign w:val="center"/>
            <w:hideMark/>
          </w:tcPr>
          <w:p w14:paraId="2EC2FE75"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10,967,900</w:t>
            </w:r>
          </w:p>
        </w:tc>
        <w:tc>
          <w:tcPr>
            <w:tcW w:w="1974" w:type="dxa"/>
            <w:tcBorders>
              <w:top w:val="nil"/>
              <w:left w:val="nil"/>
              <w:bottom w:val="single" w:sz="4" w:space="0" w:color="auto"/>
              <w:right w:val="single" w:sz="4" w:space="0" w:color="auto"/>
            </w:tcBorders>
            <w:shd w:val="clear" w:color="auto" w:fill="auto"/>
            <w:vAlign w:val="center"/>
            <w:hideMark/>
          </w:tcPr>
          <w:p w14:paraId="09A897F0"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43,683,303</w:t>
            </w:r>
          </w:p>
        </w:tc>
        <w:tc>
          <w:tcPr>
            <w:tcW w:w="1974" w:type="dxa"/>
            <w:tcBorders>
              <w:top w:val="nil"/>
              <w:left w:val="nil"/>
              <w:bottom w:val="single" w:sz="4" w:space="0" w:color="auto"/>
              <w:right w:val="single" w:sz="4" w:space="0" w:color="auto"/>
            </w:tcBorders>
            <w:shd w:val="clear" w:color="auto" w:fill="auto"/>
            <w:vAlign w:val="center"/>
            <w:hideMark/>
          </w:tcPr>
          <w:p w14:paraId="23D985F7"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43,683,303</w:t>
            </w:r>
          </w:p>
        </w:tc>
      </w:tr>
      <w:tr w:rsidR="0070396A" w:rsidRPr="005A7FF0" w14:paraId="419C86BE" w14:textId="77777777" w:rsidTr="008A0CC6">
        <w:trPr>
          <w:trHeight w:val="300"/>
        </w:trPr>
        <w:tc>
          <w:tcPr>
            <w:tcW w:w="3220" w:type="dxa"/>
            <w:tcBorders>
              <w:top w:val="nil"/>
              <w:left w:val="single" w:sz="4" w:space="0" w:color="auto"/>
              <w:bottom w:val="single" w:sz="4" w:space="0" w:color="auto"/>
              <w:right w:val="single" w:sz="4" w:space="0" w:color="auto"/>
            </w:tcBorders>
            <w:shd w:val="clear" w:color="auto" w:fill="auto"/>
            <w:noWrap/>
            <w:hideMark/>
          </w:tcPr>
          <w:p w14:paraId="583CA8E9" w14:textId="77777777" w:rsidR="0070396A" w:rsidRPr="005A7FF0" w:rsidRDefault="0070396A"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Production oil (ton)</w:t>
            </w:r>
          </w:p>
        </w:tc>
        <w:tc>
          <w:tcPr>
            <w:tcW w:w="1974" w:type="dxa"/>
            <w:tcBorders>
              <w:top w:val="nil"/>
              <w:left w:val="nil"/>
              <w:bottom w:val="single" w:sz="4" w:space="0" w:color="auto"/>
              <w:right w:val="single" w:sz="4" w:space="0" w:color="auto"/>
            </w:tcBorders>
            <w:shd w:val="clear" w:color="auto" w:fill="auto"/>
            <w:vAlign w:val="center"/>
            <w:hideMark/>
          </w:tcPr>
          <w:p w14:paraId="2A28E8CF"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4,811,618</w:t>
            </w:r>
          </w:p>
        </w:tc>
        <w:tc>
          <w:tcPr>
            <w:tcW w:w="1974" w:type="dxa"/>
            <w:tcBorders>
              <w:top w:val="nil"/>
              <w:left w:val="nil"/>
              <w:bottom w:val="single" w:sz="4" w:space="0" w:color="auto"/>
              <w:right w:val="single" w:sz="4" w:space="0" w:color="auto"/>
            </w:tcBorders>
            <w:shd w:val="clear" w:color="auto" w:fill="auto"/>
            <w:vAlign w:val="center"/>
            <w:hideMark/>
          </w:tcPr>
          <w:p w14:paraId="7E7811D4"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8,701,714</w:t>
            </w:r>
          </w:p>
        </w:tc>
        <w:tc>
          <w:tcPr>
            <w:tcW w:w="1974" w:type="dxa"/>
            <w:tcBorders>
              <w:top w:val="nil"/>
              <w:left w:val="nil"/>
              <w:bottom w:val="single" w:sz="4" w:space="0" w:color="auto"/>
              <w:right w:val="single" w:sz="4" w:space="0" w:color="auto"/>
            </w:tcBorders>
            <w:shd w:val="clear" w:color="auto" w:fill="auto"/>
            <w:vAlign w:val="center"/>
            <w:hideMark/>
          </w:tcPr>
          <w:p w14:paraId="5F5100E7" w14:textId="77777777" w:rsidR="0070396A" w:rsidRPr="005A7FF0" w:rsidRDefault="0070396A"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8,701,714</w:t>
            </w:r>
          </w:p>
        </w:tc>
      </w:tr>
      <w:tr w:rsidR="00A624C1" w:rsidRPr="005A7FF0" w14:paraId="3AE990E5" w14:textId="77777777" w:rsidTr="00432CBB">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tcPr>
          <w:p w14:paraId="2CEA0549" w14:textId="6600B210" w:rsidR="00A624C1" w:rsidRPr="005A7FF0" w:rsidRDefault="00A624C1" w:rsidP="003632A1">
            <w:pPr>
              <w:spacing w:after="0" w:line="360" w:lineRule="auto"/>
              <w:rPr>
                <w:rFonts w:ascii="Calibri" w:eastAsia="Times New Roman" w:hAnsi="Calibri" w:cs="Calibri"/>
                <w:color w:val="000000"/>
                <w:sz w:val="24"/>
                <w:szCs w:val="24"/>
              </w:rPr>
            </w:pPr>
            <w:r w:rsidRPr="005A7FF0">
              <w:rPr>
                <w:rFonts w:ascii="Calibri" w:hAnsi="Calibri" w:cs="Calibri"/>
                <w:color w:val="000000"/>
                <w:sz w:val="24"/>
                <w:szCs w:val="24"/>
              </w:rPr>
              <w:t>Cost/ton US $</w:t>
            </w:r>
            <w:r w:rsidR="000420C5" w:rsidRPr="005A7FF0">
              <w:rPr>
                <w:rFonts w:ascii="Calibri" w:hAnsi="Calibri" w:cs="Calibri"/>
                <w:color w:val="000000"/>
                <w:sz w:val="24"/>
                <w:szCs w:val="24"/>
                <w:vertAlign w:val="superscript"/>
              </w:rPr>
              <w:t>1</w:t>
            </w:r>
          </w:p>
        </w:tc>
        <w:tc>
          <w:tcPr>
            <w:tcW w:w="1974" w:type="dxa"/>
            <w:tcBorders>
              <w:top w:val="single" w:sz="4" w:space="0" w:color="auto"/>
              <w:left w:val="nil"/>
              <w:bottom w:val="single" w:sz="4" w:space="0" w:color="auto"/>
              <w:right w:val="single" w:sz="4" w:space="0" w:color="auto"/>
            </w:tcBorders>
            <w:shd w:val="clear" w:color="auto" w:fill="auto"/>
          </w:tcPr>
          <w:p w14:paraId="28D98854" w14:textId="469E8ED3"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2.63</w:t>
            </w:r>
          </w:p>
        </w:tc>
        <w:tc>
          <w:tcPr>
            <w:tcW w:w="1974" w:type="dxa"/>
            <w:tcBorders>
              <w:top w:val="single" w:sz="4" w:space="0" w:color="auto"/>
              <w:left w:val="nil"/>
              <w:bottom w:val="single" w:sz="4" w:space="0" w:color="auto"/>
              <w:right w:val="single" w:sz="4" w:space="0" w:color="auto"/>
            </w:tcBorders>
            <w:shd w:val="clear" w:color="auto" w:fill="auto"/>
          </w:tcPr>
          <w:p w14:paraId="3C4FCAF1" w14:textId="4BD9FEFB"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2.59</w:t>
            </w:r>
          </w:p>
        </w:tc>
        <w:tc>
          <w:tcPr>
            <w:tcW w:w="1974" w:type="dxa"/>
            <w:tcBorders>
              <w:top w:val="single" w:sz="4" w:space="0" w:color="auto"/>
              <w:left w:val="nil"/>
              <w:bottom w:val="single" w:sz="4" w:space="0" w:color="auto"/>
              <w:right w:val="single" w:sz="4" w:space="0" w:color="auto"/>
            </w:tcBorders>
            <w:shd w:val="clear" w:color="auto" w:fill="auto"/>
          </w:tcPr>
          <w:p w14:paraId="5C2963E1" w14:textId="0517C438"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0.63</w:t>
            </w:r>
          </w:p>
        </w:tc>
      </w:tr>
      <w:tr w:rsidR="00A624C1" w:rsidRPr="005A7FF0" w14:paraId="41A07130" w14:textId="77777777" w:rsidTr="00432CBB">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tcPr>
          <w:p w14:paraId="153E1C66" w14:textId="00BEF814" w:rsidR="00A624C1" w:rsidRPr="005A7FF0" w:rsidRDefault="00A624C1" w:rsidP="003632A1">
            <w:pPr>
              <w:spacing w:after="0" w:line="360" w:lineRule="auto"/>
              <w:rPr>
                <w:rFonts w:ascii="Calibri" w:eastAsia="Times New Roman" w:hAnsi="Calibri" w:cs="Calibri"/>
                <w:color w:val="000000"/>
                <w:sz w:val="24"/>
                <w:szCs w:val="24"/>
              </w:rPr>
            </w:pPr>
            <w:r w:rsidRPr="005A7FF0">
              <w:rPr>
                <w:rFonts w:ascii="Calibri" w:hAnsi="Calibri" w:cs="Calibri"/>
                <w:color w:val="000000"/>
                <w:sz w:val="24"/>
                <w:szCs w:val="24"/>
              </w:rPr>
              <w:t>Price/ton of oil (2020) (local currency)</w:t>
            </w:r>
          </w:p>
        </w:tc>
        <w:tc>
          <w:tcPr>
            <w:tcW w:w="1974" w:type="dxa"/>
            <w:tcBorders>
              <w:top w:val="single" w:sz="4" w:space="0" w:color="auto"/>
              <w:left w:val="nil"/>
              <w:bottom w:val="single" w:sz="4" w:space="0" w:color="auto"/>
              <w:right w:val="single" w:sz="4" w:space="0" w:color="auto"/>
            </w:tcBorders>
            <w:shd w:val="clear" w:color="auto" w:fill="auto"/>
          </w:tcPr>
          <w:p w14:paraId="0AD426A9" w14:textId="5DACE6D7" w:rsidR="00A624C1" w:rsidRPr="005A7FF0" w:rsidRDefault="003A5CC6"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 xml:space="preserve">CAD </w:t>
            </w:r>
            <w:r w:rsidR="00A624C1" w:rsidRPr="005A7FF0">
              <w:rPr>
                <w:rFonts w:ascii="Calibri" w:hAnsi="Calibri" w:cs="Calibri"/>
                <w:color w:val="000000"/>
                <w:sz w:val="24"/>
                <w:szCs w:val="24"/>
              </w:rPr>
              <w:t>995.94</w:t>
            </w:r>
          </w:p>
        </w:tc>
        <w:tc>
          <w:tcPr>
            <w:tcW w:w="1974" w:type="dxa"/>
            <w:tcBorders>
              <w:top w:val="single" w:sz="4" w:space="0" w:color="auto"/>
              <w:left w:val="nil"/>
              <w:bottom w:val="single" w:sz="4" w:space="0" w:color="auto"/>
              <w:right w:val="single" w:sz="4" w:space="0" w:color="auto"/>
            </w:tcBorders>
            <w:shd w:val="clear" w:color="auto" w:fill="auto"/>
          </w:tcPr>
          <w:p w14:paraId="07DBDE51" w14:textId="4F98CD7F" w:rsidR="00A624C1" w:rsidRPr="005A7FF0" w:rsidRDefault="003A5CC6"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R</w:t>
            </w:r>
            <w:r w:rsidR="004E6EF2">
              <w:rPr>
                <w:rFonts w:ascii="Calibri" w:hAnsi="Calibri" w:cs="Calibri"/>
                <w:color w:val="000000"/>
                <w:sz w:val="24"/>
                <w:szCs w:val="24"/>
              </w:rPr>
              <w:t>M</w:t>
            </w:r>
            <w:r w:rsidRPr="005A7FF0">
              <w:rPr>
                <w:rFonts w:ascii="Calibri" w:hAnsi="Calibri" w:cs="Calibri"/>
                <w:color w:val="000000"/>
                <w:sz w:val="24"/>
                <w:szCs w:val="24"/>
              </w:rPr>
              <w:t xml:space="preserve"> </w:t>
            </w:r>
            <w:r w:rsidR="00A624C1" w:rsidRPr="005A7FF0">
              <w:rPr>
                <w:rFonts w:ascii="Calibri" w:hAnsi="Calibri" w:cs="Calibri"/>
                <w:color w:val="000000"/>
                <w:sz w:val="24"/>
                <w:szCs w:val="24"/>
              </w:rPr>
              <w:t>2,685.50</w:t>
            </w:r>
          </w:p>
        </w:tc>
        <w:tc>
          <w:tcPr>
            <w:tcW w:w="1974" w:type="dxa"/>
            <w:tcBorders>
              <w:top w:val="single" w:sz="4" w:space="0" w:color="auto"/>
              <w:left w:val="nil"/>
              <w:bottom w:val="single" w:sz="4" w:space="0" w:color="auto"/>
              <w:right w:val="single" w:sz="4" w:space="0" w:color="auto"/>
            </w:tcBorders>
            <w:shd w:val="clear" w:color="auto" w:fill="auto"/>
          </w:tcPr>
          <w:p w14:paraId="18EC7064" w14:textId="3410689D" w:rsidR="00A624C1" w:rsidRPr="005A7FF0" w:rsidRDefault="003A5CC6"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R</w:t>
            </w:r>
            <w:r w:rsidR="004E6EF2">
              <w:rPr>
                <w:rFonts w:ascii="Calibri" w:hAnsi="Calibri" w:cs="Calibri"/>
                <w:color w:val="000000"/>
                <w:sz w:val="24"/>
                <w:szCs w:val="24"/>
              </w:rPr>
              <w:t>M</w:t>
            </w:r>
            <w:r w:rsidRPr="005A7FF0">
              <w:rPr>
                <w:rFonts w:ascii="Calibri" w:hAnsi="Calibri" w:cs="Calibri"/>
                <w:color w:val="000000"/>
                <w:sz w:val="24"/>
                <w:szCs w:val="24"/>
              </w:rPr>
              <w:t xml:space="preserve"> </w:t>
            </w:r>
            <w:r w:rsidR="00A624C1" w:rsidRPr="005A7FF0">
              <w:rPr>
                <w:rFonts w:ascii="Calibri" w:hAnsi="Calibri" w:cs="Calibri"/>
                <w:color w:val="000000"/>
                <w:sz w:val="24"/>
                <w:szCs w:val="24"/>
              </w:rPr>
              <w:t>2,685.50</w:t>
            </w:r>
          </w:p>
        </w:tc>
      </w:tr>
      <w:tr w:rsidR="00A624C1" w:rsidRPr="005A7FF0" w14:paraId="63DED22A" w14:textId="77777777" w:rsidTr="00432CBB">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tcPr>
          <w:p w14:paraId="3DC1C8B2" w14:textId="7CCB0DB8" w:rsidR="00A624C1" w:rsidRPr="005A7FF0" w:rsidRDefault="00A624C1" w:rsidP="003632A1">
            <w:pPr>
              <w:spacing w:after="0" w:line="360" w:lineRule="auto"/>
              <w:rPr>
                <w:rFonts w:ascii="Calibri" w:eastAsia="Times New Roman" w:hAnsi="Calibri" w:cs="Calibri"/>
                <w:color w:val="000000"/>
                <w:sz w:val="24"/>
                <w:szCs w:val="24"/>
              </w:rPr>
            </w:pPr>
            <w:r w:rsidRPr="005A7FF0">
              <w:rPr>
                <w:rFonts w:ascii="Calibri" w:hAnsi="Calibri" w:cs="Calibri"/>
                <w:color w:val="000000"/>
                <w:sz w:val="24"/>
                <w:szCs w:val="24"/>
              </w:rPr>
              <w:t>Price/ton of oil (2021) (US</w:t>
            </w:r>
            <w:r w:rsidR="000420C5" w:rsidRPr="005A7FF0">
              <w:rPr>
                <w:rFonts w:ascii="Calibri" w:hAnsi="Calibri" w:cs="Calibri"/>
                <w:color w:val="000000"/>
                <w:sz w:val="24"/>
                <w:szCs w:val="24"/>
              </w:rPr>
              <w:t>$</w:t>
            </w:r>
            <w:r w:rsidRPr="005A7FF0">
              <w:rPr>
                <w:rFonts w:ascii="Calibri" w:hAnsi="Calibri" w:cs="Calibri"/>
                <w:color w:val="000000"/>
                <w:sz w:val="24"/>
                <w:szCs w:val="24"/>
              </w:rPr>
              <w:t>)</w:t>
            </w:r>
          </w:p>
        </w:tc>
        <w:tc>
          <w:tcPr>
            <w:tcW w:w="1974" w:type="dxa"/>
            <w:tcBorders>
              <w:top w:val="single" w:sz="4" w:space="0" w:color="auto"/>
              <w:left w:val="nil"/>
              <w:bottom w:val="single" w:sz="4" w:space="0" w:color="auto"/>
              <w:right w:val="single" w:sz="4" w:space="0" w:color="auto"/>
            </w:tcBorders>
            <w:shd w:val="clear" w:color="auto" w:fill="auto"/>
          </w:tcPr>
          <w:p w14:paraId="4E3D24E9" w14:textId="1BEBBCDD"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802.15</w:t>
            </w:r>
          </w:p>
        </w:tc>
        <w:tc>
          <w:tcPr>
            <w:tcW w:w="1974" w:type="dxa"/>
            <w:tcBorders>
              <w:top w:val="single" w:sz="4" w:space="0" w:color="auto"/>
              <w:left w:val="nil"/>
              <w:bottom w:val="single" w:sz="4" w:space="0" w:color="auto"/>
              <w:right w:val="single" w:sz="4" w:space="0" w:color="auto"/>
            </w:tcBorders>
            <w:shd w:val="clear" w:color="auto" w:fill="auto"/>
          </w:tcPr>
          <w:p w14:paraId="1ABDED17" w14:textId="3DB938E3"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675.64</w:t>
            </w:r>
          </w:p>
        </w:tc>
        <w:tc>
          <w:tcPr>
            <w:tcW w:w="1974" w:type="dxa"/>
            <w:tcBorders>
              <w:top w:val="single" w:sz="4" w:space="0" w:color="auto"/>
              <w:left w:val="nil"/>
              <w:bottom w:val="single" w:sz="4" w:space="0" w:color="auto"/>
              <w:right w:val="single" w:sz="4" w:space="0" w:color="auto"/>
            </w:tcBorders>
            <w:shd w:val="clear" w:color="auto" w:fill="auto"/>
          </w:tcPr>
          <w:p w14:paraId="033D5B28" w14:textId="05C824B3"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675.64</w:t>
            </w:r>
          </w:p>
        </w:tc>
      </w:tr>
      <w:tr w:rsidR="00A624C1" w:rsidRPr="005A7FF0" w14:paraId="3CB9C4DB" w14:textId="77777777" w:rsidTr="00432CBB">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tcPr>
          <w:p w14:paraId="6DE09102" w14:textId="14DA5052" w:rsidR="00A624C1" w:rsidRPr="005A7FF0" w:rsidRDefault="00A624C1" w:rsidP="003632A1">
            <w:pPr>
              <w:spacing w:after="0" w:line="360" w:lineRule="auto"/>
              <w:rPr>
                <w:rFonts w:ascii="Calibri" w:eastAsia="Times New Roman" w:hAnsi="Calibri" w:cs="Calibri"/>
                <w:color w:val="000000"/>
                <w:sz w:val="24"/>
                <w:szCs w:val="24"/>
              </w:rPr>
            </w:pPr>
            <w:r w:rsidRPr="005A7FF0">
              <w:rPr>
                <w:rFonts w:ascii="Calibri" w:hAnsi="Calibri" w:cs="Calibri"/>
                <w:color w:val="000000"/>
                <w:sz w:val="24"/>
                <w:szCs w:val="24"/>
              </w:rPr>
              <w:t>Cost/ton US$</w:t>
            </w:r>
          </w:p>
        </w:tc>
        <w:tc>
          <w:tcPr>
            <w:tcW w:w="1974" w:type="dxa"/>
            <w:tcBorders>
              <w:top w:val="single" w:sz="4" w:space="0" w:color="auto"/>
              <w:left w:val="nil"/>
              <w:bottom w:val="single" w:sz="4" w:space="0" w:color="auto"/>
              <w:right w:val="single" w:sz="4" w:space="0" w:color="auto"/>
            </w:tcBorders>
            <w:shd w:val="clear" w:color="auto" w:fill="auto"/>
          </w:tcPr>
          <w:p w14:paraId="5B27E758" w14:textId="7FAD91CE"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2.63</w:t>
            </w:r>
          </w:p>
        </w:tc>
        <w:tc>
          <w:tcPr>
            <w:tcW w:w="1974" w:type="dxa"/>
            <w:tcBorders>
              <w:top w:val="single" w:sz="4" w:space="0" w:color="auto"/>
              <w:left w:val="nil"/>
              <w:bottom w:val="single" w:sz="4" w:space="0" w:color="auto"/>
              <w:right w:val="single" w:sz="4" w:space="0" w:color="auto"/>
            </w:tcBorders>
            <w:shd w:val="clear" w:color="auto" w:fill="auto"/>
          </w:tcPr>
          <w:p w14:paraId="24E31148" w14:textId="40BF9B79"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2.59</w:t>
            </w:r>
          </w:p>
        </w:tc>
        <w:tc>
          <w:tcPr>
            <w:tcW w:w="1974" w:type="dxa"/>
            <w:tcBorders>
              <w:top w:val="single" w:sz="4" w:space="0" w:color="auto"/>
              <w:left w:val="nil"/>
              <w:bottom w:val="single" w:sz="4" w:space="0" w:color="auto"/>
              <w:right w:val="single" w:sz="4" w:space="0" w:color="auto"/>
            </w:tcBorders>
            <w:shd w:val="clear" w:color="auto" w:fill="auto"/>
          </w:tcPr>
          <w:p w14:paraId="361AC9BA" w14:textId="11BC52BE"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0.63</w:t>
            </w:r>
          </w:p>
        </w:tc>
      </w:tr>
      <w:tr w:rsidR="00A624C1" w:rsidRPr="005A7FF0" w14:paraId="7BDCDAE9" w14:textId="77777777" w:rsidTr="00233F78">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tcPr>
          <w:p w14:paraId="5ECB39EB" w14:textId="164812AA" w:rsidR="00A624C1" w:rsidRPr="005A7FF0" w:rsidRDefault="00A624C1" w:rsidP="003632A1">
            <w:pPr>
              <w:spacing w:after="0" w:line="360" w:lineRule="auto"/>
              <w:rPr>
                <w:rFonts w:ascii="Calibri" w:eastAsia="Times New Roman" w:hAnsi="Calibri" w:cs="Calibri"/>
                <w:color w:val="000000"/>
                <w:sz w:val="24"/>
                <w:szCs w:val="24"/>
              </w:rPr>
            </w:pPr>
            <w:r w:rsidRPr="005A7FF0">
              <w:rPr>
                <w:rFonts w:ascii="Calibri" w:hAnsi="Calibri" w:cs="Calibri"/>
                <w:color w:val="000000"/>
                <w:sz w:val="24"/>
                <w:szCs w:val="24"/>
              </w:rPr>
              <w:t>Value of production (US$</w:t>
            </w:r>
            <w:r w:rsidR="000420C5" w:rsidRPr="005A7FF0">
              <w:rPr>
                <w:rFonts w:ascii="Calibri" w:hAnsi="Calibri" w:cs="Calibri"/>
                <w:color w:val="000000"/>
                <w:sz w:val="24"/>
                <w:szCs w:val="24"/>
              </w:rPr>
              <w:t>)</w:t>
            </w:r>
          </w:p>
        </w:tc>
        <w:tc>
          <w:tcPr>
            <w:tcW w:w="1974" w:type="dxa"/>
            <w:tcBorders>
              <w:top w:val="single" w:sz="4" w:space="0" w:color="auto"/>
              <w:left w:val="nil"/>
              <w:bottom w:val="single" w:sz="4" w:space="0" w:color="auto"/>
              <w:right w:val="single" w:sz="4" w:space="0" w:color="auto"/>
            </w:tcBorders>
            <w:shd w:val="clear" w:color="auto" w:fill="auto"/>
          </w:tcPr>
          <w:p w14:paraId="3579D80B" w14:textId="4D7C2791"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 xml:space="preserve">3,859,661,752 </w:t>
            </w:r>
          </w:p>
        </w:tc>
        <w:tc>
          <w:tcPr>
            <w:tcW w:w="1974" w:type="dxa"/>
            <w:tcBorders>
              <w:top w:val="single" w:sz="4" w:space="0" w:color="auto"/>
              <w:left w:val="nil"/>
              <w:bottom w:val="single" w:sz="4" w:space="0" w:color="auto"/>
              <w:right w:val="single" w:sz="4" w:space="0" w:color="auto"/>
            </w:tcBorders>
            <w:shd w:val="clear" w:color="auto" w:fill="auto"/>
          </w:tcPr>
          <w:p w14:paraId="1E61F883" w14:textId="22BF5F15"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 xml:space="preserve">5,879,249,086 </w:t>
            </w:r>
          </w:p>
        </w:tc>
        <w:tc>
          <w:tcPr>
            <w:tcW w:w="1974" w:type="dxa"/>
            <w:tcBorders>
              <w:top w:val="single" w:sz="4" w:space="0" w:color="auto"/>
              <w:left w:val="nil"/>
              <w:bottom w:val="single" w:sz="4" w:space="0" w:color="auto"/>
              <w:right w:val="single" w:sz="4" w:space="0" w:color="auto"/>
            </w:tcBorders>
            <w:shd w:val="clear" w:color="auto" w:fill="auto"/>
          </w:tcPr>
          <w:p w14:paraId="2F877D40" w14:textId="1BC1F7AA" w:rsidR="00A624C1" w:rsidRPr="005A7FF0" w:rsidRDefault="00A624C1" w:rsidP="003632A1">
            <w:pPr>
              <w:spacing w:after="0" w:line="360" w:lineRule="auto"/>
              <w:jc w:val="center"/>
              <w:rPr>
                <w:rFonts w:ascii="Calibri" w:eastAsia="Times New Roman" w:hAnsi="Calibri" w:cs="Calibri"/>
                <w:color w:val="000000"/>
                <w:sz w:val="24"/>
                <w:szCs w:val="24"/>
              </w:rPr>
            </w:pPr>
            <w:r w:rsidRPr="005A7FF0">
              <w:rPr>
                <w:rFonts w:ascii="Calibri" w:hAnsi="Calibri" w:cs="Calibri"/>
                <w:color w:val="000000"/>
                <w:sz w:val="24"/>
                <w:szCs w:val="24"/>
              </w:rPr>
              <w:t xml:space="preserve">5,879,249,086 </w:t>
            </w:r>
          </w:p>
        </w:tc>
      </w:tr>
    </w:tbl>
    <w:p w14:paraId="7A83EB9A" w14:textId="668D2279" w:rsidR="0070396A" w:rsidRPr="005A7FF0" w:rsidRDefault="000420C5" w:rsidP="00BD6801">
      <w:pPr>
        <w:spacing w:before="120" w:after="0" w:line="240" w:lineRule="auto"/>
      </w:pPr>
      <w:r w:rsidRPr="005A7FF0">
        <w:rPr>
          <w:rFonts w:ascii="Calibri" w:hAnsi="Calibri" w:cs="Calibri"/>
          <w:color w:val="000000"/>
          <w:vertAlign w:val="superscript"/>
        </w:rPr>
        <w:t>1</w:t>
      </w:r>
      <w:r w:rsidRPr="005A7FF0">
        <w:t xml:space="preserve">This cost is slightly different from the one in Table 3 because it was calculated by dividing the total production by the area planted. In Table 3 is calculated based on the yield calculated by dividing the total production by area harvested. In addition, total area planted in the case of palm oil includes immature plantations that may not have produced at all. </w:t>
      </w:r>
    </w:p>
    <w:p w14:paraId="5C5C0AA1" w14:textId="77777777" w:rsidR="004D7D18" w:rsidRPr="005A7FF0" w:rsidRDefault="004D7D18" w:rsidP="003632A1">
      <w:pPr>
        <w:spacing w:before="120" w:after="0" w:line="360" w:lineRule="auto"/>
        <w:rPr>
          <w:sz w:val="24"/>
          <w:szCs w:val="24"/>
        </w:rPr>
      </w:pPr>
    </w:p>
    <w:p w14:paraId="4196FB41" w14:textId="20E06A55" w:rsidR="00BA1765" w:rsidRPr="005A7FF0" w:rsidRDefault="000A483C" w:rsidP="003632A1">
      <w:pPr>
        <w:spacing w:before="120" w:after="0" w:line="360" w:lineRule="auto"/>
        <w:rPr>
          <w:sz w:val="24"/>
          <w:szCs w:val="24"/>
        </w:rPr>
      </w:pPr>
      <w:r w:rsidRPr="005A7FF0">
        <w:rPr>
          <w:sz w:val="24"/>
          <w:szCs w:val="24"/>
        </w:rPr>
        <w:t>As indicated, it is unlikely that all area planted to palm is done in either extreme scenario, therefore external costs were estimated for combinations of both types of production conditions (Fig. 3).</w:t>
      </w:r>
      <w:r w:rsidR="005653B5" w:rsidRPr="005A7FF0">
        <w:rPr>
          <w:sz w:val="24"/>
          <w:szCs w:val="24"/>
        </w:rPr>
        <w:t xml:space="preserve"> The larger the area deforested, the larger the external costs and vice versa. It should be pointed out that with 50% deforestation, the total external costs of producing palm oil are </w:t>
      </w:r>
      <w:r w:rsidR="007A613C" w:rsidRPr="005A7FF0">
        <w:rPr>
          <w:sz w:val="24"/>
          <w:szCs w:val="24"/>
        </w:rPr>
        <w:t xml:space="preserve">roughly </w:t>
      </w:r>
      <w:r w:rsidR="005653B5" w:rsidRPr="005A7FF0">
        <w:rPr>
          <w:sz w:val="24"/>
          <w:szCs w:val="24"/>
        </w:rPr>
        <w:t>similar to those of producing rapeseed oil ($12.6 vs. 1</w:t>
      </w:r>
      <w:r w:rsidR="007A613C" w:rsidRPr="005A7FF0">
        <w:rPr>
          <w:sz w:val="24"/>
          <w:szCs w:val="24"/>
        </w:rPr>
        <w:t>4 billion).</w:t>
      </w:r>
      <w:r w:rsidR="004B0076" w:rsidRPr="005A7FF0">
        <w:rPr>
          <w:sz w:val="24"/>
          <w:szCs w:val="24"/>
        </w:rPr>
        <w:t xml:space="preserve"> Therefore, the comparison of the external costs of producing rapeseed oil vs. palm oil depends on the proportion of area deforested vs. not deforested associated with the production of the latter.</w:t>
      </w:r>
    </w:p>
    <w:p w14:paraId="1B0732E6" w14:textId="61E0D94C" w:rsidR="005653B5" w:rsidRPr="005A7FF0" w:rsidRDefault="005653B5" w:rsidP="003632A1">
      <w:pPr>
        <w:spacing w:before="120" w:after="0" w:line="360" w:lineRule="auto"/>
        <w:rPr>
          <w:sz w:val="24"/>
          <w:szCs w:val="24"/>
        </w:rPr>
      </w:pPr>
      <w:r w:rsidRPr="005A7FF0">
        <w:rPr>
          <w:noProof/>
          <w:sz w:val="24"/>
          <w:szCs w:val="24"/>
        </w:rPr>
        <w:drawing>
          <wp:inline distT="0" distB="0" distL="0" distR="0" wp14:anchorId="09FD2290" wp14:editId="4F239BA5">
            <wp:extent cx="4572000" cy="2743200"/>
            <wp:effectExtent l="0" t="0" r="0" b="0"/>
            <wp:docPr id="1" name="Chart 1">
              <a:extLst xmlns:a="http://schemas.openxmlformats.org/drawingml/2006/main">
                <a:ext uri="{FF2B5EF4-FFF2-40B4-BE49-F238E27FC236}">
                  <a16:creationId xmlns:a16="http://schemas.microsoft.com/office/drawing/2014/main" id="{F996471A-17EE-4A09-91CA-5163BF1B10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56D1FAF" w14:textId="5432355F" w:rsidR="005653B5" w:rsidRPr="005A7FF0" w:rsidRDefault="005653B5" w:rsidP="003632A1">
      <w:pPr>
        <w:spacing w:before="120" w:after="0" w:line="360" w:lineRule="auto"/>
        <w:rPr>
          <w:sz w:val="24"/>
          <w:szCs w:val="24"/>
        </w:rPr>
      </w:pPr>
      <w:r w:rsidRPr="005A7FF0">
        <w:rPr>
          <w:sz w:val="24"/>
          <w:szCs w:val="24"/>
        </w:rPr>
        <w:t>Figure 3. Scenarios of external costs of palm oil production depending on the degree of deforestation involved.</w:t>
      </w:r>
    </w:p>
    <w:p w14:paraId="406F3C47" w14:textId="2D87ED09" w:rsidR="00C143B7" w:rsidRPr="005A7FF0" w:rsidRDefault="00C143B7" w:rsidP="003632A1">
      <w:pPr>
        <w:spacing w:before="120" w:after="0" w:line="360" w:lineRule="auto"/>
        <w:rPr>
          <w:sz w:val="28"/>
          <w:szCs w:val="28"/>
        </w:rPr>
      </w:pPr>
      <w:r w:rsidRPr="005A7FF0">
        <w:rPr>
          <w:sz w:val="28"/>
          <w:szCs w:val="28"/>
        </w:rPr>
        <w:t>3.5 Land use and biodiversity</w:t>
      </w:r>
    </w:p>
    <w:p w14:paraId="340504F8" w14:textId="25E71C18" w:rsidR="00C143B7" w:rsidRPr="005A7FF0" w:rsidRDefault="00BC2839" w:rsidP="003632A1">
      <w:pPr>
        <w:spacing w:before="120" w:after="0" w:line="360" w:lineRule="auto"/>
        <w:rPr>
          <w:sz w:val="24"/>
          <w:szCs w:val="24"/>
        </w:rPr>
      </w:pPr>
      <w:r w:rsidRPr="005A7FF0">
        <w:rPr>
          <w:sz w:val="24"/>
          <w:szCs w:val="24"/>
        </w:rPr>
        <w:t>Land use and biodiversity conditions are very different between Canada and Malaysia (Table 6). In Saskatchewan most of the land has been converted to agriculture, with some remnants of grassland and forest. Natural land cover only accounts for 11% of the area</w:t>
      </w:r>
      <w:r w:rsidR="008B2E3B" w:rsidRPr="005A7FF0">
        <w:rPr>
          <w:sz w:val="24"/>
          <w:szCs w:val="24"/>
        </w:rPr>
        <w:t xml:space="preserve">. </w:t>
      </w:r>
      <w:r w:rsidRPr="005A7FF0">
        <w:rPr>
          <w:sz w:val="24"/>
          <w:szCs w:val="24"/>
        </w:rPr>
        <w:t xml:space="preserve">According to the mean MSA, only 29% of the original species remains, and 71% have been lost. In Sabah and </w:t>
      </w:r>
      <w:r w:rsidR="008B2E3B" w:rsidRPr="005A7FF0">
        <w:rPr>
          <w:sz w:val="24"/>
          <w:szCs w:val="24"/>
        </w:rPr>
        <w:t>Sarawak,</w:t>
      </w:r>
      <w:r w:rsidRPr="005A7FF0">
        <w:rPr>
          <w:sz w:val="24"/>
          <w:szCs w:val="24"/>
        </w:rPr>
        <w:t xml:space="preserve"> the situation is dramatically different. Most of the land cover is natural</w:t>
      </w:r>
      <w:r w:rsidR="008B2E3B" w:rsidRPr="005A7FF0">
        <w:rPr>
          <w:sz w:val="24"/>
          <w:szCs w:val="24"/>
        </w:rPr>
        <w:t>, predominantly forest. Agriculture only accounts</w:t>
      </w:r>
      <w:r w:rsidR="00924D2B" w:rsidRPr="005A7FF0">
        <w:rPr>
          <w:sz w:val="24"/>
          <w:szCs w:val="24"/>
        </w:rPr>
        <w:t xml:space="preserve"> for</w:t>
      </w:r>
      <w:r w:rsidR="008B2E3B" w:rsidRPr="005A7FF0">
        <w:rPr>
          <w:sz w:val="24"/>
          <w:szCs w:val="24"/>
        </w:rPr>
        <w:t xml:space="preserve"> about a fourth of the area. Therefore, there is still a high degree of intactness, with a mean MSA of between 63 and 65</w:t>
      </w:r>
      <w:r w:rsidR="001C5942" w:rsidRPr="005A7FF0">
        <w:rPr>
          <w:sz w:val="24"/>
          <w:szCs w:val="24"/>
        </w:rPr>
        <w:t>%</w:t>
      </w:r>
      <w:r w:rsidR="008B2E3B" w:rsidRPr="005A7FF0">
        <w:rPr>
          <w:sz w:val="24"/>
          <w:szCs w:val="24"/>
        </w:rPr>
        <w:t xml:space="preserve"> of the original </w:t>
      </w:r>
      <w:r w:rsidR="008B2E3B" w:rsidRPr="005A7FF0">
        <w:rPr>
          <w:sz w:val="24"/>
          <w:szCs w:val="24"/>
        </w:rPr>
        <w:lastRenderedPageBreak/>
        <w:t xml:space="preserve">species remaining. </w:t>
      </w:r>
      <w:r w:rsidR="001C5942" w:rsidRPr="005A7FF0">
        <w:rPr>
          <w:sz w:val="24"/>
          <w:szCs w:val="24"/>
        </w:rPr>
        <w:t>Species</w:t>
      </w:r>
      <w:r w:rsidR="008B2E3B" w:rsidRPr="005A7FF0">
        <w:rPr>
          <w:sz w:val="24"/>
          <w:szCs w:val="24"/>
        </w:rPr>
        <w:t xml:space="preserve"> loss</w:t>
      </w:r>
      <w:r w:rsidR="001C5942" w:rsidRPr="005A7FF0">
        <w:rPr>
          <w:sz w:val="24"/>
          <w:szCs w:val="24"/>
        </w:rPr>
        <w:t>,</w:t>
      </w:r>
      <w:r w:rsidR="008B2E3B" w:rsidRPr="005A7FF0">
        <w:rPr>
          <w:sz w:val="24"/>
          <w:szCs w:val="24"/>
        </w:rPr>
        <w:t xml:space="preserve"> however</w:t>
      </w:r>
      <w:r w:rsidR="001C5942" w:rsidRPr="005A7FF0">
        <w:rPr>
          <w:sz w:val="24"/>
          <w:szCs w:val="24"/>
        </w:rPr>
        <w:t>,</w:t>
      </w:r>
      <w:r w:rsidR="008B2E3B" w:rsidRPr="005A7FF0">
        <w:rPr>
          <w:sz w:val="24"/>
          <w:szCs w:val="24"/>
        </w:rPr>
        <w:t xml:space="preserve"> is not trivial since about a third of them have been lost.</w:t>
      </w:r>
    </w:p>
    <w:p w14:paraId="1080E098" w14:textId="5ABCD4F0" w:rsidR="00085E99" w:rsidRPr="005A7FF0" w:rsidRDefault="004C1D4D" w:rsidP="003632A1">
      <w:pPr>
        <w:spacing w:before="120" w:after="0" w:line="360" w:lineRule="auto"/>
        <w:rPr>
          <w:sz w:val="24"/>
          <w:szCs w:val="24"/>
        </w:rPr>
      </w:pPr>
      <w:r w:rsidRPr="005A7FF0">
        <w:rPr>
          <w:sz w:val="24"/>
          <w:szCs w:val="24"/>
        </w:rPr>
        <w:t xml:space="preserve">Table 6. </w:t>
      </w:r>
      <w:r w:rsidRPr="005A7FF0">
        <w:rPr>
          <w:rFonts w:ascii="Calibri" w:eastAsia="Times New Roman" w:hAnsi="Calibri" w:cs="Calibri"/>
          <w:color w:val="000000"/>
          <w:sz w:val="24"/>
          <w:szCs w:val="24"/>
        </w:rPr>
        <w:t xml:space="preserve">Summary statistics of biodiversity, land use, and land cover from the </w:t>
      </w:r>
      <w:proofErr w:type="spellStart"/>
      <w:r w:rsidRPr="005A7FF0">
        <w:rPr>
          <w:sz w:val="24"/>
          <w:szCs w:val="24"/>
        </w:rPr>
        <w:t>GLOBIOweb</w:t>
      </w:r>
      <w:proofErr w:type="spellEnd"/>
      <w:r w:rsidRPr="005A7FF0">
        <w:rPr>
          <w:sz w:val="24"/>
          <w:szCs w:val="24"/>
        </w:rPr>
        <w:t xml:space="preserve"> tool for 2020</w:t>
      </w:r>
    </w:p>
    <w:tbl>
      <w:tblPr>
        <w:tblW w:w="0" w:type="auto"/>
        <w:tblLook w:val="04A0" w:firstRow="1" w:lastRow="0" w:firstColumn="1" w:lastColumn="0" w:noHBand="0" w:noVBand="1"/>
      </w:tblPr>
      <w:tblGrid>
        <w:gridCol w:w="2692"/>
        <w:gridCol w:w="1600"/>
        <w:gridCol w:w="809"/>
        <w:gridCol w:w="1036"/>
      </w:tblGrid>
      <w:tr w:rsidR="004C1D4D" w:rsidRPr="005A7FF0" w14:paraId="3772EAF5" w14:textId="77777777" w:rsidTr="007B2A4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0CA0D"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Location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43442B8"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Canada</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469AB086" w14:textId="79E9089B"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Malaysia</w:t>
            </w:r>
          </w:p>
        </w:tc>
      </w:tr>
      <w:tr w:rsidR="004C1D4D" w:rsidRPr="005A7FF0" w14:paraId="03D304AE"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AC9085" w14:textId="1B2459BD" w:rsidR="004C1D4D" w:rsidRPr="005A7FF0" w:rsidRDefault="004C1D4D" w:rsidP="003632A1">
            <w:pPr>
              <w:spacing w:after="0" w:line="360" w:lineRule="auto"/>
              <w:rPr>
                <w:rFonts w:ascii="Calibri" w:eastAsia="Times New Roman" w:hAnsi="Calibri" w:cs="Calibri"/>
                <w:color w:val="000000"/>
                <w:sz w:val="24"/>
                <w:szCs w:val="24"/>
              </w:rPr>
            </w:pPr>
          </w:p>
        </w:tc>
        <w:tc>
          <w:tcPr>
            <w:tcW w:w="0" w:type="auto"/>
            <w:tcBorders>
              <w:top w:val="nil"/>
              <w:left w:val="nil"/>
              <w:bottom w:val="single" w:sz="4" w:space="0" w:color="auto"/>
              <w:right w:val="single" w:sz="4" w:space="0" w:color="auto"/>
            </w:tcBorders>
            <w:shd w:val="clear" w:color="auto" w:fill="auto"/>
            <w:noWrap/>
            <w:hideMark/>
          </w:tcPr>
          <w:p w14:paraId="4D311E26"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Saskatchewan</w:t>
            </w:r>
          </w:p>
        </w:tc>
        <w:tc>
          <w:tcPr>
            <w:tcW w:w="0" w:type="auto"/>
            <w:tcBorders>
              <w:top w:val="nil"/>
              <w:left w:val="nil"/>
              <w:bottom w:val="single" w:sz="4" w:space="0" w:color="auto"/>
              <w:right w:val="single" w:sz="4" w:space="0" w:color="auto"/>
            </w:tcBorders>
            <w:shd w:val="clear" w:color="auto" w:fill="auto"/>
            <w:noWrap/>
            <w:hideMark/>
          </w:tcPr>
          <w:p w14:paraId="705E7DDB"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Sabah</w:t>
            </w:r>
          </w:p>
        </w:tc>
        <w:tc>
          <w:tcPr>
            <w:tcW w:w="0" w:type="auto"/>
            <w:tcBorders>
              <w:top w:val="nil"/>
              <w:left w:val="nil"/>
              <w:bottom w:val="single" w:sz="4" w:space="0" w:color="auto"/>
              <w:right w:val="single" w:sz="4" w:space="0" w:color="auto"/>
            </w:tcBorders>
            <w:shd w:val="clear" w:color="auto" w:fill="auto"/>
            <w:noWrap/>
            <w:hideMark/>
          </w:tcPr>
          <w:p w14:paraId="740F2388"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Sarawak</w:t>
            </w:r>
          </w:p>
        </w:tc>
      </w:tr>
      <w:tr w:rsidR="004C1D4D" w:rsidRPr="005A7FF0" w14:paraId="1043B6C3"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674CD2" w14:textId="77777777" w:rsidR="004C1D4D" w:rsidRPr="005A7FF0" w:rsidRDefault="004C1D4D" w:rsidP="003632A1">
            <w:pPr>
              <w:spacing w:after="0" w:line="360" w:lineRule="auto"/>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Biodiversity</w:t>
            </w:r>
          </w:p>
        </w:tc>
        <w:tc>
          <w:tcPr>
            <w:tcW w:w="0" w:type="auto"/>
            <w:tcBorders>
              <w:top w:val="nil"/>
              <w:left w:val="nil"/>
              <w:bottom w:val="single" w:sz="4" w:space="0" w:color="auto"/>
              <w:right w:val="single" w:sz="4" w:space="0" w:color="auto"/>
            </w:tcBorders>
            <w:shd w:val="clear" w:color="auto" w:fill="auto"/>
            <w:noWrap/>
            <w:hideMark/>
          </w:tcPr>
          <w:p w14:paraId="02FAE451" w14:textId="097D0EBE" w:rsidR="004C1D4D" w:rsidRPr="005A7FF0" w:rsidRDefault="004C1D4D" w:rsidP="003632A1">
            <w:pPr>
              <w:spacing w:after="0" w:line="360" w:lineRule="auto"/>
              <w:jc w:val="center"/>
              <w:rPr>
                <w:rFonts w:ascii="Calibri" w:eastAsia="Times New Roman" w:hAnsi="Calibri" w:cs="Calibri"/>
                <w:color w:val="000000"/>
                <w:sz w:val="24"/>
                <w:szCs w:val="24"/>
              </w:rPr>
            </w:pPr>
          </w:p>
        </w:tc>
        <w:tc>
          <w:tcPr>
            <w:tcW w:w="0" w:type="auto"/>
            <w:tcBorders>
              <w:top w:val="nil"/>
              <w:left w:val="nil"/>
              <w:bottom w:val="single" w:sz="4" w:space="0" w:color="auto"/>
              <w:right w:val="single" w:sz="4" w:space="0" w:color="auto"/>
            </w:tcBorders>
            <w:shd w:val="clear" w:color="auto" w:fill="auto"/>
            <w:noWrap/>
            <w:hideMark/>
          </w:tcPr>
          <w:p w14:paraId="6E15AA99" w14:textId="1DAB49FF" w:rsidR="004C1D4D" w:rsidRPr="005A7FF0" w:rsidRDefault="004C1D4D" w:rsidP="003632A1">
            <w:pPr>
              <w:spacing w:after="0" w:line="360" w:lineRule="auto"/>
              <w:jc w:val="center"/>
              <w:rPr>
                <w:rFonts w:ascii="Calibri" w:eastAsia="Times New Roman" w:hAnsi="Calibri" w:cs="Calibri"/>
                <w:color w:val="000000"/>
                <w:sz w:val="24"/>
                <w:szCs w:val="24"/>
              </w:rPr>
            </w:pPr>
          </w:p>
        </w:tc>
        <w:tc>
          <w:tcPr>
            <w:tcW w:w="0" w:type="auto"/>
            <w:tcBorders>
              <w:top w:val="nil"/>
              <w:left w:val="nil"/>
              <w:bottom w:val="single" w:sz="4" w:space="0" w:color="auto"/>
              <w:right w:val="single" w:sz="4" w:space="0" w:color="auto"/>
            </w:tcBorders>
            <w:shd w:val="clear" w:color="auto" w:fill="auto"/>
            <w:noWrap/>
            <w:hideMark/>
          </w:tcPr>
          <w:p w14:paraId="503EB21C" w14:textId="4F426D3D" w:rsidR="004C1D4D" w:rsidRPr="005A7FF0" w:rsidRDefault="004C1D4D" w:rsidP="003632A1">
            <w:pPr>
              <w:spacing w:after="0" w:line="360" w:lineRule="auto"/>
              <w:jc w:val="center"/>
              <w:rPr>
                <w:rFonts w:ascii="Calibri" w:eastAsia="Times New Roman" w:hAnsi="Calibri" w:cs="Calibri"/>
                <w:color w:val="000000"/>
                <w:sz w:val="24"/>
                <w:szCs w:val="24"/>
              </w:rPr>
            </w:pPr>
          </w:p>
        </w:tc>
      </w:tr>
      <w:tr w:rsidR="004C1D4D" w:rsidRPr="005A7FF0" w14:paraId="72BE46D8"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C72179"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Mean MSA</w:t>
            </w:r>
          </w:p>
        </w:tc>
        <w:tc>
          <w:tcPr>
            <w:tcW w:w="0" w:type="auto"/>
            <w:tcBorders>
              <w:top w:val="nil"/>
              <w:left w:val="nil"/>
              <w:bottom w:val="single" w:sz="4" w:space="0" w:color="auto"/>
              <w:right w:val="single" w:sz="4" w:space="0" w:color="auto"/>
            </w:tcBorders>
            <w:shd w:val="clear" w:color="auto" w:fill="auto"/>
            <w:noWrap/>
            <w:vAlign w:val="bottom"/>
            <w:hideMark/>
          </w:tcPr>
          <w:p w14:paraId="425BCF23"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0.29</w:t>
            </w:r>
          </w:p>
        </w:tc>
        <w:tc>
          <w:tcPr>
            <w:tcW w:w="0" w:type="auto"/>
            <w:tcBorders>
              <w:top w:val="nil"/>
              <w:left w:val="nil"/>
              <w:bottom w:val="single" w:sz="4" w:space="0" w:color="auto"/>
              <w:right w:val="single" w:sz="4" w:space="0" w:color="auto"/>
            </w:tcBorders>
            <w:shd w:val="clear" w:color="auto" w:fill="auto"/>
            <w:noWrap/>
            <w:vAlign w:val="bottom"/>
            <w:hideMark/>
          </w:tcPr>
          <w:p w14:paraId="572643AF"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0.63</w:t>
            </w:r>
          </w:p>
        </w:tc>
        <w:tc>
          <w:tcPr>
            <w:tcW w:w="0" w:type="auto"/>
            <w:tcBorders>
              <w:top w:val="nil"/>
              <w:left w:val="nil"/>
              <w:bottom w:val="single" w:sz="4" w:space="0" w:color="auto"/>
              <w:right w:val="single" w:sz="4" w:space="0" w:color="auto"/>
            </w:tcBorders>
            <w:shd w:val="clear" w:color="auto" w:fill="auto"/>
            <w:noWrap/>
            <w:vAlign w:val="bottom"/>
            <w:hideMark/>
          </w:tcPr>
          <w:p w14:paraId="71FF85D6"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0.65</w:t>
            </w:r>
          </w:p>
        </w:tc>
      </w:tr>
      <w:tr w:rsidR="004C1D4D" w:rsidRPr="005A7FF0" w14:paraId="10495513"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B0C016"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Mean MSA loss</w:t>
            </w:r>
          </w:p>
        </w:tc>
        <w:tc>
          <w:tcPr>
            <w:tcW w:w="0" w:type="auto"/>
            <w:tcBorders>
              <w:top w:val="nil"/>
              <w:left w:val="nil"/>
              <w:bottom w:val="single" w:sz="4" w:space="0" w:color="auto"/>
              <w:right w:val="single" w:sz="4" w:space="0" w:color="auto"/>
            </w:tcBorders>
            <w:shd w:val="clear" w:color="auto" w:fill="auto"/>
            <w:noWrap/>
            <w:vAlign w:val="bottom"/>
            <w:hideMark/>
          </w:tcPr>
          <w:p w14:paraId="7FC5C9F4"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0.71</w:t>
            </w:r>
          </w:p>
        </w:tc>
        <w:tc>
          <w:tcPr>
            <w:tcW w:w="0" w:type="auto"/>
            <w:tcBorders>
              <w:top w:val="nil"/>
              <w:left w:val="nil"/>
              <w:bottom w:val="single" w:sz="4" w:space="0" w:color="auto"/>
              <w:right w:val="single" w:sz="4" w:space="0" w:color="auto"/>
            </w:tcBorders>
            <w:shd w:val="clear" w:color="auto" w:fill="auto"/>
            <w:noWrap/>
            <w:vAlign w:val="bottom"/>
            <w:hideMark/>
          </w:tcPr>
          <w:p w14:paraId="61E19E29"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0.37</w:t>
            </w:r>
          </w:p>
        </w:tc>
        <w:tc>
          <w:tcPr>
            <w:tcW w:w="0" w:type="auto"/>
            <w:tcBorders>
              <w:top w:val="nil"/>
              <w:left w:val="nil"/>
              <w:bottom w:val="single" w:sz="4" w:space="0" w:color="auto"/>
              <w:right w:val="single" w:sz="4" w:space="0" w:color="auto"/>
            </w:tcBorders>
            <w:shd w:val="clear" w:color="auto" w:fill="auto"/>
            <w:noWrap/>
            <w:vAlign w:val="bottom"/>
            <w:hideMark/>
          </w:tcPr>
          <w:p w14:paraId="277D62F0"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0.35</w:t>
            </w:r>
          </w:p>
        </w:tc>
      </w:tr>
      <w:tr w:rsidR="004C1D4D" w:rsidRPr="005A7FF0" w14:paraId="04A49AE7"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51831B"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Natural land cover (%)</w:t>
            </w:r>
          </w:p>
        </w:tc>
        <w:tc>
          <w:tcPr>
            <w:tcW w:w="0" w:type="auto"/>
            <w:tcBorders>
              <w:top w:val="nil"/>
              <w:left w:val="nil"/>
              <w:bottom w:val="single" w:sz="4" w:space="0" w:color="auto"/>
              <w:right w:val="single" w:sz="4" w:space="0" w:color="auto"/>
            </w:tcBorders>
            <w:shd w:val="clear" w:color="auto" w:fill="auto"/>
            <w:noWrap/>
            <w:vAlign w:val="bottom"/>
            <w:hideMark/>
          </w:tcPr>
          <w:p w14:paraId="1A1F8E69"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47A6FF53"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74</w:t>
            </w:r>
          </w:p>
        </w:tc>
        <w:tc>
          <w:tcPr>
            <w:tcW w:w="0" w:type="auto"/>
            <w:tcBorders>
              <w:top w:val="nil"/>
              <w:left w:val="nil"/>
              <w:bottom w:val="single" w:sz="4" w:space="0" w:color="auto"/>
              <w:right w:val="single" w:sz="4" w:space="0" w:color="auto"/>
            </w:tcBorders>
            <w:shd w:val="clear" w:color="auto" w:fill="auto"/>
            <w:noWrap/>
            <w:vAlign w:val="bottom"/>
            <w:hideMark/>
          </w:tcPr>
          <w:p w14:paraId="6C9E014B"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74</w:t>
            </w:r>
          </w:p>
        </w:tc>
      </w:tr>
      <w:tr w:rsidR="004C1D4D" w:rsidRPr="005A7FF0" w14:paraId="715BCE46"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D73EC0"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Natural forest cover (%)</w:t>
            </w:r>
          </w:p>
        </w:tc>
        <w:tc>
          <w:tcPr>
            <w:tcW w:w="0" w:type="auto"/>
            <w:tcBorders>
              <w:top w:val="nil"/>
              <w:left w:val="nil"/>
              <w:bottom w:val="single" w:sz="4" w:space="0" w:color="auto"/>
              <w:right w:val="single" w:sz="4" w:space="0" w:color="auto"/>
            </w:tcBorders>
            <w:shd w:val="clear" w:color="auto" w:fill="auto"/>
            <w:noWrap/>
            <w:vAlign w:val="bottom"/>
            <w:hideMark/>
          </w:tcPr>
          <w:p w14:paraId="118F1362"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38E762F4"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74</w:t>
            </w:r>
          </w:p>
        </w:tc>
        <w:tc>
          <w:tcPr>
            <w:tcW w:w="0" w:type="auto"/>
            <w:tcBorders>
              <w:top w:val="nil"/>
              <w:left w:val="nil"/>
              <w:bottom w:val="single" w:sz="4" w:space="0" w:color="auto"/>
              <w:right w:val="single" w:sz="4" w:space="0" w:color="auto"/>
            </w:tcBorders>
            <w:shd w:val="clear" w:color="auto" w:fill="auto"/>
            <w:noWrap/>
            <w:vAlign w:val="bottom"/>
            <w:hideMark/>
          </w:tcPr>
          <w:p w14:paraId="1FCC0801"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74</w:t>
            </w:r>
          </w:p>
        </w:tc>
      </w:tr>
      <w:tr w:rsidR="004C1D4D" w:rsidRPr="005A7FF0" w14:paraId="7B19AF83"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05514F"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Area with MSA &gt;= 0.8 (%)</w:t>
            </w:r>
          </w:p>
        </w:tc>
        <w:tc>
          <w:tcPr>
            <w:tcW w:w="0" w:type="auto"/>
            <w:tcBorders>
              <w:top w:val="nil"/>
              <w:left w:val="nil"/>
              <w:bottom w:val="single" w:sz="4" w:space="0" w:color="auto"/>
              <w:right w:val="single" w:sz="4" w:space="0" w:color="auto"/>
            </w:tcBorders>
            <w:shd w:val="clear" w:color="auto" w:fill="auto"/>
            <w:noWrap/>
            <w:vAlign w:val="bottom"/>
            <w:hideMark/>
          </w:tcPr>
          <w:p w14:paraId="690D2388"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3818FE76"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31E6B77B"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r>
      <w:tr w:rsidR="004C1D4D" w:rsidRPr="005A7FF0" w14:paraId="2B8AA7FC"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6F3FE2"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Protected area cover (%)</w:t>
            </w:r>
          </w:p>
        </w:tc>
        <w:tc>
          <w:tcPr>
            <w:tcW w:w="0" w:type="auto"/>
            <w:tcBorders>
              <w:top w:val="nil"/>
              <w:left w:val="nil"/>
              <w:bottom w:val="single" w:sz="4" w:space="0" w:color="auto"/>
              <w:right w:val="single" w:sz="4" w:space="0" w:color="auto"/>
            </w:tcBorders>
            <w:shd w:val="clear" w:color="auto" w:fill="auto"/>
            <w:noWrap/>
            <w:vAlign w:val="bottom"/>
            <w:hideMark/>
          </w:tcPr>
          <w:p w14:paraId="7DF28E59"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5D4BF6F3"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25</w:t>
            </w:r>
          </w:p>
        </w:tc>
        <w:tc>
          <w:tcPr>
            <w:tcW w:w="0" w:type="auto"/>
            <w:tcBorders>
              <w:top w:val="nil"/>
              <w:left w:val="nil"/>
              <w:bottom w:val="single" w:sz="4" w:space="0" w:color="auto"/>
              <w:right w:val="single" w:sz="4" w:space="0" w:color="auto"/>
            </w:tcBorders>
            <w:shd w:val="clear" w:color="auto" w:fill="auto"/>
            <w:noWrap/>
            <w:vAlign w:val="bottom"/>
            <w:hideMark/>
          </w:tcPr>
          <w:p w14:paraId="464DA39D"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5</w:t>
            </w:r>
          </w:p>
        </w:tc>
      </w:tr>
      <w:tr w:rsidR="004C1D4D" w:rsidRPr="005A7FF0" w14:paraId="5E0E7C60"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5B423F" w14:textId="77777777" w:rsidR="004C1D4D" w:rsidRPr="005A7FF0" w:rsidRDefault="004C1D4D" w:rsidP="003632A1">
            <w:pPr>
              <w:spacing w:after="0" w:line="360" w:lineRule="auto"/>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Land cover and use</w:t>
            </w:r>
          </w:p>
        </w:tc>
        <w:tc>
          <w:tcPr>
            <w:tcW w:w="0" w:type="auto"/>
            <w:tcBorders>
              <w:top w:val="nil"/>
              <w:left w:val="nil"/>
              <w:bottom w:val="single" w:sz="4" w:space="0" w:color="auto"/>
              <w:right w:val="single" w:sz="4" w:space="0" w:color="auto"/>
            </w:tcBorders>
            <w:shd w:val="clear" w:color="auto" w:fill="auto"/>
            <w:noWrap/>
            <w:vAlign w:val="bottom"/>
            <w:hideMark/>
          </w:tcPr>
          <w:p w14:paraId="25091A3E" w14:textId="4265A071" w:rsidR="004C1D4D" w:rsidRPr="005A7FF0" w:rsidRDefault="004C1D4D" w:rsidP="003632A1">
            <w:pPr>
              <w:spacing w:after="0" w:line="360" w:lineRule="auto"/>
              <w:jc w:val="center"/>
              <w:rPr>
                <w:rFonts w:ascii="Calibri" w:eastAsia="Times New Roman" w:hAnsi="Calibri" w:cs="Calibri"/>
                <w:color w:val="000000"/>
                <w:sz w:val="24"/>
                <w:szCs w:val="24"/>
              </w:rPr>
            </w:pPr>
          </w:p>
        </w:tc>
        <w:tc>
          <w:tcPr>
            <w:tcW w:w="0" w:type="auto"/>
            <w:tcBorders>
              <w:top w:val="nil"/>
              <w:left w:val="nil"/>
              <w:bottom w:val="single" w:sz="4" w:space="0" w:color="auto"/>
              <w:right w:val="single" w:sz="4" w:space="0" w:color="auto"/>
            </w:tcBorders>
            <w:shd w:val="clear" w:color="auto" w:fill="auto"/>
            <w:noWrap/>
            <w:vAlign w:val="bottom"/>
            <w:hideMark/>
          </w:tcPr>
          <w:p w14:paraId="69408E92" w14:textId="4FC8DC60" w:rsidR="004C1D4D" w:rsidRPr="005A7FF0" w:rsidRDefault="004C1D4D" w:rsidP="003632A1">
            <w:pPr>
              <w:spacing w:after="0" w:line="360" w:lineRule="auto"/>
              <w:jc w:val="center"/>
              <w:rPr>
                <w:rFonts w:ascii="Calibri" w:eastAsia="Times New Roman" w:hAnsi="Calibri" w:cs="Calibri"/>
                <w:color w:val="000000"/>
                <w:sz w:val="24"/>
                <w:szCs w:val="24"/>
              </w:rPr>
            </w:pPr>
          </w:p>
        </w:tc>
        <w:tc>
          <w:tcPr>
            <w:tcW w:w="0" w:type="auto"/>
            <w:tcBorders>
              <w:top w:val="nil"/>
              <w:left w:val="nil"/>
              <w:bottom w:val="single" w:sz="4" w:space="0" w:color="auto"/>
              <w:right w:val="single" w:sz="4" w:space="0" w:color="auto"/>
            </w:tcBorders>
            <w:shd w:val="clear" w:color="auto" w:fill="auto"/>
            <w:noWrap/>
            <w:vAlign w:val="bottom"/>
            <w:hideMark/>
          </w:tcPr>
          <w:p w14:paraId="6CAA5868" w14:textId="67BB3A18" w:rsidR="004C1D4D" w:rsidRPr="005A7FF0" w:rsidRDefault="004C1D4D" w:rsidP="003632A1">
            <w:pPr>
              <w:spacing w:after="0" w:line="360" w:lineRule="auto"/>
              <w:jc w:val="center"/>
              <w:rPr>
                <w:rFonts w:ascii="Calibri" w:eastAsia="Times New Roman" w:hAnsi="Calibri" w:cs="Calibri"/>
                <w:color w:val="000000"/>
                <w:sz w:val="24"/>
                <w:szCs w:val="24"/>
              </w:rPr>
            </w:pPr>
          </w:p>
        </w:tc>
      </w:tr>
      <w:tr w:rsidR="004C1D4D" w:rsidRPr="005A7FF0" w14:paraId="050FE013"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C64C9C"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Settlement</w:t>
            </w:r>
          </w:p>
        </w:tc>
        <w:tc>
          <w:tcPr>
            <w:tcW w:w="0" w:type="auto"/>
            <w:tcBorders>
              <w:top w:val="nil"/>
              <w:left w:val="nil"/>
              <w:bottom w:val="single" w:sz="4" w:space="0" w:color="auto"/>
              <w:right w:val="single" w:sz="4" w:space="0" w:color="auto"/>
            </w:tcBorders>
            <w:shd w:val="clear" w:color="auto" w:fill="auto"/>
            <w:noWrap/>
            <w:vAlign w:val="bottom"/>
            <w:hideMark/>
          </w:tcPr>
          <w:p w14:paraId="0E75DF6E"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0.202</w:t>
            </w:r>
          </w:p>
        </w:tc>
        <w:tc>
          <w:tcPr>
            <w:tcW w:w="0" w:type="auto"/>
            <w:tcBorders>
              <w:top w:val="nil"/>
              <w:left w:val="nil"/>
              <w:bottom w:val="single" w:sz="4" w:space="0" w:color="auto"/>
              <w:right w:val="single" w:sz="4" w:space="0" w:color="auto"/>
            </w:tcBorders>
            <w:shd w:val="clear" w:color="auto" w:fill="auto"/>
            <w:noWrap/>
            <w:vAlign w:val="bottom"/>
            <w:hideMark/>
          </w:tcPr>
          <w:p w14:paraId="5B094205"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0.47</w:t>
            </w:r>
          </w:p>
        </w:tc>
        <w:tc>
          <w:tcPr>
            <w:tcW w:w="0" w:type="auto"/>
            <w:tcBorders>
              <w:top w:val="nil"/>
              <w:left w:val="nil"/>
              <w:bottom w:val="single" w:sz="4" w:space="0" w:color="auto"/>
              <w:right w:val="single" w:sz="4" w:space="0" w:color="auto"/>
            </w:tcBorders>
            <w:shd w:val="clear" w:color="auto" w:fill="auto"/>
            <w:noWrap/>
            <w:vAlign w:val="bottom"/>
            <w:hideMark/>
          </w:tcPr>
          <w:p w14:paraId="0D36A977"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0.27</w:t>
            </w:r>
          </w:p>
        </w:tc>
      </w:tr>
      <w:tr w:rsidR="004C1D4D" w:rsidRPr="005A7FF0" w14:paraId="4CFE60AC"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13E1F6"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Agriculture</w:t>
            </w:r>
          </w:p>
        </w:tc>
        <w:tc>
          <w:tcPr>
            <w:tcW w:w="0" w:type="auto"/>
            <w:tcBorders>
              <w:top w:val="nil"/>
              <w:left w:val="nil"/>
              <w:bottom w:val="single" w:sz="4" w:space="0" w:color="auto"/>
              <w:right w:val="single" w:sz="4" w:space="0" w:color="auto"/>
            </w:tcBorders>
            <w:shd w:val="clear" w:color="auto" w:fill="auto"/>
            <w:noWrap/>
            <w:vAlign w:val="bottom"/>
            <w:hideMark/>
          </w:tcPr>
          <w:p w14:paraId="0ED088E4" w14:textId="1D555356"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76.23</w:t>
            </w:r>
          </w:p>
        </w:tc>
        <w:tc>
          <w:tcPr>
            <w:tcW w:w="0" w:type="auto"/>
            <w:tcBorders>
              <w:top w:val="nil"/>
              <w:left w:val="nil"/>
              <w:bottom w:val="single" w:sz="4" w:space="0" w:color="auto"/>
              <w:right w:val="single" w:sz="4" w:space="0" w:color="auto"/>
            </w:tcBorders>
            <w:shd w:val="clear" w:color="auto" w:fill="auto"/>
            <w:noWrap/>
            <w:vAlign w:val="bottom"/>
            <w:hideMark/>
          </w:tcPr>
          <w:p w14:paraId="7120433B"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24.76</w:t>
            </w:r>
          </w:p>
        </w:tc>
        <w:tc>
          <w:tcPr>
            <w:tcW w:w="0" w:type="auto"/>
            <w:tcBorders>
              <w:top w:val="nil"/>
              <w:left w:val="nil"/>
              <w:bottom w:val="single" w:sz="4" w:space="0" w:color="auto"/>
              <w:right w:val="single" w:sz="4" w:space="0" w:color="auto"/>
            </w:tcBorders>
            <w:shd w:val="clear" w:color="auto" w:fill="auto"/>
            <w:noWrap/>
            <w:vAlign w:val="bottom"/>
            <w:hideMark/>
          </w:tcPr>
          <w:p w14:paraId="7DC0154F" w14:textId="5312446B"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25.3</w:t>
            </w:r>
            <w:r w:rsidR="00C143B7" w:rsidRPr="005A7FF0">
              <w:rPr>
                <w:rFonts w:ascii="Calibri" w:eastAsia="Times New Roman" w:hAnsi="Calibri" w:cs="Calibri"/>
                <w:color w:val="000000"/>
                <w:sz w:val="24"/>
                <w:szCs w:val="24"/>
              </w:rPr>
              <w:t>8</w:t>
            </w:r>
          </w:p>
        </w:tc>
      </w:tr>
      <w:tr w:rsidR="004C1D4D" w:rsidRPr="005A7FF0" w14:paraId="05CC6C3D"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CF92C1"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Forest</w:t>
            </w:r>
          </w:p>
        </w:tc>
        <w:tc>
          <w:tcPr>
            <w:tcW w:w="0" w:type="auto"/>
            <w:tcBorders>
              <w:top w:val="nil"/>
              <w:left w:val="nil"/>
              <w:bottom w:val="single" w:sz="4" w:space="0" w:color="auto"/>
              <w:right w:val="single" w:sz="4" w:space="0" w:color="auto"/>
            </w:tcBorders>
            <w:shd w:val="clear" w:color="auto" w:fill="auto"/>
            <w:noWrap/>
            <w:vAlign w:val="bottom"/>
            <w:hideMark/>
          </w:tcPr>
          <w:p w14:paraId="173DE203" w14:textId="09A3C3A6"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5.23</w:t>
            </w:r>
          </w:p>
        </w:tc>
        <w:tc>
          <w:tcPr>
            <w:tcW w:w="0" w:type="auto"/>
            <w:tcBorders>
              <w:top w:val="nil"/>
              <w:left w:val="nil"/>
              <w:bottom w:val="single" w:sz="4" w:space="0" w:color="auto"/>
              <w:right w:val="single" w:sz="4" w:space="0" w:color="auto"/>
            </w:tcBorders>
            <w:shd w:val="clear" w:color="auto" w:fill="auto"/>
            <w:noWrap/>
            <w:vAlign w:val="bottom"/>
            <w:hideMark/>
          </w:tcPr>
          <w:p w14:paraId="3C145625" w14:textId="7ED78F10"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73.68</w:t>
            </w:r>
          </w:p>
        </w:tc>
        <w:tc>
          <w:tcPr>
            <w:tcW w:w="0" w:type="auto"/>
            <w:tcBorders>
              <w:top w:val="nil"/>
              <w:left w:val="nil"/>
              <w:bottom w:val="single" w:sz="4" w:space="0" w:color="auto"/>
              <w:right w:val="single" w:sz="4" w:space="0" w:color="auto"/>
            </w:tcBorders>
            <w:shd w:val="clear" w:color="auto" w:fill="auto"/>
            <w:noWrap/>
            <w:vAlign w:val="bottom"/>
            <w:hideMark/>
          </w:tcPr>
          <w:p w14:paraId="7339A719" w14:textId="05381F6C"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72.6</w:t>
            </w:r>
            <w:r w:rsidR="00C143B7" w:rsidRPr="005A7FF0">
              <w:rPr>
                <w:rFonts w:ascii="Calibri" w:eastAsia="Times New Roman" w:hAnsi="Calibri" w:cs="Calibri"/>
                <w:color w:val="000000"/>
                <w:sz w:val="24"/>
                <w:szCs w:val="24"/>
              </w:rPr>
              <w:t>0</w:t>
            </w:r>
          </w:p>
        </w:tc>
      </w:tr>
      <w:tr w:rsidR="004C1D4D" w:rsidRPr="005A7FF0" w14:paraId="014999AD"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6100E8"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Grassland</w:t>
            </w:r>
          </w:p>
        </w:tc>
        <w:tc>
          <w:tcPr>
            <w:tcW w:w="0" w:type="auto"/>
            <w:tcBorders>
              <w:top w:val="nil"/>
              <w:left w:val="nil"/>
              <w:bottom w:val="single" w:sz="4" w:space="0" w:color="auto"/>
              <w:right w:val="single" w:sz="4" w:space="0" w:color="auto"/>
            </w:tcBorders>
            <w:shd w:val="clear" w:color="auto" w:fill="auto"/>
            <w:noWrap/>
            <w:vAlign w:val="bottom"/>
            <w:hideMark/>
          </w:tcPr>
          <w:p w14:paraId="3A6C8638" w14:textId="751F4913"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15.8</w:t>
            </w:r>
          </w:p>
        </w:tc>
        <w:tc>
          <w:tcPr>
            <w:tcW w:w="0" w:type="auto"/>
            <w:tcBorders>
              <w:top w:val="nil"/>
              <w:left w:val="nil"/>
              <w:bottom w:val="single" w:sz="4" w:space="0" w:color="auto"/>
              <w:right w:val="single" w:sz="4" w:space="0" w:color="auto"/>
            </w:tcBorders>
            <w:shd w:val="clear" w:color="auto" w:fill="auto"/>
            <w:noWrap/>
            <w:vAlign w:val="bottom"/>
            <w:hideMark/>
          </w:tcPr>
          <w:p w14:paraId="7065E630" w14:textId="2DBB6879"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0.1</w:t>
            </w:r>
            <w:r w:rsidR="00C143B7" w:rsidRPr="005A7FF0">
              <w:rPr>
                <w:rFonts w:ascii="Calibri" w:eastAsia="Times New Roman" w:hAnsi="Calibri" w:cs="Calibri"/>
                <w:color w:val="000000"/>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103CA318" w14:textId="07321C90"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w:t>
            </w:r>
            <w:r w:rsidR="00C143B7" w:rsidRPr="005A7FF0">
              <w:rPr>
                <w:rFonts w:ascii="Calibri" w:eastAsia="Times New Roman" w:hAnsi="Calibri" w:cs="Calibri"/>
                <w:color w:val="000000"/>
                <w:sz w:val="24"/>
                <w:szCs w:val="24"/>
              </w:rPr>
              <w:t>1</w:t>
            </w:r>
          </w:p>
        </w:tc>
      </w:tr>
      <w:tr w:rsidR="004C1D4D" w:rsidRPr="005A7FF0" w14:paraId="0537A748"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994009"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Wetland</w:t>
            </w:r>
          </w:p>
        </w:tc>
        <w:tc>
          <w:tcPr>
            <w:tcW w:w="0" w:type="auto"/>
            <w:tcBorders>
              <w:top w:val="nil"/>
              <w:left w:val="nil"/>
              <w:bottom w:val="single" w:sz="4" w:space="0" w:color="auto"/>
              <w:right w:val="single" w:sz="4" w:space="0" w:color="auto"/>
            </w:tcBorders>
            <w:shd w:val="clear" w:color="auto" w:fill="auto"/>
            <w:noWrap/>
            <w:vAlign w:val="bottom"/>
            <w:hideMark/>
          </w:tcPr>
          <w:p w14:paraId="353A9055" w14:textId="714EB0F9"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0.05</w:t>
            </w:r>
          </w:p>
        </w:tc>
        <w:tc>
          <w:tcPr>
            <w:tcW w:w="0" w:type="auto"/>
            <w:tcBorders>
              <w:top w:val="nil"/>
              <w:left w:val="nil"/>
              <w:bottom w:val="single" w:sz="4" w:space="0" w:color="auto"/>
              <w:right w:val="single" w:sz="4" w:space="0" w:color="auto"/>
            </w:tcBorders>
            <w:shd w:val="clear" w:color="auto" w:fill="auto"/>
            <w:noWrap/>
            <w:vAlign w:val="bottom"/>
            <w:hideMark/>
          </w:tcPr>
          <w:p w14:paraId="22BFE406"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369B772C"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r>
      <w:tr w:rsidR="004C1D4D" w:rsidRPr="005A7FF0" w14:paraId="31AC9145"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935E5"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Shrub/sparse veg.</w:t>
            </w:r>
          </w:p>
        </w:tc>
        <w:tc>
          <w:tcPr>
            <w:tcW w:w="0" w:type="auto"/>
            <w:tcBorders>
              <w:top w:val="nil"/>
              <w:left w:val="nil"/>
              <w:bottom w:val="single" w:sz="4" w:space="0" w:color="auto"/>
              <w:right w:val="single" w:sz="4" w:space="0" w:color="auto"/>
            </w:tcBorders>
            <w:shd w:val="clear" w:color="auto" w:fill="auto"/>
            <w:noWrap/>
            <w:vAlign w:val="bottom"/>
            <w:hideMark/>
          </w:tcPr>
          <w:p w14:paraId="393569A2" w14:textId="7A24B07D"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0.09</w:t>
            </w:r>
          </w:p>
        </w:tc>
        <w:tc>
          <w:tcPr>
            <w:tcW w:w="0" w:type="auto"/>
            <w:tcBorders>
              <w:top w:val="nil"/>
              <w:left w:val="nil"/>
              <w:bottom w:val="single" w:sz="4" w:space="0" w:color="auto"/>
              <w:right w:val="single" w:sz="4" w:space="0" w:color="auto"/>
            </w:tcBorders>
            <w:shd w:val="clear" w:color="auto" w:fill="auto"/>
            <w:noWrap/>
            <w:vAlign w:val="bottom"/>
            <w:hideMark/>
          </w:tcPr>
          <w:p w14:paraId="512244B7"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0.003</w:t>
            </w:r>
          </w:p>
        </w:tc>
        <w:tc>
          <w:tcPr>
            <w:tcW w:w="0" w:type="auto"/>
            <w:tcBorders>
              <w:top w:val="nil"/>
              <w:left w:val="nil"/>
              <w:bottom w:val="single" w:sz="4" w:space="0" w:color="auto"/>
              <w:right w:val="single" w:sz="4" w:space="0" w:color="auto"/>
            </w:tcBorders>
            <w:shd w:val="clear" w:color="auto" w:fill="auto"/>
            <w:noWrap/>
            <w:vAlign w:val="bottom"/>
            <w:hideMark/>
          </w:tcPr>
          <w:p w14:paraId="2AB30AA8"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r>
      <w:tr w:rsidR="004C1D4D" w:rsidRPr="005A7FF0" w14:paraId="76F89BCB"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4DCD6C"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Bare</w:t>
            </w:r>
          </w:p>
        </w:tc>
        <w:tc>
          <w:tcPr>
            <w:tcW w:w="0" w:type="auto"/>
            <w:tcBorders>
              <w:top w:val="nil"/>
              <w:left w:val="nil"/>
              <w:bottom w:val="single" w:sz="4" w:space="0" w:color="auto"/>
              <w:right w:val="single" w:sz="4" w:space="0" w:color="auto"/>
            </w:tcBorders>
            <w:shd w:val="clear" w:color="auto" w:fill="auto"/>
            <w:noWrap/>
            <w:vAlign w:val="bottom"/>
            <w:hideMark/>
          </w:tcPr>
          <w:p w14:paraId="77CE7B67" w14:textId="61E2CE2D"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0.5</w:t>
            </w:r>
            <w:r w:rsidR="00C143B7" w:rsidRPr="005A7FF0">
              <w:rPr>
                <w:rFonts w:ascii="Calibri" w:eastAsia="Times New Roman" w:hAnsi="Calibri" w:cs="Calibri"/>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47611016"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71B2E498" w14:textId="77777777"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r>
      <w:tr w:rsidR="004C1D4D" w:rsidRPr="005A7FF0" w14:paraId="105ADDBB" w14:textId="77777777" w:rsidTr="007B2A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7DAF43" w14:textId="77777777" w:rsidR="004C1D4D" w:rsidRPr="005A7FF0" w:rsidRDefault="004C1D4D"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Water</w:t>
            </w:r>
          </w:p>
        </w:tc>
        <w:tc>
          <w:tcPr>
            <w:tcW w:w="0" w:type="auto"/>
            <w:tcBorders>
              <w:top w:val="nil"/>
              <w:left w:val="nil"/>
              <w:bottom w:val="single" w:sz="4" w:space="0" w:color="auto"/>
              <w:right w:val="single" w:sz="4" w:space="0" w:color="auto"/>
            </w:tcBorders>
            <w:shd w:val="clear" w:color="auto" w:fill="auto"/>
            <w:noWrap/>
            <w:vAlign w:val="bottom"/>
            <w:hideMark/>
          </w:tcPr>
          <w:p w14:paraId="02B96234" w14:textId="2B57B8AF"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1.8</w:t>
            </w:r>
            <w:r w:rsidR="00C143B7" w:rsidRPr="005A7FF0">
              <w:rPr>
                <w:rFonts w:ascii="Calibri" w:eastAsia="Times New Roman" w:hAnsi="Calibri" w:cs="Calibri"/>
                <w:color w:val="000000"/>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1CF91599" w14:textId="7EB966DB"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0.9</w:t>
            </w:r>
            <w:r w:rsidR="00C143B7" w:rsidRPr="005A7FF0">
              <w:rPr>
                <w:rFonts w:ascii="Calibri" w:eastAsia="Times New Roman" w:hAnsi="Calibri" w:cs="Calibri"/>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1ABE449C" w14:textId="5F54E86A" w:rsidR="004C1D4D" w:rsidRPr="005A7FF0" w:rsidRDefault="004C1D4D"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1.44</w:t>
            </w:r>
          </w:p>
        </w:tc>
      </w:tr>
    </w:tbl>
    <w:p w14:paraId="07A1DEAD" w14:textId="77777777" w:rsidR="00D51916" w:rsidRPr="005A7FF0" w:rsidRDefault="00D51916" w:rsidP="003632A1">
      <w:pPr>
        <w:spacing w:before="120" w:after="0" w:line="360" w:lineRule="auto"/>
        <w:rPr>
          <w:sz w:val="24"/>
          <w:szCs w:val="24"/>
        </w:rPr>
      </w:pPr>
    </w:p>
    <w:p w14:paraId="747E11D1" w14:textId="0C954EF1" w:rsidR="001C5942" w:rsidRPr="005A7FF0" w:rsidRDefault="00FB5794" w:rsidP="003632A1">
      <w:pPr>
        <w:spacing w:before="120" w:after="0" w:line="360" w:lineRule="auto"/>
        <w:rPr>
          <w:sz w:val="24"/>
          <w:szCs w:val="24"/>
        </w:rPr>
      </w:pPr>
      <w:r w:rsidRPr="005A7FF0">
        <w:rPr>
          <w:sz w:val="24"/>
          <w:szCs w:val="24"/>
        </w:rPr>
        <w:t xml:space="preserve">Monetization of the biodiversity impacts associated with land use shows that the value is much higher for rapeseed oil in Saskatchewan ($2.24/kg) than in Sabah and Sarawak for palm oil. </w:t>
      </w:r>
      <w:r w:rsidR="00CA170B" w:rsidRPr="005A7FF0">
        <w:rPr>
          <w:sz w:val="24"/>
          <w:szCs w:val="24"/>
        </w:rPr>
        <w:t>In the latter</w:t>
      </w:r>
      <w:r w:rsidR="0068323A" w:rsidRPr="005A7FF0">
        <w:rPr>
          <w:sz w:val="24"/>
          <w:szCs w:val="24"/>
        </w:rPr>
        <w:t>,</w:t>
      </w:r>
      <w:r w:rsidRPr="005A7FF0">
        <w:rPr>
          <w:sz w:val="24"/>
          <w:szCs w:val="24"/>
        </w:rPr>
        <w:t xml:space="preserve"> the monetary value depends on whether palm oil production entails only occupation or occupation plus </w:t>
      </w:r>
      <w:r w:rsidR="0068323A" w:rsidRPr="005A7FF0">
        <w:rPr>
          <w:sz w:val="24"/>
          <w:szCs w:val="24"/>
        </w:rPr>
        <w:t>transformation of tropical forest</w:t>
      </w:r>
      <w:r w:rsidRPr="005A7FF0">
        <w:rPr>
          <w:sz w:val="24"/>
          <w:szCs w:val="24"/>
        </w:rPr>
        <w:t xml:space="preserve">.  It may seem surprising that the value is so much higher in Saskatchewan, but this is related to the higher loss and therefore opportunity </w:t>
      </w:r>
      <w:r w:rsidRPr="005A7FF0">
        <w:rPr>
          <w:sz w:val="24"/>
          <w:szCs w:val="24"/>
        </w:rPr>
        <w:lastRenderedPageBreak/>
        <w:t>cost of the species</w:t>
      </w:r>
      <w:r w:rsidR="00872E0F" w:rsidRPr="005A7FF0">
        <w:rPr>
          <w:sz w:val="24"/>
          <w:szCs w:val="24"/>
        </w:rPr>
        <w:t xml:space="preserve"> there, compared with the species loss in Sabah and Sarawak</w:t>
      </w:r>
      <w:r w:rsidR="0068323A" w:rsidRPr="005A7FF0">
        <w:rPr>
          <w:sz w:val="24"/>
          <w:szCs w:val="24"/>
        </w:rPr>
        <w:t>, since most of the area is still under natural land cover</w:t>
      </w:r>
      <w:r w:rsidR="00872E0F" w:rsidRPr="005A7FF0">
        <w:rPr>
          <w:sz w:val="24"/>
          <w:szCs w:val="24"/>
        </w:rPr>
        <w:t xml:space="preserve">. </w:t>
      </w:r>
      <w:r w:rsidR="00CA170B" w:rsidRPr="005A7FF0">
        <w:rPr>
          <w:sz w:val="24"/>
          <w:szCs w:val="24"/>
        </w:rPr>
        <w:t>In addition,</w:t>
      </w:r>
      <w:r w:rsidR="00872E0F" w:rsidRPr="005A7FF0">
        <w:rPr>
          <w:sz w:val="24"/>
          <w:szCs w:val="24"/>
        </w:rPr>
        <w:t xml:space="preserve"> the tropical forests of Malaysia are more diverse than the temperate grasslands and boreal forests of Canada. However, the monetization factor used is higher for land use occupation </w:t>
      </w:r>
      <w:r w:rsidR="009A1C0A" w:rsidRPr="005A7FF0">
        <w:rPr>
          <w:sz w:val="24"/>
          <w:szCs w:val="24"/>
        </w:rPr>
        <w:t>of a grassland</w:t>
      </w:r>
      <w:r w:rsidR="00872E0F" w:rsidRPr="005A7FF0">
        <w:rPr>
          <w:sz w:val="24"/>
          <w:szCs w:val="24"/>
        </w:rPr>
        <w:t xml:space="preserve"> than </w:t>
      </w:r>
      <w:r w:rsidR="009A1C0A" w:rsidRPr="005A7FF0">
        <w:rPr>
          <w:sz w:val="24"/>
          <w:szCs w:val="24"/>
        </w:rPr>
        <w:t>for a tropical forest</w:t>
      </w:r>
      <w:r w:rsidR="00872E0F" w:rsidRPr="005A7FF0">
        <w:rPr>
          <w:sz w:val="24"/>
          <w:szCs w:val="24"/>
        </w:rPr>
        <w:t xml:space="preserve">. The monetization factor for </w:t>
      </w:r>
      <w:r w:rsidR="0068323A" w:rsidRPr="005A7FF0">
        <w:rPr>
          <w:sz w:val="24"/>
          <w:szCs w:val="24"/>
        </w:rPr>
        <w:t xml:space="preserve">land transformation </w:t>
      </w:r>
      <w:r w:rsidR="00CB6E11" w:rsidRPr="005A7FF0">
        <w:rPr>
          <w:sz w:val="24"/>
          <w:szCs w:val="24"/>
        </w:rPr>
        <w:t>is substantially higher than for land use occupation</w:t>
      </w:r>
      <w:r w:rsidR="0068323A" w:rsidRPr="005A7FF0">
        <w:rPr>
          <w:sz w:val="24"/>
          <w:szCs w:val="24"/>
        </w:rPr>
        <w:t xml:space="preserve"> for a tropical forest</w:t>
      </w:r>
      <w:r w:rsidR="00CB6E11" w:rsidRPr="005A7FF0">
        <w:rPr>
          <w:sz w:val="24"/>
          <w:szCs w:val="24"/>
        </w:rPr>
        <w:t>. It should be noted that the monetization factor for land use transformation for a grassland is only $313/(MSA*ha</w:t>
      </w:r>
      <w:r w:rsidR="009A1C0A" w:rsidRPr="005A7FF0">
        <w:rPr>
          <w:sz w:val="24"/>
          <w:szCs w:val="24"/>
        </w:rPr>
        <w:t>)</w:t>
      </w:r>
      <w:r w:rsidR="0068323A" w:rsidRPr="005A7FF0">
        <w:rPr>
          <w:sz w:val="24"/>
          <w:szCs w:val="24"/>
        </w:rPr>
        <w:t>. Most of the land in Saskatchewan has already been transformed and there is very little than is converted from natural vegetation to arable land. In any case, the monetary value of species loss associated with rapeseed production is substantially higher than with palm oil production, whether it includes land occupation or land occupation and transformation. Rapeseed larger monetary value also reflect that</w:t>
      </w:r>
      <w:r w:rsidR="007F0E4A" w:rsidRPr="005A7FF0">
        <w:rPr>
          <w:sz w:val="24"/>
          <w:szCs w:val="24"/>
        </w:rPr>
        <w:t xml:space="preserve"> about three times as much land is necessary to produce the same amount of oil compared to palm oil.</w:t>
      </w:r>
    </w:p>
    <w:p w14:paraId="5807FF4E" w14:textId="756229B0" w:rsidR="004C1D4D" w:rsidRPr="005A7FF0" w:rsidRDefault="00511193" w:rsidP="003632A1">
      <w:pPr>
        <w:spacing w:before="120" w:after="0" w:line="360" w:lineRule="auto"/>
        <w:rPr>
          <w:sz w:val="24"/>
          <w:szCs w:val="24"/>
        </w:rPr>
      </w:pPr>
      <w:r w:rsidRPr="005A7FF0">
        <w:rPr>
          <w:sz w:val="24"/>
          <w:szCs w:val="24"/>
        </w:rPr>
        <w:t xml:space="preserve">Table 7. </w:t>
      </w:r>
      <w:r w:rsidR="00D1439F" w:rsidRPr="005A7FF0">
        <w:rPr>
          <w:sz w:val="24"/>
          <w:szCs w:val="24"/>
        </w:rPr>
        <w:t>Monetization of biodiversity impacts associated with land use</w:t>
      </w:r>
    </w:p>
    <w:tbl>
      <w:tblPr>
        <w:tblW w:w="5000" w:type="pct"/>
        <w:tblLook w:val="04A0" w:firstRow="1" w:lastRow="0" w:firstColumn="1" w:lastColumn="0" w:noHBand="0" w:noVBand="1"/>
      </w:tblPr>
      <w:tblGrid>
        <w:gridCol w:w="3592"/>
        <w:gridCol w:w="1528"/>
        <w:gridCol w:w="1984"/>
        <w:gridCol w:w="2246"/>
      </w:tblGrid>
      <w:tr w:rsidR="00085E99" w:rsidRPr="005A7FF0" w14:paraId="7650FABD" w14:textId="77777777" w:rsidTr="007B2A48">
        <w:trPr>
          <w:trHeight w:val="287"/>
        </w:trPr>
        <w:tc>
          <w:tcPr>
            <w:tcW w:w="1921" w:type="pct"/>
            <w:tcBorders>
              <w:top w:val="single" w:sz="4" w:space="0" w:color="auto"/>
              <w:left w:val="single" w:sz="4" w:space="0" w:color="auto"/>
              <w:bottom w:val="single" w:sz="4" w:space="0" w:color="auto"/>
              <w:right w:val="single" w:sz="4" w:space="0" w:color="auto"/>
            </w:tcBorders>
            <w:shd w:val="clear" w:color="auto" w:fill="auto"/>
            <w:hideMark/>
          </w:tcPr>
          <w:p w14:paraId="2213A38D" w14:textId="294D597D" w:rsidR="00085E99" w:rsidRPr="005A7FF0" w:rsidRDefault="00085E99"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817" w:type="pct"/>
            <w:tcBorders>
              <w:top w:val="single" w:sz="4" w:space="0" w:color="auto"/>
              <w:left w:val="nil"/>
              <w:bottom w:val="single" w:sz="4" w:space="0" w:color="auto"/>
              <w:right w:val="nil"/>
            </w:tcBorders>
            <w:shd w:val="clear" w:color="auto" w:fill="auto"/>
            <w:noWrap/>
            <w:vAlign w:val="bottom"/>
            <w:hideMark/>
          </w:tcPr>
          <w:p w14:paraId="667628EB" w14:textId="77777777" w:rsidR="00085E99" w:rsidRPr="005A7FF0" w:rsidRDefault="00085E99" w:rsidP="003632A1">
            <w:pPr>
              <w:spacing w:after="0" w:line="360" w:lineRule="auto"/>
              <w:rPr>
                <w:rFonts w:ascii="Calibri" w:eastAsia="Times New Roman" w:hAnsi="Calibri" w:cs="Calibri"/>
                <w:color w:val="000000"/>
                <w:sz w:val="24"/>
                <w:szCs w:val="24"/>
              </w:rPr>
            </w:pPr>
          </w:p>
        </w:tc>
        <w:tc>
          <w:tcPr>
            <w:tcW w:w="1061" w:type="pct"/>
            <w:tcBorders>
              <w:top w:val="single" w:sz="4" w:space="0" w:color="auto"/>
              <w:left w:val="single" w:sz="4" w:space="0" w:color="auto"/>
              <w:bottom w:val="single" w:sz="4" w:space="0" w:color="auto"/>
              <w:right w:val="single" w:sz="4" w:space="0" w:color="auto"/>
            </w:tcBorders>
            <w:shd w:val="clear" w:color="auto" w:fill="auto"/>
            <w:hideMark/>
          </w:tcPr>
          <w:p w14:paraId="36B91059" w14:textId="77777777" w:rsidR="007B2A48" w:rsidRDefault="007B2A48" w:rsidP="003632A1">
            <w:pPr>
              <w:spacing w:after="0" w:line="36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Canada</w:t>
            </w:r>
          </w:p>
          <w:p w14:paraId="5E0CB143" w14:textId="0692544F"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Saskatchewan</w:t>
            </w:r>
          </w:p>
        </w:tc>
        <w:tc>
          <w:tcPr>
            <w:tcW w:w="1201" w:type="pct"/>
            <w:tcBorders>
              <w:top w:val="single" w:sz="4" w:space="0" w:color="auto"/>
              <w:left w:val="nil"/>
              <w:bottom w:val="single" w:sz="4" w:space="0" w:color="auto"/>
              <w:right w:val="single" w:sz="4" w:space="0" w:color="auto"/>
            </w:tcBorders>
            <w:shd w:val="clear" w:color="auto" w:fill="auto"/>
            <w:hideMark/>
          </w:tcPr>
          <w:p w14:paraId="13A74152" w14:textId="77777777" w:rsidR="007B2A48" w:rsidRDefault="007B2A48" w:rsidP="003632A1">
            <w:pPr>
              <w:spacing w:after="0" w:line="36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Malaysia</w:t>
            </w:r>
          </w:p>
          <w:p w14:paraId="27F934C7" w14:textId="0FA3A2BF"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Sabah &amp; Sarawak</w:t>
            </w:r>
            <w:r w:rsidR="00754564" w:rsidRPr="005A7FF0">
              <w:rPr>
                <w:rFonts w:ascii="Calibri" w:eastAsia="Times New Roman" w:hAnsi="Calibri" w:cs="Calibri"/>
                <w:color w:val="000000"/>
                <w:sz w:val="24"/>
                <w:szCs w:val="24"/>
                <w:vertAlign w:val="superscript"/>
              </w:rPr>
              <w:t>1</w:t>
            </w:r>
          </w:p>
        </w:tc>
      </w:tr>
      <w:tr w:rsidR="00085E99" w:rsidRPr="005A7FF0" w14:paraId="0FAA98A7" w14:textId="77777777" w:rsidTr="007B2A48">
        <w:trPr>
          <w:trHeight w:val="300"/>
        </w:trPr>
        <w:tc>
          <w:tcPr>
            <w:tcW w:w="1921" w:type="pct"/>
            <w:tcBorders>
              <w:top w:val="single" w:sz="4" w:space="0" w:color="auto"/>
              <w:left w:val="single" w:sz="4" w:space="0" w:color="auto"/>
              <w:bottom w:val="single" w:sz="4" w:space="0" w:color="auto"/>
              <w:right w:val="single" w:sz="4" w:space="0" w:color="auto"/>
            </w:tcBorders>
            <w:shd w:val="clear" w:color="auto" w:fill="auto"/>
            <w:hideMark/>
          </w:tcPr>
          <w:p w14:paraId="1BB02B3C" w14:textId="77777777" w:rsidR="00085E99" w:rsidRPr="005A7FF0" w:rsidRDefault="00085E99"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Mean MSA loss (MSA-1)</w:t>
            </w:r>
          </w:p>
        </w:tc>
        <w:tc>
          <w:tcPr>
            <w:tcW w:w="817" w:type="pct"/>
            <w:tcBorders>
              <w:top w:val="single" w:sz="4" w:space="0" w:color="auto"/>
              <w:left w:val="nil"/>
              <w:bottom w:val="single" w:sz="4" w:space="0" w:color="auto"/>
              <w:right w:val="single" w:sz="4" w:space="0" w:color="auto"/>
            </w:tcBorders>
            <w:shd w:val="clear" w:color="auto" w:fill="auto"/>
            <w:noWrap/>
            <w:hideMark/>
          </w:tcPr>
          <w:p w14:paraId="507758F7" w14:textId="77777777" w:rsidR="00085E99" w:rsidRPr="005A7FF0" w:rsidRDefault="00085E99"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1061" w:type="pct"/>
            <w:tcBorders>
              <w:top w:val="single" w:sz="4" w:space="0" w:color="auto"/>
              <w:left w:val="nil"/>
              <w:bottom w:val="single" w:sz="4" w:space="0" w:color="auto"/>
              <w:right w:val="single" w:sz="4" w:space="0" w:color="auto"/>
            </w:tcBorders>
            <w:shd w:val="clear" w:color="auto" w:fill="auto"/>
            <w:noWrap/>
            <w:hideMark/>
          </w:tcPr>
          <w:p w14:paraId="0D9CD01A" w14:textId="77777777"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0.71</w:t>
            </w:r>
          </w:p>
        </w:tc>
        <w:tc>
          <w:tcPr>
            <w:tcW w:w="1201" w:type="pct"/>
            <w:tcBorders>
              <w:top w:val="single" w:sz="4" w:space="0" w:color="auto"/>
              <w:left w:val="nil"/>
              <w:bottom w:val="single" w:sz="4" w:space="0" w:color="auto"/>
              <w:right w:val="single" w:sz="4" w:space="0" w:color="auto"/>
            </w:tcBorders>
            <w:shd w:val="clear" w:color="auto" w:fill="auto"/>
            <w:noWrap/>
            <w:hideMark/>
          </w:tcPr>
          <w:p w14:paraId="53E83D27" w14:textId="77777777"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0.37</w:t>
            </w:r>
          </w:p>
        </w:tc>
      </w:tr>
      <w:tr w:rsidR="00085E99" w:rsidRPr="005A7FF0" w14:paraId="1599FE43" w14:textId="77777777" w:rsidTr="007B2A48">
        <w:trPr>
          <w:trHeight w:val="323"/>
        </w:trPr>
        <w:tc>
          <w:tcPr>
            <w:tcW w:w="1921" w:type="pct"/>
            <w:tcBorders>
              <w:top w:val="nil"/>
              <w:left w:val="single" w:sz="4" w:space="0" w:color="auto"/>
              <w:bottom w:val="single" w:sz="4" w:space="0" w:color="auto"/>
              <w:right w:val="single" w:sz="4" w:space="0" w:color="auto"/>
            </w:tcBorders>
            <w:shd w:val="clear" w:color="auto" w:fill="auto"/>
            <w:hideMark/>
          </w:tcPr>
          <w:p w14:paraId="1EAEFEF5" w14:textId="7CCAC9C7" w:rsidR="00085E99" w:rsidRPr="005A7FF0" w:rsidRDefault="00085E99"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Area to produce 1 kg of oil (ha/ton)</w:t>
            </w:r>
          </w:p>
        </w:tc>
        <w:tc>
          <w:tcPr>
            <w:tcW w:w="817" w:type="pct"/>
            <w:tcBorders>
              <w:top w:val="nil"/>
              <w:left w:val="nil"/>
              <w:bottom w:val="single" w:sz="4" w:space="0" w:color="auto"/>
              <w:right w:val="single" w:sz="4" w:space="0" w:color="auto"/>
            </w:tcBorders>
            <w:shd w:val="clear" w:color="auto" w:fill="auto"/>
            <w:noWrap/>
            <w:hideMark/>
          </w:tcPr>
          <w:p w14:paraId="3A77D100" w14:textId="5472281D" w:rsidR="00085E99" w:rsidRPr="005A7FF0" w:rsidRDefault="00085E99" w:rsidP="003632A1">
            <w:pPr>
              <w:spacing w:after="0" w:line="360" w:lineRule="auto"/>
              <w:jc w:val="center"/>
              <w:rPr>
                <w:rFonts w:ascii="Calibri" w:eastAsia="Times New Roman" w:hAnsi="Calibri" w:cs="Calibri"/>
                <w:color w:val="000000"/>
                <w:sz w:val="24"/>
                <w:szCs w:val="24"/>
              </w:rPr>
            </w:pPr>
          </w:p>
        </w:tc>
        <w:tc>
          <w:tcPr>
            <w:tcW w:w="1061" w:type="pct"/>
            <w:tcBorders>
              <w:top w:val="nil"/>
              <w:left w:val="nil"/>
              <w:bottom w:val="single" w:sz="4" w:space="0" w:color="auto"/>
              <w:right w:val="single" w:sz="4" w:space="0" w:color="auto"/>
            </w:tcBorders>
            <w:shd w:val="clear" w:color="auto" w:fill="auto"/>
            <w:noWrap/>
            <w:hideMark/>
          </w:tcPr>
          <w:p w14:paraId="2199B83B" w14:textId="77777777"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0.00095</w:t>
            </w:r>
          </w:p>
        </w:tc>
        <w:tc>
          <w:tcPr>
            <w:tcW w:w="1201" w:type="pct"/>
            <w:tcBorders>
              <w:top w:val="nil"/>
              <w:left w:val="nil"/>
              <w:bottom w:val="single" w:sz="4" w:space="0" w:color="auto"/>
              <w:right w:val="single" w:sz="4" w:space="0" w:color="auto"/>
            </w:tcBorders>
            <w:shd w:val="clear" w:color="auto" w:fill="auto"/>
            <w:noWrap/>
            <w:hideMark/>
          </w:tcPr>
          <w:p w14:paraId="213D7100" w14:textId="77777777"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0.00032</w:t>
            </w:r>
          </w:p>
        </w:tc>
      </w:tr>
      <w:tr w:rsidR="00085E99" w:rsidRPr="005A7FF0" w14:paraId="7BE126BB" w14:textId="77777777" w:rsidTr="007B2A48">
        <w:trPr>
          <w:trHeight w:val="638"/>
        </w:trPr>
        <w:tc>
          <w:tcPr>
            <w:tcW w:w="1921" w:type="pct"/>
            <w:tcBorders>
              <w:top w:val="nil"/>
              <w:left w:val="single" w:sz="4" w:space="0" w:color="auto"/>
              <w:bottom w:val="single" w:sz="4" w:space="0" w:color="auto"/>
              <w:right w:val="single" w:sz="4" w:space="0" w:color="auto"/>
            </w:tcBorders>
            <w:shd w:val="clear" w:color="auto" w:fill="auto"/>
            <w:hideMark/>
          </w:tcPr>
          <w:p w14:paraId="4FBC1845" w14:textId="5220B2ED" w:rsidR="00085E99" w:rsidRPr="005A7FF0" w:rsidRDefault="00085E99"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Impact</w:t>
            </w:r>
          </w:p>
        </w:tc>
        <w:tc>
          <w:tcPr>
            <w:tcW w:w="817" w:type="pct"/>
            <w:tcBorders>
              <w:top w:val="nil"/>
              <w:left w:val="nil"/>
              <w:bottom w:val="single" w:sz="4" w:space="0" w:color="auto"/>
              <w:right w:val="single" w:sz="4" w:space="0" w:color="auto"/>
            </w:tcBorders>
            <w:shd w:val="clear" w:color="auto" w:fill="auto"/>
            <w:hideMark/>
          </w:tcPr>
          <w:p w14:paraId="7DFBF74A" w14:textId="2DE3706C"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Monetization factor</w:t>
            </w:r>
            <w:r w:rsidR="001574E8" w:rsidRPr="005A7FF0">
              <w:rPr>
                <w:rFonts w:ascii="Calibri" w:eastAsia="Times New Roman" w:hAnsi="Calibri" w:cs="Calibri"/>
                <w:color w:val="000000"/>
                <w:sz w:val="24"/>
                <w:szCs w:val="24"/>
              </w:rPr>
              <w:t xml:space="preserve"> ($/MSA)</w:t>
            </w:r>
          </w:p>
        </w:tc>
        <w:tc>
          <w:tcPr>
            <w:tcW w:w="1061" w:type="pct"/>
            <w:tcBorders>
              <w:top w:val="nil"/>
              <w:left w:val="nil"/>
              <w:bottom w:val="single" w:sz="4" w:space="0" w:color="auto"/>
              <w:right w:val="single" w:sz="4" w:space="0" w:color="auto"/>
            </w:tcBorders>
            <w:shd w:val="clear" w:color="auto" w:fill="auto"/>
            <w:noWrap/>
            <w:hideMark/>
          </w:tcPr>
          <w:p w14:paraId="464AC51F" w14:textId="2AB93BA4"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$/kg</w:t>
            </w:r>
          </w:p>
        </w:tc>
        <w:tc>
          <w:tcPr>
            <w:tcW w:w="1201" w:type="pct"/>
            <w:tcBorders>
              <w:top w:val="nil"/>
              <w:left w:val="nil"/>
              <w:bottom w:val="single" w:sz="4" w:space="0" w:color="auto"/>
              <w:right w:val="single" w:sz="4" w:space="0" w:color="auto"/>
            </w:tcBorders>
            <w:shd w:val="clear" w:color="auto" w:fill="auto"/>
            <w:noWrap/>
            <w:hideMark/>
          </w:tcPr>
          <w:p w14:paraId="3D791E30" w14:textId="7D1C5680"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$/kg</w:t>
            </w:r>
          </w:p>
        </w:tc>
      </w:tr>
      <w:tr w:rsidR="00085E99" w:rsidRPr="005A7FF0" w14:paraId="600696C5" w14:textId="77777777" w:rsidTr="007B2A48">
        <w:trPr>
          <w:trHeight w:val="449"/>
        </w:trPr>
        <w:tc>
          <w:tcPr>
            <w:tcW w:w="1921" w:type="pct"/>
            <w:tcBorders>
              <w:top w:val="nil"/>
              <w:left w:val="single" w:sz="4" w:space="0" w:color="auto"/>
              <w:bottom w:val="single" w:sz="4" w:space="0" w:color="auto"/>
              <w:right w:val="single" w:sz="4" w:space="0" w:color="auto"/>
            </w:tcBorders>
            <w:shd w:val="clear" w:color="auto" w:fill="auto"/>
            <w:hideMark/>
          </w:tcPr>
          <w:p w14:paraId="0797C23B" w14:textId="486929F7" w:rsidR="00085E99" w:rsidRPr="005A7FF0" w:rsidRDefault="00085E99"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Land occupation grassland</w:t>
            </w:r>
          </w:p>
        </w:tc>
        <w:tc>
          <w:tcPr>
            <w:tcW w:w="817" w:type="pct"/>
            <w:tcBorders>
              <w:top w:val="nil"/>
              <w:left w:val="nil"/>
              <w:bottom w:val="single" w:sz="4" w:space="0" w:color="auto"/>
              <w:right w:val="single" w:sz="4" w:space="0" w:color="auto"/>
            </w:tcBorders>
            <w:shd w:val="clear" w:color="auto" w:fill="auto"/>
            <w:noWrap/>
            <w:hideMark/>
          </w:tcPr>
          <w:p w14:paraId="6403134B" w14:textId="7D927252"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3,470</w:t>
            </w:r>
            <w:r w:rsidR="00754564" w:rsidRPr="005A7FF0">
              <w:rPr>
                <w:rFonts w:ascii="Calibri" w:eastAsia="Times New Roman" w:hAnsi="Calibri" w:cs="Calibri"/>
                <w:color w:val="000000"/>
                <w:sz w:val="24"/>
                <w:szCs w:val="24"/>
                <w:vertAlign w:val="superscript"/>
                <w:lang w:val="es-MX"/>
              </w:rPr>
              <w:t>2</w:t>
            </w:r>
          </w:p>
        </w:tc>
        <w:tc>
          <w:tcPr>
            <w:tcW w:w="1061" w:type="pct"/>
            <w:tcBorders>
              <w:top w:val="nil"/>
              <w:left w:val="nil"/>
              <w:bottom w:val="single" w:sz="4" w:space="0" w:color="auto"/>
              <w:right w:val="single" w:sz="4" w:space="0" w:color="auto"/>
            </w:tcBorders>
            <w:shd w:val="clear" w:color="auto" w:fill="auto"/>
            <w:noWrap/>
            <w:hideMark/>
          </w:tcPr>
          <w:p w14:paraId="6508177C" w14:textId="77777777"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2.34</w:t>
            </w:r>
          </w:p>
        </w:tc>
        <w:tc>
          <w:tcPr>
            <w:tcW w:w="1201" w:type="pct"/>
            <w:tcBorders>
              <w:top w:val="nil"/>
              <w:left w:val="nil"/>
              <w:bottom w:val="single" w:sz="4" w:space="0" w:color="auto"/>
              <w:right w:val="single" w:sz="4" w:space="0" w:color="auto"/>
            </w:tcBorders>
            <w:shd w:val="clear" w:color="auto" w:fill="auto"/>
            <w:noWrap/>
            <w:hideMark/>
          </w:tcPr>
          <w:p w14:paraId="0279D7D4" w14:textId="5DE990AA"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NA</w:t>
            </w:r>
          </w:p>
        </w:tc>
      </w:tr>
      <w:tr w:rsidR="00085E99" w:rsidRPr="005A7FF0" w14:paraId="604CE0C0" w14:textId="77777777" w:rsidTr="007B2A48">
        <w:trPr>
          <w:trHeight w:val="530"/>
        </w:trPr>
        <w:tc>
          <w:tcPr>
            <w:tcW w:w="1921" w:type="pct"/>
            <w:tcBorders>
              <w:top w:val="nil"/>
              <w:left w:val="single" w:sz="4" w:space="0" w:color="auto"/>
              <w:bottom w:val="single" w:sz="4" w:space="0" w:color="auto"/>
              <w:right w:val="single" w:sz="4" w:space="0" w:color="auto"/>
            </w:tcBorders>
            <w:shd w:val="clear" w:color="auto" w:fill="auto"/>
            <w:hideMark/>
          </w:tcPr>
          <w:p w14:paraId="77D2E1C0" w14:textId="793A7E93" w:rsidR="00085E99" w:rsidRPr="005A7FF0" w:rsidRDefault="00085E99"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Land occupation, Tropical Forest</w:t>
            </w:r>
          </w:p>
        </w:tc>
        <w:tc>
          <w:tcPr>
            <w:tcW w:w="817" w:type="pct"/>
            <w:tcBorders>
              <w:top w:val="nil"/>
              <w:left w:val="nil"/>
              <w:bottom w:val="single" w:sz="4" w:space="0" w:color="auto"/>
              <w:right w:val="single" w:sz="4" w:space="0" w:color="auto"/>
            </w:tcBorders>
            <w:shd w:val="clear" w:color="auto" w:fill="auto"/>
            <w:noWrap/>
            <w:hideMark/>
          </w:tcPr>
          <w:p w14:paraId="702B68F3" w14:textId="7749F56F"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3,030</w:t>
            </w:r>
            <w:r w:rsidR="00754564" w:rsidRPr="005A7FF0">
              <w:rPr>
                <w:rFonts w:ascii="Calibri" w:eastAsia="Times New Roman" w:hAnsi="Calibri" w:cs="Calibri"/>
                <w:color w:val="000000"/>
                <w:sz w:val="24"/>
                <w:szCs w:val="24"/>
                <w:vertAlign w:val="superscript"/>
                <w:lang w:val="es-MX"/>
              </w:rPr>
              <w:t>2</w:t>
            </w:r>
          </w:p>
        </w:tc>
        <w:tc>
          <w:tcPr>
            <w:tcW w:w="1061" w:type="pct"/>
            <w:tcBorders>
              <w:top w:val="nil"/>
              <w:left w:val="nil"/>
              <w:bottom w:val="single" w:sz="4" w:space="0" w:color="auto"/>
              <w:right w:val="single" w:sz="4" w:space="0" w:color="auto"/>
            </w:tcBorders>
            <w:shd w:val="clear" w:color="auto" w:fill="auto"/>
            <w:noWrap/>
            <w:hideMark/>
          </w:tcPr>
          <w:p w14:paraId="4C662930" w14:textId="356C1F02"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NA</w:t>
            </w:r>
          </w:p>
        </w:tc>
        <w:tc>
          <w:tcPr>
            <w:tcW w:w="1201" w:type="pct"/>
            <w:tcBorders>
              <w:top w:val="nil"/>
              <w:left w:val="nil"/>
              <w:bottom w:val="single" w:sz="4" w:space="0" w:color="auto"/>
              <w:right w:val="single" w:sz="4" w:space="0" w:color="auto"/>
            </w:tcBorders>
            <w:shd w:val="clear" w:color="auto" w:fill="auto"/>
            <w:noWrap/>
            <w:hideMark/>
          </w:tcPr>
          <w:p w14:paraId="0646FA78" w14:textId="2832C7BE"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0.34</w:t>
            </w:r>
          </w:p>
        </w:tc>
      </w:tr>
      <w:tr w:rsidR="00085E99" w:rsidRPr="005A7FF0" w14:paraId="4BA296F5" w14:textId="77777777" w:rsidTr="007B2A48">
        <w:trPr>
          <w:trHeight w:val="413"/>
        </w:trPr>
        <w:tc>
          <w:tcPr>
            <w:tcW w:w="1921" w:type="pct"/>
            <w:tcBorders>
              <w:top w:val="nil"/>
              <w:left w:val="single" w:sz="4" w:space="0" w:color="auto"/>
              <w:bottom w:val="single" w:sz="4" w:space="0" w:color="auto"/>
              <w:right w:val="single" w:sz="4" w:space="0" w:color="auto"/>
            </w:tcBorders>
            <w:shd w:val="clear" w:color="auto" w:fill="auto"/>
            <w:hideMark/>
          </w:tcPr>
          <w:p w14:paraId="005700A4" w14:textId="43F4EC96" w:rsidR="00085E99" w:rsidRPr="005A7FF0" w:rsidRDefault="00085E99"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Land transformation, Tropical Forest</w:t>
            </w:r>
          </w:p>
        </w:tc>
        <w:tc>
          <w:tcPr>
            <w:tcW w:w="817" w:type="pct"/>
            <w:tcBorders>
              <w:top w:val="nil"/>
              <w:left w:val="nil"/>
              <w:bottom w:val="single" w:sz="4" w:space="0" w:color="auto"/>
              <w:right w:val="single" w:sz="4" w:space="0" w:color="auto"/>
            </w:tcBorders>
            <w:shd w:val="clear" w:color="auto" w:fill="auto"/>
            <w:noWrap/>
            <w:hideMark/>
          </w:tcPr>
          <w:p w14:paraId="24C053B8" w14:textId="65EC65EE"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4,160</w:t>
            </w:r>
            <w:r w:rsidR="00754564" w:rsidRPr="005A7FF0">
              <w:rPr>
                <w:rFonts w:ascii="Calibri" w:eastAsia="Times New Roman" w:hAnsi="Calibri" w:cs="Calibri"/>
                <w:color w:val="000000"/>
                <w:sz w:val="24"/>
                <w:szCs w:val="24"/>
                <w:vertAlign w:val="superscript"/>
              </w:rPr>
              <w:t>3</w:t>
            </w:r>
          </w:p>
        </w:tc>
        <w:tc>
          <w:tcPr>
            <w:tcW w:w="1061" w:type="pct"/>
            <w:tcBorders>
              <w:top w:val="nil"/>
              <w:left w:val="nil"/>
              <w:bottom w:val="single" w:sz="4" w:space="0" w:color="auto"/>
              <w:right w:val="single" w:sz="4" w:space="0" w:color="auto"/>
            </w:tcBorders>
            <w:shd w:val="clear" w:color="auto" w:fill="auto"/>
            <w:noWrap/>
            <w:hideMark/>
          </w:tcPr>
          <w:p w14:paraId="01587FE8" w14:textId="49320764"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NA</w:t>
            </w:r>
          </w:p>
        </w:tc>
        <w:tc>
          <w:tcPr>
            <w:tcW w:w="1201" w:type="pct"/>
            <w:tcBorders>
              <w:top w:val="nil"/>
              <w:left w:val="nil"/>
              <w:bottom w:val="single" w:sz="4" w:space="0" w:color="auto"/>
              <w:right w:val="single" w:sz="4" w:space="0" w:color="auto"/>
            </w:tcBorders>
            <w:shd w:val="clear" w:color="auto" w:fill="auto"/>
            <w:noWrap/>
            <w:hideMark/>
          </w:tcPr>
          <w:p w14:paraId="3B2FA2C6" w14:textId="1D744382"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0.47</w:t>
            </w:r>
          </w:p>
        </w:tc>
      </w:tr>
      <w:tr w:rsidR="00085E99" w:rsidRPr="005A7FF0" w14:paraId="5B3BAC6E" w14:textId="77777777" w:rsidTr="007B2A48">
        <w:trPr>
          <w:trHeight w:val="512"/>
        </w:trPr>
        <w:tc>
          <w:tcPr>
            <w:tcW w:w="1921" w:type="pct"/>
            <w:tcBorders>
              <w:top w:val="nil"/>
              <w:left w:val="single" w:sz="4" w:space="0" w:color="auto"/>
              <w:bottom w:val="single" w:sz="4" w:space="0" w:color="auto"/>
              <w:right w:val="single" w:sz="4" w:space="0" w:color="auto"/>
            </w:tcBorders>
            <w:shd w:val="clear" w:color="auto" w:fill="auto"/>
            <w:hideMark/>
          </w:tcPr>
          <w:p w14:paraId="3786234D" w14:textId="32679F0D" w:rsidR="00085E99" w:rsidRPr="005A7FF0" w:rsidRDefault="00085E99"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Sum of land occupation and clearing</w:t>
            </w:r>
          </w:p>
        </w:tc>
        <w:tc>
          <w:tcPr>
            <w:tcW w:w="817" w:type="pct"/>
            <w:tcBorders>
              <w:top w:val="nil"/>
              <w:left w:val="nil"/>
              <w:bottom w:val="single" w:sz="4" w:space="0" w:color="auto"/>
              <w:right w:val="single" w:sz="4" w:space="0" w:color="auto"/>
            </w:tcBorders>
            <w:shd w:val="clear" w:color="auto" w:fill="auto"/>
            <w:noWrap/>
            <w:hideMark/>
          </w:tcPr>
          <w:p w14:paraId="300502D6" w14:textId="3A79C95C" w:rsidR="00085E99" w:rsidRPr="005A7FF0" w:rsidRDefault="00085E99" w:rsidP="003632A1">
            <w:pPr>
              <w:spacing w:after="0" w:line="360" w:lineRule="auto"/>
              <w:jc w:val="center"/>
              <w:rPr>
                <w:rFonts w:ascii="Calibri" w:eastAsia="Times New Roman" w:hAnsi="Calibri" w:cs="Calibri"/>
                <w:color w:val="000000"/>
                <w:sz w:val="24"/>
                <w:szCs w:val="24"/>
              </w:rPr>
            </w:pPr>
          </w:p>
        </w:tc>
        <w:tc>
          <w:tcPr>
            <w:tcW w:w="1061" w:type="pct"/>
            <w:tcBorders>
              <w:top w:val="nil"/>
              <w:left w:val="nil"/>
              <w:bottom w:val="single" w:sz="4" w:space="0" w:color="auto"/>
              <w:right w:val="single" w:sz="4" w:space="0" w:color="auto"/>
            </w:tcBorders>
            <w:shd w:val="clear" w:color="auto" w:fill="auto"/>
            <w:noWrap/>
            <w:hideMark/>
          </w:tcPr>
          <w:p w14:paraId="4B4A989E" w14:textId="0AEA4C0B"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2.24</w:t>
            </w:r>
          </w:p>
        </w:tc>
        <w:tc>
          <w:tcPr>
            <w:tcW w:w="1201" w:type="pct"/>
            <w:tcBorders>
              <w:top w:val="nil"/>
              <w:left w:val="nil"/>
              <w:bottom w:val="single" w:sz="4" w:space="0" w:color="auto"/>
              <w:right w:val="single" w:sz="4" w:space="0" w:color="auto"/>
            </w:tcBorders>
            <w:shd w:val="clear" w:color="auto" w:fill="auto"/>
            <w:noWrap/>
            <w:hideMark/>
          </w:tcPr>
          <w:p w14:paraId="07CDCD2E" w14:textId="3151E635" w:rsidR="00085E99" w:rsidRPr="005A7FF0" w:rsidRDefault="00085E99"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0.82</w:t>
            </w:r>
          </w:p>
        </w:tc>
      </w:tr>
    </w:tbl>
    <w:p w14:paraId="31693B41" w14:textId="41ACEE97" w:rsidR="00754564" w:rsidRPr="005A7FF0" w:rsidRDefault="00754564" w:rsidP="001574E8">
      <w:pPr>
        <w:spacing w:after="0" w:line="24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vertAlign w:val="superscript"/>
        </w:rPr>
        <w:t>1</w:t>
      </w:r>
      <w:r w:rsidRPr="005A7FF0">
        <w:rPr>
          <w:rFonts w:ascii="Calibri" w:eastAsia="Times New Roman" w:hAnsi="Calibri" w:cs="Calibri"/>
          <w:color w:val="000000"/>
          <w:sz w:val="24"/>
          <w:szCs w:val="24"/>
        </w:rPr>
        <w:t xml:space="preserve"> Based on the average MSA of both provinces</w:t>
      </w:r>
      <w:r w:rsidR="003308E2">
        <w:rPr>
          <w:rFonts w:ascii="Calibri" w:eastAsia="Times New Roman" w:hAnsi="Calibri" w:cs="Calibri"/>
          <w:color w:val="000000"/>
          <w:sz w:val="24"/>
          <w:szCs w:val="24"/>
        </w:rPr>
        <w:t xml:space="preserve">, </w:t>
      </w:r>
    </w:p>
    <w:p w14:paraId="33EF7571" w14:textId="1A8A7978" w:rsidR="005F43E0" w:rsidRPr="005A7FF0" w:rsidRDefault="00754564" w:rsidP="001574E8">
      <w:pPr>
        <w:spacing w:after="0" w:line="240" w:lineRule="auto"/>
        <w:rPr>
          <w:rFonts w:ascii="Calibri" w:eastAsia="Times New Roman" w:hAnsi="Calibri" w:cs="Calibri"/>
          <w:color w:val="000000"/>
          <w:sz w:val="24"/>
          <w:szCs w:val="24"/>
          <w:lang w:val="es-MX"/>
        </w:rPr>
      </w:pPr>
      <w:r w:rsidRPr="005A7FF0">
        <w:rPr>
          <w:rFonts w:ascii="Calibri" w:eastAsia="Times New Roman" w:hAnsi="Calibri" w:cs="Calibri"/>
          <w:color w:val="000000"/>
          <w:sz w:val="24"/>
          <w:szCs w:val="24"/>
          <w:vertAlign w:val="superscript"/>
          <w:lang w:val="es-MX"/>
        </w:rPr>
        <w:lastRenderedPageBreak/>
        <w:t>2</w:t>
      </w:r>
      <w:r w:rsidR="005F43E0" w:rsidRPr="005A7FF0">
        <w:rPr>
          <w:rFonts w:ascii="Calibri" w:eastAsia="Times New Roman" w:hAnsi="Calibri" w:cs="Calibri"/>
          <w:color w:val="000000"/>
          <w:sz w:val="24"/>
          <w:szCs w:val="24"/>
          <w:vertAlign w:val="superscript"/>
          <w:lang w:val="es-MX"/>
        </w:rPr>
        <w:t xml:space="preserve"> </w:t>
      </w:r>
      <w:r w:rsidR="00CE47FA" w:rsidRPr="005A7FF0">
        <w:rPr>
          <w:rFonts w:ascii="Calibri" w:eastAsia="Times New Roman" w:hAnsi="Calibri" w:cs="Calibri"/>
          <w:color w:val="000000"/>
          <w:sz w:val="24"/>
          <w:szCs w:val="24"/>
          <w:lang w:val="es-MX"/>
        </w:rPr>
        <w:t>$/</w:t>
      </w:r>
      <w:r w:rsidR="009A1C0A" w:rsidRPr="005A7FF0">
        <w:rPr>
          <w:rFonts w:ascii="Calibri" w:eastAsia="Times New Roman" w:hAnsi="Calibri" w:cs="Calibri"/>
          <w:color w:val="000000"/>
          <w:sz w:val="24"/>
          <w:szCs w:val="24"/>
          <w:lang w:val="es-MX"/>
        </w:rPr>
        <w:t>(</w:t>
      </w:r>
      <w:r w:rsidR="00CE47FA" w:rsidRPr="005A7FF0">
        <w:rPr>
          <w:rFonts w:ascii="Calibri" w:eastAsia="Times New Roman" w:hAnsi="Calibri" w:cs="Calibri"/>
          <w:color w:val="000000"/>
          <w:sz w:val="24"/>
          <w:szCs w:val="24"/>
          <w:lang w:val="es-MX"/>
        </w:rPr>
        <w:t>MSA*ha</w:t>
      </w:r>
      <w:r w:rsidR="009A1C0A" w:rsidRPr="005A7FF0">
        <w:rPr>
          <w:rFonts w:ascii="Calibri" w:eastAsia="Times New Roman" w:hAnsi="Calibri" w:cs="Calibri"/>
          <w:color w:val="000000"/>
          <w:sz w:val="24"/>
          <w:szCs w:val="24"/>
          <w:lang w:val="es-MX"/>
        </w:rPr>
        <w:t>*</w:t>
      </w:r>
      <w:proofErr w:type="spellStart"/>
      <w:r w:rsidR="009A1C0A" w:rsidRPr="005A7FF0">
        <w:rPr>
          <w:rFonts w:ascii="Calibri" w:eastAsia="Times New Roman" w:hAnsi="Calibri" w:cs="Calibri"/>
          <w:color w:val="000000"/>
          <w:sz w:val="24"/>
          <w:szCs w:val="24"/>
          <w:lang w:val="es-MX"/>
        </w:rPr>
        <w:t>year</w:t>
      </w:r>
      <w:proofErr w:type="spellEnd"/>
      <w:r w:rsidR="009A1C0A" w:rsidRPr="005A7FF0">
        <w:rPr>
          <w:rFonts w:ascii="Calibri" w:eastAsia="Times New Roman" w:hAnsi="Calibri" w:cs="Calibri"/>
          <w:color w:val="000000"/>
          <w:sz w:val="24"/>
          <w:szCs w:val="24"/>
          <w:lang w:val="es-MX"/>
        </w:rPr>
        <w:t>)</w:t>
      </w:r>
      <w:r w:rsidR="00CE47FA" w:rsidRPr="005A7FF0">
        <w:rPr>
          <w:rFonts w:ascii="Calibri" w:eastAsia="Times New Roman" w:hAnsi="Calibri" w:cs="Calibri"/>
          <w:color w:val="000000"/>
          <w:sz w:val="24"/>
          <w:szCs w:val="24"/>
          <w:lang w:val="es-MX"/>
        </w:rPr>
        <w:t xml:space="preserve"> </w:t>
      </w:r>
    </w:p>
    <w:p w14:paraId="39E7EF8C" w14:textId="60A9A541" w:rsidR="00CE47FA" w:rsidRPr="005A7FF0" w:rsidRDefault="00754564" w:rsidP="001574E8">
      <w:pPr>
        <w:spacing w:after="0" w:line="240" w:lineRule="auto"/>
        <w:rPr>
          <w:sz w:val="24"/>
          <w:szCs w:val="24"/>
          <w:lang w:val="es-MX"/>
        </w:rPr>
      </w:pPr>
      <w:r w:rsidRPr="005A7FF0">
        <w:rPr>
          <w:rFonts w:ascii="Calibri" w:eastAsia="Times New Roman" w:hAnsi="Calibri" w:cs="Calibri"/>
          <w:color w:val="000000"/>
          <w:sz w:val="24"/>
          <w:szCs w:val="24"/>
          <w:vertAlign w:val="superscript"/>
          <w:lang w:val="es-MX"/>
        </w:rPr>
        <w:t>3</w:t>
      </w:r>
      <w:r w:rsidR="00CE47FA" w:rsidRPr="005A7FF0">
        <w:rPr>
          <w:rFonts w:ascii="Calibri" w:eastAsia="Times New Roman" w:hAnsi="Calibri" w:cs="Calibri"/>
          <w:color w:val="000000"/>
          <w:sz w:val="24"/>
          <w:szCs w:val="24"/>
          <w:lang w:val="es-MX"/>
        </w:rPr>
        <w:t>$/</w:t>
      </w:r>
      <w:r w:rsidR="009A1C0A" w:rsidRPr="005A7FF0">
        <w:rPr>
          <w:rFonts w:ascii="Calibri" w:eastAsia="Times New Roman" w:hAnsi="Calibri" w:cs="Calibri"/>
          <w:color w:val="000000"/>
          <w:sz w:val="24"/>
          <w:szCs w:val="24"/>
          <w:lang w:val="es-MX"/>
        </w:rPr>
        <w:t>(</w:t>
      </w:r>
      <w:r w:rsidR="00CE47FA" w:rsidRPr="005A7FF0">
        <w:rPr>
          <w:rFonts w:ascii="Calibri" w:eastAsia="Times New Roman" w:hAnsi="Calibri" w:cs="Calibri"/>
          <w:color w:val="000000"/>
          <w:sz w:val="24"/>
          <w:szCs w:val="24"/>
          <w:lang w:val="es-MX"/>
        </w:rPr>
        <w:t>MSA*h</w:t>
      </w:r>
      <w:r w:rsidR="009A1C0A" w:rsidRPr="005A7FF0">
        <w:rPr>
          <w:rFonts w:ascii="Calibri" w:eastAsia="Times New Roman" w:hAnsi="Calibri" w:cs="Calibri"/>
          <w:color w:val="000000"/>
          <w:sz w:val="24"/>
          <w:szCs w:val="24"/>
          <w:lang w:val="es-MX"/>
        </w:rPr>
        <w:t>a)</w:t>
      </w:r>
    </w:p>
    <w:p w14:paraId="6267D674" w14:textId="0F7ED982" w:rsidR="004C1D4D" w:rsidRPr="005A7FF0" w:rsidRDefault="00511193" w:rsidP="001574E8">
      <w:pPr>
        <w:spacing w:after="0" w:line="240" w:lineRule="auto"/>
        <w:rPr>
          <w:sz w:val="24"/>
          <w:szCs w:val="24"/>
        </w:rPr>
      </w:pPr>
      <w:r w:rsidRPr="005A7FF0">
        <w:rPr>
          <w:sz w:val="24"/>
          <w:szCs w:val="24"/>
        </w:rPr>
        <w:t>NA-not applicable</w:t>
      </w:r>
    </w:p>
    <w:p w14:paraId="75EA9765" w14:textId="77777777" w:rsidR="00440A34" w:rsidRDefault="00440A34" w:rsidP="003632A1">
      <w:pPr>
        <w:spacing w:before="120" w:after="120" w:line="360" w:lineRule="auto"/>
        <w:rPr>
          <w:sz w:val="28"/>
          <w:szCs w:val="28"/>
        </w:rPr>
      </w:pPr>
    </w:p>
    <w:p w14:paraId="06FE114A" w14:textId="73D96452" w:rsidR="004F3894" w:rsidRPr="005A7FF0" w:rsidRDefault="004F3894" w:rsidP="003632A1">
      <w:pPr>
        <w:spacing w:before="120" w:after="120" w:line="360" w:lineRule="auto"/>
        <w:rPr>
          <w:sz w:val="28"/>
          <w:szCs w:val="28"/>
        </w:rPr>
      </w:pPr>
      <w:r w:rsidRPr="005A7FF0">
        <w:rPr>
          <w:sz w:val="28"/>
          <w:szCs w:val="28"/>
        </w:rPr>
        <w:t>3.6 Nutrition and health</w:t>
      </w:r>
    </w:p>
    <w:p w14:paraId="58B5CEF8" w14:textId="2B0C4365" w:rsidR="00164DEE" w:rsidRPr="005A7FF0" w:rsidRDefault="00164DEE" w:rsidP="003632A1">
      <w:pPr>
        <w:spacing w:after="120" w:line="360" w:lineRule="auto"/>
        <w:rPr>
          <w:sz w:val="24"/>
          <w:szCs w:val="24"/>
        </w:rPr>
      </w:pPr>
      <w:r w:rsidRPr="005A7FF0">
        <w:rPr>
          <w:sz w:val="24"/>
          <w:szCs w:val="24"/>
        </w:rPr>
        <w:t>A comparison of nutrient contents per 100 g</w:t>
      </w:r>
      <w:r w:rsidR="00E56CDB" w:rsidRPr="005A7FF0">
        <w:rPr>
          <w:sz w:val="24"/>
          <w:szCs w:val="24"/>
        </w:rPr>
        <w:t xml:space="preserve"> of oil</w:t>
      </w:r>
      <w:r w:rsidRPr="005A7FF0">
        <w:rPr>
          <w:sz w:val="24"/>
          <w:szCs w:val="24"/>
        </w:rPr>
        <w:t xml:space="preserve"> from the USDA </w:t>
      </w:r>
      <w:proofErr w:type="spellStart"/>
      <w:r w:rsidRPr="005A7FF0">
        <w:rPr>
          <w:sz w:val="24"/>
          <w:szCs w:val="24"/>
        </w:rPr>
        <w:t>FoodData</w:t>
      </w:r>
      <w:proofErr w:type="spellEnd"/>
      <w:r w:rsidRPr="005A7FF0">
        <w:rPr>
          <w:sz w:val="24"/>
          <w:szCs w:val="24"/>
        </w:rPr>
        <w:t xml:space="preserve"> database (SR Legacy Foods</w:t>
      </w:r>
      <w:r w:rsidR="003A18F7" w:rsidRPr="005A7FF0">
        <w:rPr>
          <w:sz w:val="24"/>
          <w:szCs w:val="24"/>
        </w:rPr>
        <w:t>, (</w:t>
      </w:r>
      <w:hyperlink r:id="rId28" w:anchor="/" w:history="1">
        <w:r w:rsidR="003A18F7" w:rsidRPr="005A7FF0">
          <w:rPr>
            <w:rStyle w:val="Hyperlink"/>
            <w:sz w:val="24"/>
            <w:szCs w:val="24"/>
          </w:rPr>
          <w:t>https://fdc.nal.usda.gov/fdc-app.html#/</w:t>
        </w:r>
      </w:hyperlink>
      <w:r w:rsidRPr="005A7FF0">
        <w:rPr>
          <w:sz w:val="24"/>
          <w:szCs w:val="24"/>
        </w:rPr>
        <w:t>) for rapeseed and palm oils show that these oils have different nutritional profile</w:t>
      </w:r>
      <w:r w:rsidR="00CA170B" w:rsidRPr="005A7FF0">
        <w:rPr>
          <w:sz w:val="24"/>
          <w:szCs w:val="24"/>
        </w:rPr>
        <w:t>s</w:t>
      </w:r>
      <w:r w:rsidRPr="005A7FF0">
        <w:rPr>
          <w:sz w:val="24"/>
          <w:szCs w:val="24"/>
        </w:rPr>
        <w:t xml:space="preserve"> (Table 8). </w:t>
      </w:r>
      <w:r w:rsidR="00993EC2" w:rsidRPr="005A7FF0">
        <w:rPr>
          <w:sz w:val="24"/>
          <w:szCs w:val="24"/>
        </w:rPr>
        <w:t>T</w:t>
      </w:r>
      <w:r w:rsidR="00E56CDB" w:rsidRPr="005A7FF0">
        <w:rPr>
          <w:sz w:val="24"/>
          <w:szCs w:val="24"/>
        </w:rPr>
        <w:t>able</w:t>
      </w:r>
      <w:r w:rsidR="00993EC2" w:rsidRPr="005A7FF0">
        <w:rPr>
          <w:sz w:val="24"/>
          <w:szCs w:val="24"/>
        </w:rPr>
        <w:t xml:space="preserve"> 8 </w:t>
      </w:r>
      <w:r w:rsidR="00E56CDB" w:rsidRPr="005A7FF0">
        <w:rPr>
          <w:sz w:val="24"/>
          <w:szCs w:val="24"/>
        </w:rPr>
        <w:t xml:space="preserve">also presents the </w:t>
      </w:r>
      <w:r w:rsidR="006D2885" w:rsidRPr="005A7FF0">
        <w:rPr>
          <w:sz w:val="24"/>
          <w:szCs w:val="24"/>
        </w:rPr>
        <w:t>percentage of</w:t>
      </w:r>
      <w:r w:rsidR="00CA170B" w:rsidRPr="005A7FF0">
        <w:rPr>
          <w:sz w:val="24"/>
          <w:szCs w:val="24"/>
        </w:rPr>
        <w:t xml:space="preserve"> nutritional </w:t>
      </w:r>
      <w:r w:rsidR="00E56CDB" w:rsidRPr="005A7FF0">
        <w:rPr>
          <w:sz w:val="24"/>
          <w:szCs w:val="24"/>
        </w:rPr>
        <w:t xml:space="preserve">content of one oil versus the other. </w:t>
      </w:r>
      <w:r w:rsidR="00993EC2" w:rsidRPr="005A7FF0">
        <w:rPr>
          <w:sz w:val="24"/>
          <w:szCs w:val="24"/>
        </w:rPr>
        <w:t xml:space="preserve">Note that since for some nutrients, one oil did not have any content the percentage </w:t>
      </w:r>
      <w:r w:rsidR="00C2583C" w:rsidRPr="005A7FF0">
        <w:rPr>
          <w:sz w:val="24"/>
          <w:szCs w:val="24"/>
        </w:rPr>
        <w:t>cannot</w:t>
      </w:r>
      <w:r w:rsidR="00993EC2" w:rsidRPr="005A7FF0">
        <w:rPr>
          <w:sz w:val="24"/>
          <w:szCs w:val="24"/>
        </w:rPr>
        <w:t xml:space="preserve"> be calculated (grey in the table). </w:t>
      </w:r>
    </w:p>
    <w:p w14:paraId="18D6D990" w14:textId="678CC903" w:rsidR="00FC78AB" w:rsidRPr="005A7FF0" w:rsidRDefault="00164DEE" w:rsidP="003632A1">
      <w:pPr>
        <w:spacing w:line="360" w:lineRule="auto"/>
        <w:rPr>
          <w:sz w:val="24"/>
          <w:szCs w:val="24"/>
        </w:rPr>
      </w:pPr>
      <w:r w:rsidRPr="005A7FF0">
        <w:rPr>
          <w:sz w:val="24"/>
          <w:szCs w:val="24"/>
        </w:rPr>
        <w:t xml:space="preserve">Palm and rapeseed oils have similar levels of alpha-tocopherol, the most common form of Vitamin E, a fat-soluble antioxidant </w:t>
      </w:r>
      <w:r w:rsidR="00A600B7" w:rsidRPr="005A7FF0">
        <w:rPr>
          <w:sz w:val="24"/>
          <w:szCs w:val="24"/>
        </w:rPr>
        <w:t>that</w:t>
      </w:r>
      <w:r w:rsidRPr="005A7FF0">
        <w:rPr>
          <w:sz w:val="24"/>
          <w:szCs w:val="24"/>
        </w:rPr>
        <w:t xml:space="preserve"> is involved in immune response</w:t>
      </w:r>
      <w:r w:rsidR="00A600B7" w:rsidRPr="005A7FF0">
        <w:rPr>
          <w:sz w:val="24"/>
          <w:szCs w:val="24"/>
        </w:rPr>
        <w:t>s</w:t>
      </w:r>
      <w:r w:rsidRPr="005A7FF0">
        <w:rPr>
          <w:sz w:val="24"/>
          <w:szCs w:val="24"/>
        </w:rPr>
        <w:t xml:space="preserve">. Unlike palm oil, rapeseed oil contains gamma-tocopherol. This from of Vitamin E may possess unique features that are different from alpha-tocopherol. There is some evidence that that plasma concentrations of gamma-tocopherol are inversely associated with the incidence of cardiovascular disease and prostate cancer (Jiang et al., 2001).  </w:t>
      </w:r>
    </w:p>
    <w:p w14:paraId="162A7F3C" w14:textId="6329268E" w:rsidR="00FC78AB" w:rsidRPr="005A7FF0" w:rsidRDefault="00164DEE" w:rsidP="003632A1">
      <w:pPr>
        <w:spacing w:line="360" w:lineRule="auto"/>
        <w:rPr>
          <w:sz w:val="24"/>
          <w:szCs w:val="24"/>
        </w:rPr>
      </w:pPr>
      <w:r w:rsidRPr="005A7FF0">
        <w:rPr>
          <w:sz w:val="24"/>
          <w:szCs w:val="24"/>
        </w:rPr>
        <w:t xml:space="preserve">Rapeseed oil has a substantial higher content of Vitamin K than palm oil. This vitamin is important for blood coagulation and bone structure. </w:t>
      </w:r>
    </w:p>
    <w:p w14:paraId="425CBFF8" w14:textId="284C18EC" w:rsidR="00164DEE" w:rsidRPr="005A7FF0" w:rsidRDefault="00164DEE" w:rsidP="003632A1">
      <w:pPr>
        <w:spacing w:line="360" w:lineRule="auto"/>
        <w:rPr>
          <w:sz w:val="24"/>
          <w:szCs w:val="24"/>
        </w:rPr>
      </w:pPr>
      <w:r w:rsidRPr="005A7FF0">
        <w:rPr>
          <w:sz w:val="24"/>
          <w:szCs w:val="24"/>
        </w:rPr>
        <w:t>Palm oil has a substantially higher content of saturated fatty acids (SFA</w:t>
      </w:r>
      <w:r w:rsidR="00FC78AB" w:rsidRPr="005A7FF0">
        <w:rPr>
          <w:sz w:val="24"/>
          <w:szCs w:val="24"/>
        </w:rPr>
        <w:t>s</w:t>
      </w:r>
      <w:r w:rsidRPr="005A7FF0">
        <w:rPr>
          <w:sz w:val="24"/>
          <w:szCs w:val="24"/>
        </w:rPr>
        <w:t xml:space="preserve">) than </w:t>
      </w:r>
      <w:r w:rsidR="004F51E6" w:rsidRPr="005A7FF0">
        <w:rPr>
          <w:sz w:val="24"/>
          <w:szCs w:val="24"/>
        </w:rPr>
        <w:t xml:space="preserve">rapeseed oil, about seven times as much. </w:t>
      </w:r>
      <w:r w:rsidR="00996C7F" w:rsidRPr="005A7FF0">
        <w:rPr>
          <w:sz w:val="24"/>
          <w:szCs w:val="24"/>
        </w:rPr>
        <w:t>This is especially true for</w:t>
      </w:r>
      <w:r w:rsidR="004F51E6" w:rsidRPr="005A7FF0">
        <w:rPr>
          <w:sz w:val="24"/>
          <w:szCs w:val="24"/>
        </w:rPr>
        <w:t xml:space="preserve"> palmitic acid, which is the major component of the fruit of oil palms. </w:t>
      </w:r>
      <w:r w:rsidR="00F373A1" w:rsidRPr="005A7FF0">
        <w:rPr>
          <w:sz w:val="24"/>
          <w:szCs w:val="24"/>
        </w:rPr>
        <w:t xml:space="preserve">High consumption of </w:t>
      </w:r>
      <w:r w:rsidR="004F51E6" w:rsidRPr="005A7FF0">
        <w:rPr>
          <w:sz w:val="24"/>
          <w:szCs w:val="24"/>
        </w:rPr>
        <w:t>S</w:t>
      </w:r>
      <w:r w:rsidR="00933461" w:rsidRPr="005A7FF0">
        <w:rPr>
          <w:sz w:val="24"/>
          <w:szCs w:val="24"/>
        </w:rPr>
        <w:t>FA</w:t>
      </w:r>
      <w:r w:rsidR="00FC78AB" w:rsidRPr="005A7FF0">
        <w:rPr>
          <w:sz w:val="24"/>
          <w:szCs w:val="24"/>
        </w:rPr>
        <w:t>s</w:t>
      </w:r>
      <w:r w:rsidR="00933461" w:rsidRPr="005A7FF0">
        <w:rPr>
          <w:sz w:val="24"/>
          <w:szCs w:val="24"/>
        </w:rPr>
        <w:t xml:space="preserve"> </w:t>
      </w:r>
      <w:r w:rsidR="00F373A1" w:rsidRPr="005A7FF0">
        <w:rPr>
          <w:sz w:val="24"/>
          <w:szCs w:val="24"/>
        </w:rPr>
        <w:t>has been</w:t>
      </w:r>
      <w:r w:rsidR="00933461" w:rsidRPr="005A7FF0">
        <w:rPr>
          <w:sz w:val="24"/>
          <w:szCs w:val="24"/>
        </w:rPr>
        <w:t xml:space="preserve"> associated with</w:t>
      </w:r>
      <w:r w:rsidR="00F373A1" w:rsidRPr="005A7FF0">
        <w:rPr>
          <w:sz w:val="24"/>
          <w:szCs w:val="24"/>
        </w:rPr>
        <w:t xml:space="preserve"> raising total cholesterol</w:t>
      </w:r>
      <w:r w:rsidR="00933461" w:rsidRPr="005A7FF0">
        <w:rPr>
          <w:sz w:val="24"/>
          <w:szCs w:val="24"/>
        </w:rPr>
        <w:t xml:space="preserve"> </w:t>
      </w:r>
      <w:r w:rsidR="00F373A1" w:rsidRPr="005A7FF0">
        <w:rPr>
          <w:sz w:val="24"/>
          <w:szCs w:val="24"/>
        </w:rPr>
        <w:t xml:space="preserve">and </w:t>
      </w:r>
      <w:r w:rsidR="00FC78AB" w:rsidRPr="005A7FF0">
        <w:rPr>
          <w:sz w:val="24"/>
          <w:szCs w:val="24"/>
        </w:rPr>
        <w:t>Low-density</w:t>
      </w:r>
      <w:r w:rsidR="00F373A1" w:rsidRPr="005A7FF0">
        <w:rPr>
          <w:sz w:val="24"/>
          <w:szCs w:val="24"/>
        </w:rPr>
        <w:t xml:space="preserve"> cholesterol (LDL), as well as </w:t>
      </w:r>
      <w:r w:rsidR="00933461" w:rsidRPr="005A7FF0">
        <w:rPr>
          <w:sz w:val="24"/>
          <w:szCs w:val="24"/>
        </w:rPr>
        <w:t>c</w:t>
      </w:r>
      <w:r w:rsidR="00F373A1" w:rsidRPr="005A7FF0">
        <w:rPr>
          <w:sz w:val="24"/>
          <w:szCs w:val="24"/>
        </w:rPr>
        <w:t>hronic diseases (</w:t>
      </w:r>
      <w:r w:rsidR="00CF2F6C" w:rsidRPr="005A7FF0">
        <w:rPr>
          <w:sz w:val="24"/>
          <w:szCs w:val="24"/>
        </w:rPr>
        <w:t>Calder, 2015; Chow, 2008).</w:t>
      </w:r>
      <w:r w:rsidR="00F373A1" w:rsidRPr="005A7FF0">
        <w:rPr>
          <w:sz w:val="24"/>
          <w:szCs w:val="24"/>
        </w:rPr>
        <w:t xml:space="preserve"> </w:t>
      </w:r>
    </w:p>
    <w:p w14:paraId="23EABDE5" w14:textId="176B34B2" w:rsidR="00BE0A4B" w:rsidRPr="005A7FF0" w:rsidRDefault="00FC78AB" w:rsidP="003632A1">
      <w:pPr>
        <w:spacing w:line="360" w:lineRule="auto"/>
        <w:rPr>
          <w:rFonts w:ascii="Calibri" w:eastAsia="Times New Roman" w:hAnsi="Calibri" w:cs="Calibri"/>
          <w:color w:val="000000"/>
          <w:sz w:val="24"/>
          <w:szCs w:val="24"/>
        </w:rPr>
      </w:pPr>
      <w:r w:rsidRPr="005A7FF0">
        <w:rPr>
          <w:sz w:val="24"/>
          <w:szCs w:val="24"/>
        </w:rPr>
        <w:t>Rapeseed oil has a high level of unsaturated fatty acids (UFAs) compared to palm oil. UFAs play important roles in the human body</w:t>
      </w:r>
      <w:r w:rsidR="003873C6" w:rsidRPr="005A7FF0">
        <w:rPr>
          <w:sz w:val="24"/>
          <w:szCs w:val="24"/>
        </w:rPr>
        <w:t xml:space="preserve"> and their consumption is considered to be healthy (Zhou et al., 2020). There are two types of UFAs, monounsaturated</w:t>
      </w:r>
      <w:r w:rsidR="00626237" w:rsidRPr="005A7FF0">
        <w:rPr>
          <w:sz w:val="24"/>
          <w:szCs w:val="24"/>
        </w:rPr>
        <w:t xml:space="preserve"> (MUFUs)</w:t>
      </w:r>
      <w:r w:rsidR="003873C6" w:rsidRPr="005A7FF0">
        <w:rPr>
          <w:sz w:val="24"/>
          <w:szCs w:val="24"/>
        </w:rPr>
        <w:t xml:space="preserve"> and</w:t>
      </w:r>
      <w:r w:rsidR="003873C6" w:rsidRPr="005A7FF0">
        <w:rPr>
          <w:rFonts w:ascii="Calibri" w:eastAsia="Times New Roman" w:hAnsi="Calibri" w:cs="Calibri"/>
          <w:color w:val="000000"/>
          <w:sz w:val="24"/>
          <w:szCs w:val="24"/>
        </w:rPr>
        <w:t xml:space="preserve"> polyunsaturated</w:t>
      </w:r>
      <w:r w:rsidR="00626237" w:rsidRPr="005A7FF0">
        <w:rPr>
          <w:rFonts w:ascii="Calibri" w:eastAsia="Times New Roman" w:hAnsi="Calibri" w:cs="Calibri"/>
          <w:color w:val="000000"/>
          <w:sz w:val="24"/>
          <w:szCs w:val="24"/>
        </w:rPr>
        <w:t xml:space="preserve"> (PUFAs)</w:t>
      </w:r>
      <w:r w:rsidR="003873C6" w:rsidRPr="005A7FF0">
        <w:rPr>
          <w:sz w:val="24"/>
          <w:szCs w:val="24"/>
        </w:rPr>
        <w:t xml:space="preserve">. The former can be synthesized by the human body, while the latter has to be obtained from the diet. </w:t>
      </w:r>
      <w:r w:rsidR="00F81219" w:rsidRPr="005A7FF0">
        <w:rPr>
          <w:sz w:val="24"/>
          <w:szCs w:val="24"/>
        </w:rPr>
        <w:t xml:space="preserve">For both types, rapeseed </w:t>
      </w:r>
      <w:r w:rsidR="00A600B7" w:rsidRPr="005A7FF0">
        <w:rPr>
          <w:sz w:val="24"/>
          <w:szCs w:val="24"/>
        </w:rPr>
        <w:t>oil has</w:t>
      </w:r>
      <w:r w:rsidR="00F81219" w:rsidRPr="005A7FF0">
        <w:rPr>
          <w:sz w:val="24"/>
          <w:szCs w:val="24"/>
        </w:rPr>
        <w:t xml:space="preserve"> a higher content than palm oil, particularly</w:t>
      </w:r>
      <w:r w:rsidR="00A600B7" w:rsidRPr="005A7FF0">
        <w:rPr>
          <w:sz w:val="24"/>
          <w:szCs w:val="24"/>
        </w:rPr>
        <w:t xml:space="preserve"> for</w:t>
      </w:r>
      <w:r w:rsidR="00F81219" w:rsidRPr="005A7FF0">
        <w:rPr>
          <w:sz w:val="24"/>
          <w:szCs w:val="24"/>
        </w:rPr>
        <w:t xml:space="preserve"> </w:t>
      </w:r>
      <w:r w:rsidR="00F81219" w:rsidRPr="005A7FF0">
        <w:rPr>
          <w:sz w:val="24"/>
          <w:szCs w:val="24"/>
        </w:rPr>
        <w:lastRenderedPageBreak/>
        <w:t>ole</w:t>
      </w:r>
      <w:r w:rsidR="00AD29D1" w:rsidRPr="005A7FF0">
        <w:rPr>
          <w:sz w:val="24"/>
          <w:szCs w:val="24"/>
        </w:rPr>
        <w:t>ic acid</w:t>
      </w:r>
      <w:r w:rsidR="00626237" w:rsidRPr="005A7FF0">
        <w:rPr>
          <w:sz w:val="24"/>
          <w:szCs w:val="24"/>
        </w:rPr>
        <w:t xml:space="preserve"> (MUFA 18:1), </w:t>
      </w:r>
      <w:r w:rsidR="00626237" w:rsidRPr="005A7FF0">
        <w:rPr>
          <w:rFonts w:ascii="Calibri" w:eastAsia="Times New Roman" w:hAnsi="Calibri" w:cs="Calibri"/>
          <w:color w:val="000000"/>
          <w:sz w:val="24"/>
          <w:szCs w:val="24"/>
        </w:rPr>
        <w:t>linoleic acid (PUFA 18:2)</w:t>
      </w:r>
      <w:r w:rsidR="00A600B7" w:rsidRPr="005A7FF0">
        <w:rPr>
          <w:rFonts w:ascii="Calibri" w:eastAsia="Times New Roman" w:hAnsi="Calibri" w:cs="Calibri"/>
          <w:color w:val="000000"/>
          <w:sz w:val="24"/>
          <w:szCs w:val="24"/>
        </w:rPr>
        <w:t>,</w:t>
      </w:r>
      <w:r w:rsidR="00626237" w:rsidRPr="005A7FF0">
        <w:rPr>
          <w:rFonts w:ascii="Calibri" w:eastAsia="Times New Roman" w:hAnsi="Calibri" w:cs="Calibri"/>
          <w:color w:val="000000"/>
          <w:sz w:val="24"/>
          <w:szCs w:val="24"/>
        </w:rPr>
        <w:t xml:space="preserve"> and linolenic acid (PUFA 18:3)</w:t>
      </w:r>
      <w:r w:rsidR="00FF2916" w:rsidRPr="005A7FF0">
        <w:rPr>
          <w:rFonts w:ascii="Calibri" w:eastAsia="Times New Roman" w:hAnsi="Calibri" w:cs="Calibri"/>
          <w:color w:val="000000"/>
          <w:sz w:val="24"/>
          <w:szCs w:val="24"/>
        </w:rPr>
        <w:t xml:space="preserve">. </w:t>
      </w:r>
      <w:r w:rsidR="00996C7F" w:rsidRPr="005A7FF0">
        <w:rPr>
          <w:rFonts w:ascii="Calibri" w:eastAsia="Times New Roman" w:hAnsi="Calibri" w:cs="Calibri"/>
          <w:color w:val="000000"/>
          <w:sz w:val="24"/>
          <w:szCs w:val="24"/>
        </w:rPr>
        <w:t xml:space="preserve">Since the </w:t>
      </w:r>
      <w:r w:rsidR="00FF2916" w:rsidRPr="005A7FF0">
        <w:rPr>
          <w:rFonts w:ascii="Calibri" w:eastAsia="Times New Roman" w:hAnsi="Calibri" w:cs="Calibri"/>
          <w:color w:val="000000"/>
          <w:sz w:val="24"/>
          <w:szCs w:val="24"/>
        </w:rPr>
        <w:t>consumption of these UFAs is considered healthy (Zhou et al., 2020)</w:t>
      </w:r>
      <w:r w:rsidR="00996C7F" w:rsidRPr="005A7FF0">
        <w:rPr>
          <w:rFonts w:ascii="Calibri" w:eastAsia="Times New Roman" w:hAnsi="Calibri" w:cs="Calibri"/>
          <w:color w:val="000000"/>
          <w:sz w:val="24"/>
          <w:szCs w:val="24"/>
        </w:rPr>
        <w:t>,</w:t>
      </w:r>
      <w:r w:rsidR="00FF2916" w:rsidRPr="005A7FF0">
        <w:rPr>
          <w:rFonts w:ascii="Calibri" w:eastAsia="Times New Roman" w:hAnsi="Calibri" w:cs="Calibri"/>
          <w:color w:val="000000"/>
          <w:sz w:val="24"/>
          <w:szCs w:val="24"/>
        </w:rPr>
        <w:t xml:space="preserve"> in terms of amounts and types of fatty acid content, </w:t>
      </w:r>
      <w:r w:rsidR="0062469F" w:rsidRPr="005A7FF0">
        <w:rPr>
          <w:rFonts w:ascii="Calibri" w:eastAsia="Times New Roman" w:hAnsi="Calibri" w:cs="Calibri"/>
          <w:color w:val="000000"/>
          <w:sz w:val="24"/>
          <w:szCs w:val="24"/>
        </w:rPr>
        <w:t xml:space="preserve">rapeseed oil can be considered superior to palm oil. </w:t>
      </w:r>
    </w:p>
    <w:p w14:paraId="24DADCA1" w14:textId="7AC36BB2" w:rsidR="0062469F" w:rsidRPr="005A7FF0" w:rsidRDefault="0062469F" w:rsidP="003632A1">
      <w:pPr>
        <w:spacing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 xml:space="preserve">Rapeseed oil has high quantities of phytosterols, such </w:t>
      </w:r>
      <w:proofErr w:type="spellStart"/>
      <w:r w:rsidRPr="005A7FF0">
        <w:rPr>
          <w:rFonts w:ascii="Calibri" w:eastAsia="Times New Roman" w:hAnsi="Calibri" w:cs="Calibri"/>
          <w:color w:val="000000"/>
          <w:sz w:val="24"/>
          <w:szCs w:val="24"/>
        </w:rPr>
        <w:t>campesterol</w:t>
      </w:r>
      <w:proofErr w:type="spellEnd"/>
      <w:r w:rsidRPr="005A7FF0">
        <w:rPr>
          <w:rFonts w:ascii="Calibri" w:eastAsia="Times New Roman" w:hAnsi="Calibri" w:cs="Calibri"/>
          <w:color w:val="000000"/>
          <w:sz w:val="24"/>
          <w:szCs w:val="24"/>
        </w:rPr>
        <w:t xml:space="preserve"> and Beta-sitosterol, absent in palm oil. Phytosterols can inhibit the absorption of cholesterol and</w:t>
      </w:r>
      <w:r w:rsidR="00902361" w:rsidRPr="005A7FF0">
        <w:rPr>
          <w:rFonts w:ascii="Calibri" w:eastAsia="Times New Roman" w:hAnsi="Calibri" w:cs="Calibri"/>
          <w:color w:val="000000"/>
          <w:sz w:val="24"/>
          <w:szCs w:val="24"/>
        </w:rPr>
        <w:t xml:space="preserve"> have significant preventive and therapeutic effects on cardiovascular diseases and cervical cancers. They have strong anti-inflammatory effects (Zhou et al., 2020).</w:t>
      </w:r>
    </w:p>
    <w:p w14:paraId="360788CC" w14:textId="0D9BFEF6" w:rsidR="00902361" w:rsidRPr="005A7FF0" w:rsidRDefault="00902361" w:rsidP="003632A1">
      <w:pPr>
        <w:spacing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Given the</w:t>
      </w:r>
      <w:r w:rsidR="00A600B7" w:rsidRPr="005A7FF0">
        <w:rPr>
          <w:rFonts w:ascii="Calibri" w:eastAsia="Times New Roman" w:hAnsi="Calibri" w:cs="Calibri"/>
          <w:color w:val="000000"/>
          <w:sz w:val="24"/>
          <w:szCs w:val="24"/>
        </w:rPr>
        <w:t xml:space="preserve"> differences in</w:t>
      </w:r>
      <w:r w:rsidRPr="005A7FF0">
        <w:rPr>
          <w:rFonts w:ascii="Calibri" w:eastAsia="Times New Roman" w:hAnsi="Calibri" w:cs="Calibri"/>
          <w:color w:val="000000"/>
          <w:sz w:val="24"/>
          <w:szCs w:val="24"/>
        </w:rPr>
        <w:t xml:space="preserve"> nutrient composition of palm and rapeseed oils, the latter seems to be superior to the former in terms of contributing to a healthy diet. Obviously, if these oils are used as ingredients in other products, their nutritional properties</w:t>
      </w:r>
      <w:r w:rsidR="00A600B7" w:rsidRPr="005A7FF0">
        <w:rPr>
          <w:rFonts w:ascii="Calibri" w:eastAsia="Times New Roman" w:hAnsi="Calibri" w:cs="Calibri"/>
          <w:color w:val="000000"/>
          <w:sz w:val="24"/>
          <w:szCs w:val="24"/>
        </w:rPr>
        <w:t>,</w:t>
      </w:r>
      <w:r w:rsidRPr="005A7FF0">
        <w:rPr>
          <w:rFonts w:ascii="Calibri" w:eastAsia="Times New Roman" w:hAnsi="Calibri" w:cs="Calibri"/>
          <w:color w:val="000000"/>
          <w:sz w:val="24"/>
          <w:szCs w:val="24"/>
        </w:rPr>
        <w:t xml:space="preserve"> and</w:t>
      </w:r>
      <w:r w:rsidR="00A600B7" w:rsidRPr="005A7FF0">
        <w:rPr>
          <w:rFonts w:ascii="Calibri" w:eastAsia="Times New Roman" w:hAnsi="Calibri" w:cs="Calibri"/>
          <w:color w:val="000000"/>
          <w:sz w:val="24"/>
          <w:szCs w:val="24"/>
        </w:rPr>
        <w:t xml:space="preserve"> their</w:t>
      </w:r>
      <w:r w:rsidRPr="005A7FF0">
        <w:rPr>
          <w:rFonts w:ascii="Calibri" w:eastAsia="Times New Roman" w:hAnsi="Calibri" w:cs="Calibri"/>
          <w:color w:val="000000"/>
          <w:sz w:val="24"/>
          <w:szCs w:val="24"/>
        </w:rPr>
        <w:t xml:space="preserve"> implications </w:t>
      </w:r>
      <w:r w:rsidR="00A600B7" w:rsidRPr="005A7FF0">
        <w:rPr>
          <w:rFonts w:ascii="Calibri" w:eastAsia="Times New Roman" w:hAnsi="Calibri" w:cs="Calibri"/>
          <w:color w:val="000000"/>
          <w:sz w:val="24"/>
          <w:szCs w:val="24"/>
        </w:rPr>
        <w:t xml:space="preserve">for human diets and health </w:t>
      </w:r>
      <w:r w:rsidRPr="005A7FF0">
        <w:rPr>
          <w:rFonts w:ascii="Calibri" w:eastAsia="Times New Roman" w:hAnsi="Calibri" w:cs="Calibri"/>
          <w:color w:val="000000"/>
          <w:sz w:val="24"/>
          <w:szCs w:val="24"/>
        </w:rPr>
        <w:t xml:space="preserve">may be different. </w:t>
      </w:r>
      <w:r w:rsidR="003764F8" w:rsidRPr="005A7FF0">
        <w:rPr>
          <w:rFonts w:ascii="Calibri" w:eastAsia="Times New Roman" w:hAnsi="Calibri" w:cs="Calibri"/>
          <w:color w:val="000000"/>
          <w:sz w:val="24"/>
          <w:szCs w:val="24"/>
        </w:rPr>
        <w:t xml:space="preserve">Direct consumption of palm oil is limited in Western countries, and much more common in Sub-Saharan and Asian countries. </w:t>
      </w:r>
      <w:r w:rsidR="006C1BCA" w:rsidRPr="005A7FF0">
        <w:rPr>
          <w:rFonts w:ascii="Calibri" w:eastAsia="Times New Roman" w:hAnsi="Calibri" w:cs="Calibri"/>
          <w:color w:val="000000"/>
          <w:sz w:val="24"/>
          <w:szCs w:val="24"/>
        </w:rPr>
        <w:t>Consumption of rapeseed oil is common in Western countries. For these reasons, a direct comparison of the nutritional implications of consuming these oils should be done with caution.</w:t>
      </w:r>
    </w:p>
    <w:p w14:paraId="07C46329" w14:textId="77777777" w:rsidR="007B2A48" w:rsidRDefault="007B2A48" w:rsidP="003632A1">
      <w:pPr>
        <w:spacing w:after="0" w:line="360" w:lineRule="auto"/>
        <w:rPr>
          <w:rFonts w:ascii="Calibri" w:eastAsia="Times New Roman" w:hAnsi="Calibri" w:cs="Calibri"/>
          <w:color w:val="000000"/>
          <w:sz w:val="24"/>
          <w:szCs w:val="24"/>
        </w:rPr>
      </w:pPr>
    </w:p>
    <w:p w14:paraId="22B99EF8" w14:textId="0F068260" w:rsidR="00E170F1" w:rsidRPr="005A7FF0" w:rsidRDefault="00164DEE" w:rsidP="003632A1">
      <w:pPr>
        <w:spacing w:after="0" w:line="360" w:lineRule="auto"/>
        <w:rPr>
          <w:sz w:val="24"/>
          <w:szCs w:val="24"/>
        </w:rPr>
      </w:pPr>
      <w:r w:rsidRPr="005A7FF0">
        <w:rPr>
          <w:sz w:val="24"/>
          <w:szCs w:val="24"/>
        </w:rPr>
        <w:t>Table 8. Comparison of nutrient content of palm and canola oils</w:t>
      </w:r>
      <w:r w:rsidR="00E812A3" w:rsidRPr="005A7FF0">
        <w:rPr>
          <w:sz w:val="24"/>
          <w:szCs w:val="24"/>
        </w:rPr>
        <w:t xml:space="preserve"> (nutrient/100 g of oil)</w:t>
      </w:r>
    </w:p>
    <w:tbl>
      <w:tblPr>
        <w:tblW w:w="5000" w:type="pct"/>
        <w:tblLook w:val="04A0" w:firstRow="1" w:lastRow="0" w:firstColumn="1" w:lastColumn="0" w:noHBand="0" w:noVBand="1"/>
      </w:tblPr>
      <w:tblGrid>
        <w:gridCol w:w="3650"/>
        <w:gridCol w:w="713"/>
        <w:gridCol w:w="1214"/>
        <w:gridCol w:w="1099"/>
        <w:gridCol w:w="1338"/>
        <w:gridCol w:w="1336"/>
      </w:tblGrid>
      <w:tr w:rsidR="00884240" w:rsidRPr="005A7FF0" w14:paraId="365E8FE9" w14:textId="77777777" w:rsidTr="00884240">
        <w:trPr>
          <w:trHeight w:val="345"/>
        </w:trPr>
        <w:tc>
          <w:tcPr>
            <w:tcW w:w="1798" w:type="pct"/>
            <w:tcBorders>
              <w:top w:val="single" w:sz="4" w:space="0" w:color="auto"/>
              <w:left w:val="single" w:sz="4" w:space="0" w:color="auto"/>
              <w:bottom w:val="single" w:sz="4" w:space="0" w:color="auto"/>
              <w:right w:val="single" w:sz="4" w:space="0" w:color="auto"/>
            </w:tcBorders>
            <w:shd w:val="clear" w:color="auto" w:fill="auto"/>
            <w:noWrap/>
            <w:hideMark/>
          </w:tcPr>
          <w:p w14:paraId="583DB147" w14:textId="77777777" w:rsidR="00F34752" w:rsidRPr="005A7FF0" w:rsidRDefault="00F34752"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Name</w:t>
            </w:r>
          </w:p>
        </w:tc>
        <w:tc>
          <w:tcPr>
            <w:tcW w:w="430" w:type="pct"/>
            <w:tcBorders>
              <w:top w:val="single" w:sz="4" w:space="0" w:color="auto"/>
              <w:left w:val="nil"/>
              <w:bottom w:val="single" w:sz="4" w:space="0" w:color="auto"/>
              <w:right w:val="single" w:sz="4" w:space="0" w:color="auto"/>
            </w:tcBorders>
            <w:shd w:val="clear" w:color="auto" w:fill="auto"/>
            <w:noWrap/>
            <w:hideMark/>
          </w:tcPr>
          <w:p w14:paraId="51C6DEB6" w14:textId="77777777" w:rsidR="00F34752" w:rsidRPr="005A7FF0" w:rsidRDefault="00F34752"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Unit</w:t>
            </w:r>
          </w:p>
        </w:tc>
        <w:tc>
          <w:tcPr>
            <w:tcW w:w="698" w:type="pct"/>
            <w:tcBorders>
              <w:top w:val="single" w:sz="4" w:space="0" w:color="auto"/>
              <w:left w:val="nil"/>
              <w:bottom w:val="single" w:sz="4" w:space="0" w:color="auto"/>
              <w:right w:val="single" w:sz="4" w:space="0" w:color="auto"/>
            </w:tcBorders>
            <w:shd w:val="clear" w:color="auto" w:fill="auto"/>
            <w:noWrap/>
            <w:hideMark/>
          </w:tcPr>
          <w:p w14:paraId="0E9ED661" w14:textId="77777777" w:rsidR="00884240" w:rsidRPr="005A7FF0" w:rsidRDefault="00F34752"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Rapeseed</w:t>
            </w:r>
          </w:p>
          <w:p w14:paraId="555AD7DD" w14:textId="1746B51D" w:rsidR="00F34752" w:rsidRPr="005A7FF0" w:rsidRDefault="00F34752"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 xml:space="preserve"> oil</w:t>
            </w:r>
            <w:r w:rsidRPr="005A7FF0">
              <w:rPr>
                <w:rFonts w:ascii="Calibri" w:eastAsia="Times New Roman" w:hAnsi="Calibri" w:cs="Calibri"/>
                <w:b/>
                <w:bCs/>
                <w:color w:val="000000"/>
                <w:sz w:val="24"/>
                <w:szCs w:val="24"/>
                <w:vertAlign w:val="superscript"/>
              </w:rPr>
              <w:t>2</w:t>
            </w:r>
          </w:p>
        </w:tc>
        <w:tc>
          <w:tcPr>
            <w:tcW w:w="547" w:type="pct"/>
            <w:tcBorders>
              <w:top w:val="single" w:sz="4" w:space="0" w:color="auto"/>
              <w:left w:val="nil"/>
              <w:bottom w:val="single" w:sz="4" w:space="0" w:color="auto"/>
              <w:right w:val="single" w:sz="4" w:space="0" w:color="auto"/>
            </w:tcBorders>
            <w:shd w:val="clear" w:color="auto" w:fill="auto"/>
            <w:noWrap/>
            <w:hideMark/>
          </w:tcPr>
          <w:p w14:paraId="19181AC5" w14:textId="77777777" w:rsidR="00F34752" w:rsidRPr="005A7FF0" w:rsidRDefault="00F34752"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Palm oil</w:t>
            </w:r>
            <w:r w:rsidRPr="005A7FF0">
              <w:rPr>
                <w:rFonts w:ascii="Calibri" w:eastAsia="Times New Roman" w:hAnsi="Calibri" w:cs="Calibri"/>
                <w:b/>
                <w:bCs/>
                <w:color w:val="000000"/>
                <w:sz w:val="24"/>
                <w:szCs w:val="24"/>
                <w:vertAlign w:val="superscript"/>
              </w:rPr>
              <w:t>1</w:t>
            </w:r>
          </w:p>
        </w:tc>
        <w:tc>
          <w:tcPr>
            <w:tcW w:w="764" w:type="pct"/>
            <w:tcBorders>
              <w:top w:val="single" w:sz="4" w:space="0" w:color="auto"/>
              <w:left w:val="nil"/>
              <w:bottom w:val="single" w:sz="4" w:space="0" w:color="auto"/>
              <w:right w:val="single" w:sz="4" w:space="0" w:color="auto"/>
            </w:tcBorders>
            <w:shd w:val="clear" w:color="auto" w:fill="auto"/>
            <w:noWrap/>
            <w:hideMark/>
          </w:tcPr>
          <w:p w14:paraId="71088B83" w14:textId="77777777" w:rsidR="00884240" w:rsidRPr="005A7FF0" w:rsidRDefault="00F34752"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Rapeseed/</w:t>
            </w:r>
          </w:p>
          <w:p w14:paraId="4CC7B71B" w14:textId="605326E8" w:rsidR="00F34752" w:rsidRPr="005A7FF0" w:rsidRDefault="00F34752"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palm</w:t>
            </w:r>
          </w:p>
        </w:tc>
        <w:tc>
          <w:tcPr>
            <w:tcW w:w="763" w:type="pct"/>
            <w:tcBorders>
              <w:top w:val="single" w:sz="4" w:space="0" w:color="auto"/>
              <w:left w:val="nil"/>
              <w:bottom w:val="single" w:sz="4" w:space="0" w:color="auto"/>
              <w:right w:val="single" w:sz="4" w:space="0" w:color="auto"/>
            </w:tcBorders>
            <w:shd w:val="clear" w:color="auto" w:fill="auto"/>
            <w:noWrap/>
            <w:hideMark/>
          </w:tcPr>
          <w:p w14:paraId="10A4A47B" w14:textId="77777777" w:rsidR="00884240" w:rsidRPr="005A7FF0" w:rsidRDefault="00F34752"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Palm/</w:t>
            </w:r>
          </w:p>
          <w:p w14:paraId="24C861D9" w14:textId="6FDD1CBE" w:rsidR="00F34752" w:rsidRPr="005A7FF0" w:rsidRDefault="00F34752" w:rsidP="003632A1">
            <w:pPr>
              <w:spacing w:after="0" w:line="360" w:lineRule="auto"/>
              <w:jc w:val="center"/>
              <w:rPr>
                <w:rFonts w:ascii="Calibri" w:eastAsia="Times New Roman" w:hAnsi="Calibri" w:cs="Calibri"/>
                <w:b/>
                <w:bCs/>
                <w:color w:val="000000"/>
                <w:sz w:val="24"/>
                <w:szCs w:val="24"/>
              </w:rPr>
            </w:pPr>
            <w:r w:rsidRPr="005A7FF0">
              <w:rPr>
                <w:rFonts w:ascii="Calibri" w:eastAsia="Times New Roman" w:hAnsi="Calibri" w:cs="Calibri"/>
                <w:b/>
                <w:bCs/>
                <w:color w:val="000000"/>
                <w:sz w:val="24"/>
                <w:szCs w:val="24"/>
              </w:rPr>
              <w:t>rapeseed</w:t>
            </w:r>
          </w:p>
        </w:tc>
      </w:tr>
      <w:tr w:rsidR="00884240" w:rsidRPr="005A7FF0" w14:paraId="5B22D975"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64C39B75"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Iron, Fe</w:t>
            </w:r>
          </w:p>
        </w:tc>
        <w:tc>
          <w:tcPr>
            <w:tcW w:w="430" w:type="pct"/>
            <w:tcBorders>
              <w:top w:val="nil"/>
              <w:left w:val="nil"/>
              <w:bottom w:val="single" w:sz="4" w:space="0" w:color="auto"/>
              <w:right w:val="single" w:sz="4" w:space="0" w:color="auto"/>
            </w:tcBorders>
            <w:shd w:val="clear" w:color="auto" w:fill="auto"/>
            <w:noWrap/>
            <w:hideMark/>
          </w:tcPr>
          <w:p w14:paraId="3F2FD216"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289B7620"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547" w:type="pct"/>
            <w:tcBorders>
              <w:top w:val="nil"/>
              <w:left w:val="nil"/>
              <w:bottom w:val="single" w:sz="4" w:space="0" w:color="auto"/>
              <w:right w:val="single" w:sz="4" w:space="0" w:color="auto"/>
            </w:tcBorders>
            <w:shd w:val="clear" w:color="auto" w:fill="auto"/>
            <w:noWrap/>
            <w:hideMark/>
          </w:tcPr>
          <w:p w14:paraId="6F0F852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0.01</w:t>
            </w:r>
          </w:p>
        </w:tc>
        <w:tc>
          <w:tcPr>
            <w:tcW w:w="764" w:type="pct"/>
            <w:tcBorders>
              <w:top w:val="nil"/>
              <w:left w:val="nil"/>
              <w:bottom w:val="single" w:sz="4" w:space="0" w:color="auto"/>
              <w:right w:val="single" w:sz="4" w:space="0" w:color="auto"/>
            </w:tcBorders>
            <w:shd w:val="clear" w:color="auto" w:fill="auto"/>
            <w:noWrap/>
            <w:hideMark/>
          </w:tcPr>
          <w:p w14:paraId="41755AEE"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auto" w:fill="auto"/>
            <w:noWrap/>
            <w:hideMark/>
          </w:tcPr>
          <w:p w14:paraId="4E2E23DE"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616C1095" w14:textId="77777777" w:rsidTr="00884240">
        <w:trPr>
          <w:trHeight w:val="287"/>
        </w:trPr>
        <w:tc>
          <w:tcPr>
            <w:tcW w:w="1798" w:type="pct"/>
            <w:tcBorders>
              <w:top w:val="nil"/>
              <w:left w:val="single" w:sz="4" w:space="0" w:color="auto"/>
              <w:bottom w:val="single" w:sz="4" w:space="0" w:color="auto"/>
              <w:right w:val="single" w:sz="4" w:space="0" w:color="auto"/>
            </w:tcBorders>
            <w:shd w:val="clear" w:color="auto" w:fill="auto"/>
            <w:noWrap/>
            <w:hideMark/>
          </w:tcPr>
          <w:p w14:paraId="62FD473A"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Choline, total</w:t>
            </w:r>
          </w:p>
        </w:tc>
        <w:tc>
          <w:tcPr>
            <w:tcW w:w="430" w:type="pct"/>
            <w:tcBorders>
              <w:top w:val="nil"/>
              <w:left w:val="nil"/>
              <w:bottom w:val="single" w:sz="4" w:space="0" w:color="auto"/>
              <w:right w:val="single" w:sz="4" w:space="0" w:color="auto"/>
            </w:tcBorders>
            <w:shd w:val="clear" w:color="auto" w:fill="auto"/>
            <w:noWrap/>
            <w:hideMark/>
          </w:tcPr>
          <w:p w14:paraId="29A2613A"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5578A9CA"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0.2</w:t>
            </w:r>
          </w:p>
        </w:tc>
        <w:tc>
          <w:tcPr>
            <w:tcW w:w="547" w:type="pct"/>
            <w:tcBorders>
              <w:top w:val="nil"/>
              <w:left w:val="nil"/>
              <w:bottom w:val="single" w:sz="4" w:space="0" w:color="auto"/>
              <w:right w:val="single" w:sz="4" w:space="0" w:color="auto"/>
            </w:tcBorders>
            <w:shd w:val="clear" w:color="auto" w:fill="auto"/>
            <w:noWrap/>
            <w:hideMark/>
          </w:tcPr>
          <w:p w14:paraId="11167B4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w:t>
            </w:r>
          </w:p>
        </w:tc>
        <w:tc>
          <w:tcPr>
            <w:tcW w:w="764" w:type="pct"/>
            <w:tcBorders>
              <w:top w:val="nil"/>
              <w:left w:val="nil"/>
              <w:bottom w:val="single" w:sz="4" w:space="0" w:color="auto"/>
              <w:right w:val="single" w:sz="4" w:space="0" w:color="auto"/>
            </w:tcBorders>
            <w:shd w:val="clear" w:color="auto" w:fill="auto"/>
            <w:noWrap/>
            <w:hideMark/>
          </w:tcPr>
          <w:p w14:paraId="26853FC5"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66.7</w:t>
            </w:r>
          </w:p>
        </w:tc>
        <w:tc>
          <w:tcPr>
            <w:tcW w:w="763" w:type="pct"/>
            <w:tcBorders>
              <w:top w:val="nil"/>
              <w:left w:val="nil"/>
              <w:bottom w:val="single" w:sz="4" w:space="0" w:color="auto"/>
              <w:right w:val="single" w:sz="4" w:space="0" w:color="auto"/>
            </w:tcBorders>
            <w:shd w:val="clear" w:color="auto" w:fill="auto"/>
            <w:noWrap/>
            <w:hideMark/>
          </w:tcPr>
          <w:p w14:paraId="60EC39A3"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150.0</w:t>
            </w:r>
          </w:p>
        </w:tc>
      </w:tr>
      <w:tr w:rsidR="00884240" w:rsidRPr="005A7FF0" w14:paraId="465B417C" w14:textId="77777777" w:rsidTr="00884240">
        <w:trPr>
          <w:trHeight w:val="395"/>
        </w:trPr>
        <w:tc>
          <w:tcPr>
            <w:tcW w:w="1798" w:type="pct"/>
            <w:tcBorders>
              <w:top w:val="nil"/>
              <w:left w:val="single" w:sz="4" w:space="0" w:color="auto"/>
              <w:bottom w:val="single" w:sz="4" w:space="0" w:color="auto"/>
              <w:right w:val="single" w:sz="4" w:space="0" w:color="auto"/>
            </w:tcBorders>
            <w:shd w:val="clear" w:color="auto" w:fill="auto"/>
            <w:noWrap/>
            <w:hideMark/>
          </w:tcPr>
          <w:p w14:paraId="09C51353"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Vitamin E (alpha-tocopherol)</w:t>
            </w:r>
          </w:p>
        </w:tc>
        <w:tc>
          <w:tcPr>
            <w:tcW w:w="430" w:type="pct"/>
            <w:tcBorders>
              <w:top w:val="nil"/>
              <w:left w:val="nil"/>
              <w:bottom w:val="single" w:sz="4" w:space="0" w:color="auto"/>
              <w:right w:val="single" w:sz="4" w:space="0" w:color="auto"/>
            </w:tcBorders>
            <w:shd w:val="clear" w:color="auto" w:fill="auto"/>
            <w:noWrap/>
            <w:hideMark/>
          </w:tcPr>
          <w:p w14:paraId="68831FE8"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096BEF6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17.5</w:t>
            </w:r>
          </w:p>
        </w:tc>
        <w:tc>
          <w:tcPr>
            <w:tcW w:w="547" w:type="pct"/>
            <w:tcBorders>
              <w:top w:val="nil"/>
              <w:left w:val="nil"/>
              <w:bottom w:val="single" w:sz="4" w:space="0" w:color="auto"/>
              <w:right w:val="single" w:sz="4" w:space="0" w:color="auto"/>
            </w:tcBorders>
            <w:shd w:val="clear" w:color="auto" w:fill="auto"/>
            <w:noWrap/>
            <w:hideMark/>
          </w:tcPr>
          <w:p w14:paraId="0CCD3B3C"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15.9</w:t>
            </w:r>
          </w:p>
        </w:tc>
        <w:tc>
          <w:tcPr>
            <w:tcW w:w="764" w:type="pct"/>
            <w:tcBorders>
              <w:top w:val="nil"/>
              <w:left w:val="nil"/>
              <w:bottom w:val="single" w:sz="4" w:space="0" w:color="auto"/>
              <w:right w:val="single" w:sz="4" w:space="0" w:color="auto"/>
            </w:tcBorders>
            <w:shd w:val="clear" w:color="auto" w:fill="auto"/>
            <w:noWrap/>
            <w:hideMark/>
          </w:tcPr>
          <w:p w14:paraId="38663255"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110.1</w:t>
            </w:r>
          </w:p>
        </w:tc>
        <w:tc>
          <w:tcPr>
            <w:tcW w:w="763" w:type="pct"/>
            <w:tcBorders>
              <w:top w:val="nil"/>
              <w:left w:val="nil"/>
              <w:bottom w:val="single" w:sz="4" w:space="0" w:color="auto"/>
              <w:right w:val="single" w:sz="4" w:space="0" w:color="auto"/>
            </w:tcBorders>
            <w:shd w:val="clear" w:color="auto" w:fill="auto"/>
            <w:noWrap/>
            <w:hideMark/>
          </w:tcPr>
          <w:p w14:paraId="43A5AFE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90.9</w:t>
            </w:r>
          </w:p>
        </w:tc>
      </w:tr>
      <w:tr w:rsidR="00884240" w:rsidRPr="005A7FF0" w14:paraId="271FF937" w14:textId="77777777" w:rsidTr="00884240">
        <w:trPr>
          <w:trHeight w:val="315"/>
        </w:trPr>
        <w:tc>
          <w:tcPr>
            <w:tcW w:w="1798" w:type="pct"/>
            <w:tcBorders>
              <w:top w:val="nil"/>
              <w:left w:val="single" w:sz="4" w:space="0" w:color="auto"/>
              <w:bottom w:val="single" w:sz="4" w:space="0" w:color="auto"/>
              <w:right w:val="single" w:sz="4" w:space="0" w:color="auto"/>
            </w:tcBorders>
            <w:shd w:val="clear" w:color="auto" w:fill="auto"/>
            <w:noWrap/>
            <w:hideMark/>
          </w:tcPr>
          <w:p w14:paraId="35EC0DD6"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Tocopherol, beta</w:t>
            </w:r>
          </w:p>
        </w:tc>
        <w:tc>
          <w:tcPr>
            <w:tcW w:w="430" w:type="pct"/>
            <w:tcBorders>
              <w:top w:val="nil"/>
              <w:left w:val="nil"/>
              <w:bottom w:val="single" w:sz="4" w:space="0" w:color="auto"/>
              <w:right w:val="single" w:sz="4" w:space="0" w:color="auto"/>
            </w:tcBorders>
            <w:shd w:val="clear" w:color="auto" w:fill="auto"/>
            <w:noWrap/>
            <w:hideMark/>
          </w:tcPr>
          <w:p w14:paraId="3BDB91C6"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71743A42"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0.01</w:t>
            </w:r>
          </w:p>
        </w:tc>
        <w:tc>
          <w:tcPr>
            <w:tcW w:w="547" w:type="pct"/>
            <w:tcBorders>
              <w:top w:val="nil"/>
              <w:left w:val="nil"/>
              <w:bottom w:val="single" w:sz="4" w:space="0" w:color="auto"/>
              <w:right w:val="single" w:sz="4" w:space="0" w:color="auto"/>
            </w:tcBorders>
            <w:shd w:val="clear" w:color="auto" w:fill="auto"/>
            <w:noWrap/>
            <w:hideMark/>
          </w:tcPr>
          <w:p w14:paraId="12EBF44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010837C5"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33503578"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0D77AC0D" w14:textId="77777777" w:rsidTr="00884240">
        <w:trPr>
          <w:trHeight w:val="360"/>
        </w:trPr>
        <w:tc>
          <w:tcPr>
            <w:tcW w:w="1798" w:type="pct"/>
            <w:tcBorders>
              <w:top w:val="nil"/>
              <w:left w:val="single" w:sz="4" w:space="0" w:color="auto"/>
              <w:bottom w:val="single" w:sz="4" w:space="0" w:color="auto"/>
              <w:right w:val="single" w:sz="4" w:space="0" w:color="auto"/>
            </w:tcBorders>
            <w:shd w:val="clear" w:color="auto" w:fill="auto"/>
            <w:noWrap/>
            <w:hideMark/>
          </w:tcPr>
          <w:p w14:paraId="10A86FF0"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Tocopherol, gamma</w:t>
            </w:r>
          </w:p>
        </w:tc>
        <w:tc>
          <w:tcPr>
            <w:tcW w:w="430" w:type="pct"/>
            <w:tcBorders>
              <w:top w:val="nil"/>
              <w:left w:val="nil"/>
              <w:bottom w:val="single" w:sz="4" w:space="0" w:color="auto"/>
              <w:right w:val="single" w:sz="4" w:space="0" w:color="auto"/>
            </w:tcBorders>
            <w:shd w:val="clear" w:color="auto" w:fill="auto"/>
            <w:noWrap/>
            <w:hideMark/>
          </w:tcPr>
          <w:p w14:paraId="28DB07D1"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75C7B2E7"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27.3</w:t>
            </w:r>
          </w:p>
        </w:tc>
        <w:tc>
          <w:tcPr>
            <w:tcW w:w="547" w:type="pct"/>
            <w:tcBorders>
              <w:top w:val="nil"/>
              <w:left w:val="nil"/>
              <w:bottom w:val="single" w:sz="4" w:space="0" w:color="auto"/>
              <w:right w:val="single" w:sz="4" w:space="0" w:color="auto"/>
            </w:tcBorders>
            <w:shd w:val="clear" w:color="auto" w:fill="auto"/>
            <w:noWrap/>
            <w:hideMark/>
          </w:tcPr>
          <w:p w14:paraId="0927458A"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42A37382"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13931ACB"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7E41EA71" w14:textId="77777777" w:rsidTr="00884240">
        <w:trPr>
          <w:trHeight w:val="315"/>
        </w:trPr>
        <w:tc>
          <w:tcPr>
            <w:tcW w:w="1798" w:type="pct"/>
            <w:tcBorders>
              <w:top w:val="nil"/>
              <w:left w:val="single" w:sz="4" w:space="0" w:color="auto"/>
              <w:bottom w:val="single" w:sz="4" w:space="0" w:color="auto"/>
              <w:right w:val="single" w:sz="4" w:space="0" w:color="auto"/>
            </w:tcBorders>
            <w:shd w:val="clear" w:color="auto" w:fill="auto"/>
            <w:noWrap/>
            <w:hideMark/>
          </w:tcPr>
          <w:p w14:paraId="43101B15"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Tocopherol, delta</w:t>
            </w:r>
          </w:p>
        </w:tc>
        <w:tc>
          <w:tcPr>
            <w:tcW w:w="430" w:type="pct"/>
            <w:tcBorders>
              <w:top w:val="nil"/>
              <w:left w:val="nil"/>
              <w:bottom w:val="single" w:sz="4" w:space="0" w:color="auto"/>
              <w:right w:val="single" w:sz="4" w:space="0" w:color="auto"/>
            </w:tcBorders>
            <w:shd w:val="clear" w:color="auto" w:fill="auto"/>
            <w:noWrap/>
            <w:hideMark/>
          </w:tcPr>
          <w:p w14:paraId="5BEBBC7C"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7DAAC24D"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0.99</w:t>
            </w:r>
          </w:p>
        </w:tc>
        <w:tc>
          <w:tcPr>
            <w:tcW w:w="547" w:type="pct"/>
            <w:tcBorders>
              <w:top w:val="nil"/>
              <w:left w:val="nil"/>
              <w:bottom w:val="single" w:sz="4" w:space="0" w:color="auto"/>
              <w:right w:val="single" w:sz="4" w:space="0" w:color="auto"/>
            </w:tcBorders>
            <w:shd w:val="clear" w:color="auto" w:fill="auto"/>
            <w:noWrap/>
            <w:hideMark/>
          </w:tcPr>
          <w:p w14:paraId="1AECFB56"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1072D35C"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20231DFB"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19CC6DC0" w14:textId="77777777" w:rsidTr="00884240">
        <w:trPr>
          <w:trHeight w:val="315"/>
        </w:trPr>
        <w:tc>
          <w:tcPr>
            <w:tcW w:w="1798" w:type="pct"/>
            <w:tcBorders>
              <w:top w:val="nil"/>
              <w:left w:val="single" w:sz="4" w:space="0" w:color="auto"/>
              <w:bottom w:val="single" w:sz="4" w:space="0" w:color="auto"/>
              <w:right w:val="single" w:sz="4" w:space="0" w:color="auto"/>
            </w:tcBorders>
            <w:shd w:val="clear" w:color="auto" w:fill="auto"/>
            <w:noWrap/>
            <w:hideMark/>
          </w:tcPr>
          <w:p w14:paraId="41CBDD19"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Tocotrienol, alpha</w:t>
            </w:r>
          </w:p>
        </w:tc>
        <w:tc>
          <w:tcPr>
            <w:tcW w:w="430" w:type="pct"/>
            <w:tcBorders>
              <w:top w:val="nil"/>
              <w:left w:val="nil"/>
              <w:bottom w:val="single" w:sz="4" w:space="0" w:color="auto"/>
              <w:right w:val="single" w:sz="4" w:space="0" w:color="auto"/>
            </w:tcBorders>
            <w:shd w:val="clear" w:color="auto" w:fill="auto"/>
            <w:noWrap/>
            <w:hideMark/>
          </w:tcPr>
          <w:p w14:paraId="44EDDF39"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7499710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0.03</w:t>
            </w:r>
          </w:p>
        </w:tc>
        <w:tc>
          <w:tcPr>
            <w:tcW w:w="547" w:type="pct"/>
            <w:tcBorders>
              <w:top w:val="nil"/>
              <w:left w:val="nil"/>
              <w:bottom w:val="single" w:sz="4" w:space="0" w:color="auto"/>
              <w:right w:val="single" w:sz="4" w:space="0" w:color="auto"/>
            </w:tcBorders>
            <w:shd w:val="clear" w:color="auto" w:fill="auto"/>
            <w:noWrap/>
            <w:hideMark/>
          </w:tcPr>
          <w:p w14:paraId="3D93471B"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561BBDFC"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01544AF6"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7DE44611" w14:textId="77777777" w:rsidTr="00884240">
        <w:trPr>
          <w:trHeight w:val="315"/>
        </w:trPr>
        <w:tc>
          <w:tcPr>
            <w:tcW w:w="1798" w:type="pct"/>
            <w:tcBorders>
              <w:top w:val="nil"/>
              <w:left w:val="single" w:sz="4" w:space="0" w:color="auto"/>
              <w:bottom w:val="single" w:sz="4" w:space="0" w:color="auto"/>
              <w:right w:val="single" w:sz="4" w:space="0" w:color="auto"/>
            </w:tcBorders>
            <w:shd w:val="clear" w:color="auto" w:fill="auto"/>
            <w:noWrap/>
            <w:hideMark/>
          </w:tcPr>
          <w:p w14:paraId="529B22EF"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Tocotrienol, delta</w:t>
            </w:r>
          </w:p>
        </w:tc>
        <w:tc>
          <w:tcPr>
            <w:tcW w:w="430" w:type="pct"/>
            <w:tcBorders>
              <w:top w:val="nil"/>
              <w:left w:val="nil"/>
              <w:bottom w:val="single" w:sz="4" w:space="0" w:color="auto"/>
              <w:right w:val="single" w:sz="4" w:space="0" w:color="auto"/>
            </w:tcBorders>
            <w:shd w:val="clear" w:color="auto" w:fill="auto"/>
            <w:noWrap/>
            <w:hideMark/>
          </w:tcPr>
          <w:p w14:paraId="24981B68"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7A602837"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0.01</w:t>
            </w:r>
          </w:p>
        </w:tc>
        <w:tc>
          <w:tcPr>
            <w:tcW w:w="547" w:type="pct"/>
            <w:tcBorders>
              <w:top w:val="nil"/>
              <w:left w:val="nil"/>
              <w:bottom w:val="single" w:sz="4" w:space="0" w:color="auto"/>
              <w:right w:val="single" w:sz="4" w:space="0" w:color="auto"/>
            </w:tcBorders>
            <w:shd w:val="clear" w:color="auto" w:fill="auto"/>
            <w:noWrap/>
            <w:hideMark/>
          </w:tcPr>
          <w:p w14:paraId="55F3B21A"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01046D7C"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21E8DFF4"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52E5291B"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3960E8E2"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Vitamin K (phylloquinone)</w:t>
            </w:r>
          </w:p>
        </w:tc>
        <w:tc>
          <w:tcPr>
            <w:tcW w:w="430" w:type="pct"/>
            <w:tcBorders>
              <w:top w:val="nil"/>
              <w:left w:val="nil"/>
              <w:bottom w:val="single" w:sz="4" w:space="0" w:color="auto"/>
              <w:right w:val="single" w:sz="4" w:space="0" w:color="auto"/>
            </w:tcBorders>
            <w:shd w:val="clear" w:color="auto" w:fill="auto"/>
            <w:noWrap/>
            <w:hideMark/>
          </w:tcPr>
          <w:p w14:paraId="55D2FB25"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µg</w:t>
            </w:r>
          </w:p>
        </w:tc>
        <w:tc>
          <w:tcPr>
            <w:tcW w:w="698" w:type="pct"/>
            <w:tcBorders>
              <w:top w:val="nil"/>
              <w:left w:val="nil"/>
              <w:bottom w:val="single" w:sz="4" w:space="0" w:color="auto"/>
              <w:right w:val="single" w:sz="4" w:space="0" w:color="auto"/>
            </w:tcBorders>
            <w:shd w:val="clear" w:color="auto" w:fill="auto"/>
            <w:noWrap/>
            <w:hideMark/>
          </w:tcPr>
          <w:p w14:paraId="19F99A81"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71.3</w:t>
            </w:r>
          </w:p>
        </w:tc>
        <w:tc>
          <w:tcPr>
            <w:tcW w:w="547" w:type="pct"/>
            <w:tcBorders>
              <w:top w:val="nil"/>
              <w:left w:val="nil"/>
              <w:bottom w:val="single" w:sz="4" w:space="0" w:color="auto"/>
              <w:right w:val="single" w:sz="4" w:space="0" w:color="auto"/>
            </w:tcBorders>
            <w:shd w:val="clear" w:color="auto" w:fill="auto"/>
            <w:noWrap/>
            <w:hideMark/>
          </w:tcPr>
          <w:p w14:paraId="17A8F519"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8</w:t>
            </w:r>
          </w:p>
        </w:tc>
        <w:tc>
          <w:tcPr>
            <w:tcW w:w="764" w:type="pct"/>
            <w:tcBorders>
              <w:top w:val="nil"/>
              <w:left w:val="nil"/>
              <w:bottom w:val="single" w:sz="4" w:space="0" w:color="auto"/>
              <w:right w:val="single" w:sz="4" w:space="0" w:color="auto"/>
            </w:tcBorders>
            <w:shd w:val="clear" w:color="auto" w:fill="auto"/>
            <w:noWrap/>
            <w:hideMark/>
          </w:tcPr>
          <w:p w14:paraId="47CF7654"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891.3</w:t>
            </w:r>
          </w:p>
        </w:tc>
        <w:tc>
          <w:tcPr>
            <w:tcW w:w="763" w:type="pct"/>
            <w:tcBorders>
              <w:top w:val="nil"/>
              <w:left w:val="nil"/>
              <w:bottom w:val="single" w:sz="4" w:space="0" w:color="auto"/>
              <w:right w:val="single" w:sz="4" w:space="0" w:color="auto"/>
            </w:tcBorders>
            <w:shd w:val="clear" w:color="auto" w:fill="auto"/>
            <w:noWrap/>
            <w:hideMark/>
          </w:tcPr>
          <w:p w14:paraId="7CFB61D5"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11.2</w:t>
            </w:r>
          </w:p>
        </w:tc>
      </w:tr>
      <w:tr w:rsidR="00884240" w:rsidRPr="005A7FF0" w14:paraId="0959B767"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3C66CD0C"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Fatty acids, total saturated</w:t>
            </w:r>
          </w:p>
        </w:tc>
        <w:tc>
          <w:tcPr>
            <w:tcW w:w="430" w:type="pct"/>
            <w:tcBorders>
              <w:top w:val="nil"/>
              <w:left w:val="nil"/>
              <w:bottom w:val="single" w:sz="4" w:space="0" w:color="auto"/>
              <w:right w:val="single" w:sz="4" w:space="0" w:color="auto"/>
            </w:tcBorders>
            <w:shd w:val="clear" w:color="auto" w:fill="auto"/>
            <w:noWrap/>
            <w:hideMark/>
          </w:tcPr>
          <w:p w14:paraId="4ED50FD6"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5ECD73B6"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7.36</w:t>
            </w:r>
          </w:p>
        </w:tc>
        <w:tc>
          <w:tcPr>
            <w:tcW w:w="547" w:type="pct"/>
            <w:tcBorders>
              <w:top w:val="nil"/>
              <w:left w:val="nil"/>
              <w:bottom w:val="single" w:sz="4" w:space="0" w:color="auto"/>
              <w:right w:val="single" w:sz="4" w:space="0" w:color="auto"/>
            </w:tcBorders>
            <w:shd w:val="clear" w:color="auto" w:fill="auto"/>
            <w:noWrap/>
            <w:hideMark/>
          </w:tcPr>
          <w:p w14:paraId="0ADCE756"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49.3</w:t>
            </w:r>
          </w:p>
        </w:tc>
        <w:tc>
          <w:tcPr>
            <w:tcW w:w="764" w:type="pct"/>
            <w:tcBorders>
              <w:top w:val="nil"/>
              <w:left w:val="nil"/>
              <w:bottom w:val="single" w:sz="4" w:space="0" w:color="auto"/>
              <w:right w:val="single" w:sz="4" w:space="0" w:color="auto"/>
            </w:tcBorders>
            <w:shd w:val="clear" w:color="auto" w:fill="auto"/>
            <w:noWrap/>
            <w:hideMark/>
          </w:tcPr>
          <w:p w14:paraId="57A37607"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14.9</w:t>
            </w:r>
          </w:p>
        </w:tc>
        <w:tc>
          <w:tcPr>
            <w:tcW w:w="763" w:type="pct"/>
            <w:tcBorders>
              <w:top w:val="nil"/>
              <w:left w:val="nil"/>
              <w:bottom w:val="single" w:sz="4" w:space="0" w:color="auto"/>
              <w:right w:val="single" w:sz="4" w:space="0" w:color="auto"/>
            </w:tcBorders>
            <w:shd w:val="clear" w:color="auto" w:fill="auto"/>
            <w:noWrap/>
            <w:hideMark/>
          </w:tcPr>
          <w:p w14:paraId="34F3D5B1"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669.8</w:t>
            </w:r>
          </w:p>
        </w:tc>
      </w:tr>
      <w:tr w:rsidR="00884240" w:rsidRPr="005A7FF0" w14:paraId="08F1515C"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51DDA490"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lastRenderedPageBreak/>
              <w:t>SFA 12:0</w:t>
            </w:r>
          </w:p>
        </w:tc>
        <w:tc>
          <w:tcPr>
            <w:tcW w:w="430" w:type="pct"/>
            <w:tcBorders>
              <w:top w:val="nil"/>
              <w:left w:val="nil"/>
              <w:bottom w:val="single" w:sz="4" w:space="0" w:color="auto"/>
              <w:right w:val="single" w:sz="4" w:space="0" w:color="auto"/>
            </w:tcBorders>
            <w:shd w:val="clear" w:color="auto" w:fill="auto"/>
            <w:noWrap/>
            <w:hideMark/>
          </w:tcPr>
          <w:p w14:paraId="3EFF005B"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57BD66F1"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547" w:type="pct"/>
            <w:tcBorders>
              <w:top w:val="nil"/>
              <w:left w:val="nil"/>
              <w:bottom w:val="single" w:sz="4" w:space="0" w:color="auto"/>
              <w:right w:val="single" w:sz="4" w:space="0" w:color="auto"/>
            </w:tcBorders>
            <w:shd w:val="clear" w:color="auto" w:fill="auto"/>
            <w:noWrap/>
            <w:hideMark/>
          </w:tcPr>
          <w:p w14:paraId="18231B1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0.1</w:t>
            </w:r>
          </w:p>
        </w:tc>
        <w:tc>
          <w:tcPr>
            <w:tcW w:w="764" w:type="pct"/>
            <w:tcBorders>
              <w:top w:val="nil"/>
              <w:left w:val="nil"/>
              <w:bottom w:val="single" w:sz="4" w:space="0" w:color="auto"/>
              <w:right w:val="single" w:sz="4" w:space="0" w:color="auto"/>
            </w:tcBorders>
            <w:shd w:val="clear" w:color="000000" w:fill="D9D9D9"/>
            <w:noWrap/>
            <w:hideMark/>
          </w:tcPr>
          <w:p w14:paraId="15D43980"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09AE90A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1BF590D7"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2CCAEA59"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SFA 14:0</w:t>
            </w:r>
          </w:p>
        </w:tc>
        <w:tc>
          <w:tcPr>
            <w:tcW w:w="430" w:type="pct"/>
            <w:tcBorders>
              <w:top w:val="nil"/>
              <w:left w:val="nil"/>
              <w:bottom w:val="single" w:sz="4" w:space="0" w:color="auto"/>
              <w:right w:val="single" w:sz="4" w:space="0" w:color="auto"/>
            </w:tcBorders>
            <w:shd w:val="clear" w:color="auto" w:fill="auto"/>
            <w:noWrap/>
            <w:hideMark/>
          </w:tcPr>
          <w:p w14:paraId="7F8D2D72"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66157BCD"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547" w:type="pct"/>
            <w:tcBorders>
              <w:top w:val="nil"/>
              <w:left w:val="nil"/>
              <w:bottom w:val="single" w:sz="4" w:space="0" w:color="auto"/>
              <w:right w:val="single" w:sz="4" w:space="0" w:color="auto"/>
            </w:tcBorders>
            <w:shd w:val="clear" w:color="auto" w:fill="auto"/>
            <w:noWrap/>
            <w:hideMark/>
          </w:tcPr>
          <w:p w14:paraId="613B5E62"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w:t>
            </w:r>
          </w:p>
        </w:tc>
        <w:tc>
          <w:tcPr>
            <w:tcW w:w="764" w:type="pct"/>
            <w:tcBorders>
              <w:top w:val="nil"/>
              <w:left w:val="nil"/>
              <w:bottom w:val="single" w:sz="4" w:space="0" w:color="auto"/>
              <w:right w:val="single" w:sz="4" w:space="0" w:color="auto"/>
            </w:tcBorders>
            <w:shd w:val="clear" w:color="000000" w:fill="D9D9D9"/>
            <w:noWrap/>
            <w:hideMark/>
          </w:tcPr>
          <w:p w14:paraId="3DA0B98E"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59FB6243"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5E42EB08"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36C23C2E"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SFA 16:0 (palmitic acid)</w:t>
            </w:r>
          </w:p>
        </w:tc>
        <w:tc>
          <w:tcPr>
            <w:tcW w:w="430" w:type="pct"/>
            <w:tcBorders>
              <w:top w:val="nil"/>
              <w:left w:val="nil"/>
              <w:bottom w:val="single" w:sz="4" w:space="0" w:color="auto"/>
              <w:right w:val="single" w:sz="4" w:space="0" w:color="auto"/>
            </w:tcBorders>
            <w:shd w:val="clear" w:color="auto" w:fill="auto"/>
            <w:noWrap/>
            <w:hideMark/>
          </w:tcPr>
          <w:p w14:paraId="548B93C4"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09B0A4FE"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4.3</w:t>
            </w:r>
          </w:p>
        </w:tc>
        <w:tc>
          <w:tcPr>
            <w:tcW w:w="547" w:type="pct"/>
            <w:tcBorders>
              <w:top w:val="nil"/>
              <w:left w:val="nil"/>
              <w:bottom w:val="single" w:sz="4" w:space="0" w:color="auto"/>
              <w:right w:val="single" w:sz="4" w:space="0" w:color="auto"/>
            </w:tcBorders>
            <w:shd w:val="clear" w:color="auto" w:fill="auto"/>
            <w:noWrap/>
            <w:hideMark/>
          </w:tcPr>
          <w:p w14:paraId="58B64F22"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43.5</w:t>
            </w:r>
          </w:p>
        </w:tc>
        <w:tc>
          <w:tcPr>
            <w:tcW w:w="764" w:type="pct"/>
            <w:tcBorders>
              <w:top w:val="nil"/>
              <w:left w:val="nil"/>
              <w:bottom w:val="single" w:sz="4" w:space="0" w:color="auto"/>
              <w:right w:val="single" w:sz="4" w:space="0" w:color="auto"/>
            </w:tcBorders>
            <w:shd w:val="clear" w:color="auto" w:fill="auto"/>
            <w:noWrap/>
            <w:hideMark/>
          </w:tcPr>
          <w:p w14:paraId="6506A14B"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9.9</w:t>
            </w:r>
          </w:p>
        </w:tc>
        <w:tc>
          <w:tcPr>
            <w:tcW w:w="763" w:type="pct"/>
            <w:tcBorders>
              <w:top w:val="nil"/>
              <w:left w:val="nil"/>
              <w:bottom w:val="single" w:sz="4" w:space="0" w:color="auto"/>
              <w:right w:val="single" w:sz="4" w:space="0" w:color="auto"/>
            </w:tcBorders>
            <w:shd w:val="clear" w:color="auto" w:fill="auto"/>
            <w:noWrap/>
            <w:hideMark/>
          </w:tcPr>
          <w:p w14:paraId="4A66A132" w14:textId="12D2001B"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w:t>
            </w:r>
            <w:r w:rsidR="00911D4F" w:rsidRPr="005A7FF0">
              <w:rPr>
                <w:rFonts w:ascii="Calibri" w:eastAsia="Times New Roman" w:hAnsi="Calibri" w:cs="Calibri"/>
                <w:color w:val="000000"/>
                <w:sz w:val="24"/>
                <w:szCs w:val="24"/>
              </w:rPr>
              <w:t>,</w:t>
            </w:r>
            <w:r w:rsidRPr="005A7FF0">
              <w:rPr>
                <w:rFonts w:ascii="Calibri" w:eastAsia="Times New Roman" w:hAnsi="Calibri" w:cs="Calibri"/>
                <w:color w:val="000000"/>
                <w:sz w:val="24"/>
                <w:szCs w:val="24"/>
              </w:rPr>
              <w:t>011.6</w:t>
            </w:r>
          </w:p>
        </w:tc>
      </w:tr>
      <w:tr w:rsidR="00884240" w:rsidRPr="005A7FF0" w14:paraId="12A78CE2"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483F7303"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SFA 18:0</w:t>
            </w:r>
          </w:p>
        </w:tc>
        <w:tc>
          <w:tcPr>
            <w:tcW w:w="430" w:type="pct"/>
            <w:tcBorders>
              <w:top w:val="nil"/>
              <w:left w:val="nil"/>
              <w:bottom w:val="single" w:sz="4" w:space="0" w:color="auto"/>
              <w:right w:val="single" w:sz="4" w:space="0" w:color="auto"/>
            </w:tcBorders>
            <w:shd w:val="clear" w:color="auto" w:fill="auto"/>
            <w:noWrap/>
            <w:hideMark/>
          </w:tcPr>
          <w:p w14:paraId="452C2384"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495B483C"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2.09</w:t>
            </w:r>
          </w:p>
        </w:tc>
        <w:tc>
          <w:tcPr>
            <w:tcW w:w="547" w:type="pct"/>
            <w:tcBorders>
              <w:top w:val="nil"/>
              <w:left w:val="nil"/>
              <w:bottom w:val="single" w:sz="4" w:space="0" w:color="auto"/>
              <w:right w:val="single" w:sz="4" w:space="0" w:color="auto"/>
            </w:tcBorders>
            <w:shd w:val="clear" w:color="auto" w:fill="auto"/>
            <w:noWrap/>
            <w:hideMark/>
          </w:tcPr>
          <w:p w14:paraId="4DEEF200"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4.3</w:t>
            </w:r>
          </w:p>
        </w:tc>
        <w:tc>
          <w:tcPr>
            <w:tcW w:w="764" w:type="pct"/>
            <w:tcBorders>
              <w:top w:val="nil"/>
              <w:left w:val="nil"/>
              <w:bottom w:val="single" w:sz="4" w:space="0" w:color="auto"/>
              <w:right w:val="single" w:sz="4" w:space="0" w:color="auto"/>
            </w:tcBorders>
            <w:shd w:val="clear" w:color="auto" w:fill="auto"/>
            <w:noWrap/>
            <w:hideMark/>
          </w:tcPr>
          <w:p w14:paraId="62C6B96C"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48.6</w:t>
            </w:r>
          </w:p>
        </w:tc>
        <w:tc>
          <w:tcPr>
            <w:tcW w:w="763" w:type="pct"/>
            <w:tcBorders>
              <w:top w:val="nil"/>
              <w:left w:val="nil"/>
              <w:bottom w:val="single" w:sz="4" w:space="0" w:color="auto"/>
              <w:right w:val="single" w:sz="4" w:space="0" w:color="auto"/>
            </w:tcBorders>
            <w:shd w:val="clear" w:color="auto" w:fill="auto"/>
            <w:noWrap/>
            <w:hideMark/>
          </w:tcPr>
          <w:p w14:paraId="7CC452C0"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205.7</w:t>
            </w:r>
          </w:p>
        </w:tc>
      </w:tr>
      <w:tr w:rsidR="00884240" w:rsidRPr="005A7FF0" w14:paraId="15C21709"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40D47AC4"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SFA 20:0</w:t>
            </w:r>
          </w:p>
        </w:tc>
        <w:tc>
          <w:tcPr>
            <w:tcW w:w="430" w:type="pct"/>
            <w:tcBorders>
              <w:top w:val="nil"/>
              <w:left w:val="nil"/>
              <w:bottom w:val="single" w:sz="4" w:space="0" w:color="auto"/>
              <w:right w:val="single" w:sz="4" w:space="0" w:color="auto"/>
            </w:tcBorders>
            <w:shd w:val="clear" w:color="auto" w:fill="auto"/>
            <w:noWrap/>
            <w:hideMark/>
          </w:tcPr>
          <w:p w14:paraId="327681AD"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0759A6D6"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0.65</w:t>
            </w:r>
          </w:p>
        </w:tc>
        <w:tc>
          <w:tcPr>
            <w:tcW w:w="547" w:type="pct"/>
            <w:tcBorders>
              <w:top w:val="nil"/>
              <w:left w:val="nil"/>
              <w:bottom w:val="single" w:sz="4" w:space="0" w:color="auto"/>
              <w:right w:val="single" w:sz="4" w:space="0" w:color="auto"/>
            </w:tcBorders>
            <w:shd w:val="clear" w:color="auto" w:fill="auto"/>
            <w:noWrap/>
            <w:hideMark/>
          </w:tcPr>
          <w:p w14:paraId="1562232E"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70EC6177"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3764168E"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4D7D06CC"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51FA78C1"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SFA 22:0</w:t>
            </w:r>
          </w:p>
        </w:tc>
        <w:tc>
          <w:tcPr>
            <w:tcW w:w="430" w:type="pct"/>
            <w:tcBorders>
              <w:top w:val="nil"/>
              <w:left w:val="nil"/>
              <w:bottom w:val="single" w:sz="4" w:space="0" w:color="auto"/>
              <w:right w:val="single" w:sz="4" w:space="0" w:color="auto"/>
            </w:tcBorders>
            <w:shd w:val="clear" w:color="auto" w:fill="auto"/>
            <w:noWrap/>
            <w:hideMark/>
          </w:tcPr>
          <w:p w14:paraId="10F75EB4"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7CF8EA04"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0.33</w:t>
            </w:r>
          </w:p>
        </w:tc>
        <w:tc>
          <w:tcPr>
            <w:tcW w:w="547" w:type="pct"/>
            <w:tcBorders>
              <w:top w:val="nil"/>
              <w:left w:val="nil"/>
              <w:bottom w:val="single" w:sz="4" w:space="0" w:color="auto"/>
              <w:right w:val="single" w:sz="4" w:space="0" w:color="auto"/>
            </w:tcBorders>
            <w:shd w:val="clear" w:color="auto" w:fill="auto"/>
            <w:noWrap/>
            <w:hideMark/>
          </w:tcPr>
          <w:p w14:paraId="7436985B"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6D7FD377"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5BE07889"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2AFEADBF"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507A9095"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Fatty acids, total monounsaturated</w:t>
            </w:r>
          </w:p>
        </w:tc>
        <w:tc>
          <w:tcPr>
            <w:tcW w:w="430" w:type="pct"/>
            <w:tcBorders>
              <w:top w:val="nil"/>
              <w:left w:val="nil"/>
              <w:bottom w:val="single" w:sz="4" w:space="0" w:color="auto"/>
              <w:right w:val="single" w:sz="4" w:space="0" w:color="auto"/>
            </w:tcBorders>
            <w:shd w:val="clear" w:color="auto" w:fill="auto"/>
            <w:noWrap/>
            <w:hideMark/>
          </w:tcPr>
          <w:p w14:paraId="0909811E"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4CAB1F55"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63.3</w:t>
            </w:r>
          </w:p>
        </w:tc>
        <w:tc>
          <w:tcPr>
            <w:tcW w:w="547" w:type="pct"/>
            <w:tcBorders>
              <w:top w:val="nil"/>
              <w:left w:val="nil"/>
              <w:bottom w:val="single" w:sz="4" w:space="0" w:color="auto"/>
              <w:right w:val="single" w:sz="4" w:space="0" w:color="auto"/>
            </w:tcBorders>
            <w:shd w:val="clear" w:color="auto" w:fill="auto"/>
            <w:noWrap/>
            <w:hideMark/>
          </w:tcPr>
          <w:p w14:paraId="5BDDEC00"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37</w:t>
            </w:r>
          </w:p>
        </w:tc>
        <w:tc>
          <w:tcPr>
            <w:tcW w:w="764" w:type="pct"/>
            <w:tcBorders>
              <w:top w:val="nil"/>
              <w:left w:val="nil"/>
              <w:bottom w:val="single" w:sz="4" w:space="0" w:color="auto"/>
              <w:right w:val="single" w:sz="4" w:space="0" w:color="auto"/>
            </w:tcBorders>
            <w:shd w:val="clear" w:color="auto" w:fill="auto"/>
            <w:noWrap/>
            <w:hideMark/>
          </w:tcPr>
          <w:p w14:paraId="6BB399F5"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171.1</w:t>
            </w:r>
          </w:p>
        </w:tc>
        <w:tc>
          <w:tcPr>
            <w:tcW w:w="763" w:type="pct"/>
            <w:tcBorders>
              <w:top w:val="nil"/>
              <w:left w:val="nil"/>
              <w:bottom w:val="single" w:sz="4" w:space="0" w:color="auto"/>
              <w:right w:val="single" w:sz="4" w:space="0" w:color="auto"/>
            </w:tcBorders>
            <w:shd w:val="clear" w:color="auto" w:fill="auto"/>
            <w:noWrap/>
            <w:hideMark/>
          </w:tcPr>
          <w:p w14:paraId="642643AA"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58.5</w:t>
            </w:r>
          </w:p>
        </w:tc>
      </w:tr>
      <w:tr w:rsidR="00884240" w:rsidRPr="005A7FF0" w14:paraId="0A6ACC07"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075C3BD3"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 xml:space="preserve">MUFA 16:1 </w:t>
            </w:r>
          </w:p>
        </w:tc>
        <w:tc>
          <w:tcPr>
            <w:tcW w:w="430" w:type="pct"/>
            <w:tcBorders>
              <w:top w:val="nil"/>
              <w:left w:val="nil"/>
              <w:bottom w:val="single" w:sz="4" w:space="0" w:color="auto"/>
              <w:right w:val="single" w:sz="4" w:space="0" w:color="auto"/>
            </w:tcBorders>
            <w:shd w:val="clear" w:color="auto" w:fill="auto"/>
            <w:noWrap/>
            <w:hideMark/>
          </w:tcPr>
          <w:p w14:paraId="786FD368"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750E411A"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0.214</w:t>
            </w:r>
          </w:p>
        </w:tc>
        <w:tc>
          <w:tcPr>
            <w:tcW w:w="547" w:type="pct"/>
            <w:tcBorders>
              <w:top w:val="nil"/>
              <w:left w:val="nil"/>
              <w:bottom w:val="single" w:sz="4" w:space="0" w:color="auto"/>
              <w:right w:val="single" w:sz="4" w:space="0" w:color="auto"/>
            </w:tcBorders>
            <w:shd w:val="clear" w:color="auto" w:fill="auto"/>
            <w:noWrap/>
            <w:hideMark/>
          </w:tcPr>
          <w:p w14:paraId="3EE47A42"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w:t>
            </w:r>
          </w:p>
        </w:tc>
        <w:tc>
          <w:tcPr>
            <w:tcW w:w="764" w:type="pct"/>
            <w:tcBorders>
              <w:top w:val="nil"/>
              <w:left w:val="nil"/>
              <w:bottom w:val="single" w:sz="4" w:space="0" w:color="auto"/>
              <w:right w:val="single" w:sz="4" w:space="0" w:color="auto"/>
            </w:tcBorders>
            <w:shd w:val="clear" w:color="auto" w:fill="auto"/>
            <w:noWrap/>
            <w:hideMark/>
          </w:tcPr>
          <w:p w14:paraId="5E32FA89"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71.3</w:t>
            </w:r>
          </w:p>
        </w:tc>
        <w:tc>
          <w:tcPr>
            <w:tcW w:w="763" w:type="pct"/>
            <w:tcBorders>
              <w:top w:val="nil"/>
              <w:left w:val="nil"/>
              <w:bottom w:val="single" w:sz="4" w:space="0" w:color="auto"/>
              <w:right w:val="single" w:sz="4" w:space="0" w:color="auto"/>
            </w:tcBorders>
            <w:shd w:val="clear" w:color="auto" w:fill="auto"/>
            <w:noWrap/>
            <w:hideMark/>
          </w:tcPr>
          <w:p w14:paraId="64C23B53"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140.2</w:t>
            </w:r>
          </w:p>
        </w:tc>
      </w:tr>
      <w:tr w:rsidR="00884240" w:rsidRPr="005A7FF0" w14:paraId="4A554EC9"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3E21D919"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MUFA 18:1 (oleic acid)</w:t>
            </w:r>
          </w:p>
        </w:tc>
        <w:tc>
          <w:tcPr>
            <w:tcW w:w="430" w:type="pct"/>
            <w:tcBorders>
              <w:top w:val="nil"/>
              <w:left w:val="nil"/>
              <w:bottom w:val="single" w:sz="4" w:space="0" w:color="auto"/>
              <w:right w:val="single" w:sz="4" w:space="0" w:color="auto"/>
            </w:tcBorders>
            <w:shd w:val="clear" w:color="auto" w:fill="auto"/>
            <w:noWrap/>
            <w:hideMark/>
          </w:tcPr>
          <w:p w14:paraId="33926288"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11DADC11"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61.7</w:t>
            </w:r>
          </w:p>
        </w:tc>
        <w:tc>
          <w:tcPr>
            <w:tcW w:w="547" w:type="pct"/>
            <w:tcBorders>
              <w:top w:val="nil"/>
              <w:left w:val="nil"/>
              <w:bottom w:val="single" w:sz="4" w:space="0" w:color="auto"/>
              <w:right w:val="single" w:sz="4" w:space="0" w:color="auto"/>
            </w:tcBorders>
            <w:shd w:val="clear" w:color="auto" w:fill="auto"/>
            <w:noWrap/>
            <w:hideMark/>
          </w:tcPr>
          <w:p w14:paraId="143937CB"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36.6</w:t>
            </w:r>
          </w:p>
        </w:tc>
        <w:tc>
          <w:tcPr>
            <w:tcW w:w="764" w:type="pct"/>
            <w:tcBorders>
              <w:top w:val="nil"/>
              <w:left w:val="nil"/>
              <w:bottom w:val="single" w:sz="4" w:space="0" w:color="auto"/>
              <w:right w:val="single" w:sz="4" w:space="0" w:color="auto"/>
            </w:tcBorders>
            <w:shd w:val="clear" w:color="auto" w:fill="auto"/>
            <w:noWrap/>
            <w:hideMark/>
          </w:tcPr>
          <w:p w14:paraId="721E2263"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168.6</w:t>
            </w:r>
          </w:p>
        </w:tc>
        <w:tc>
          <w:tcPr>
            <w:tcW w:w="763" w:type="pct"/>
            <w:tcBorders>
              <w:top w:val="nil"/>
              <w:left w:val="nil"/>
              <w:bottom w:val="single" w:sz="4" w:space="0" w:color="auto"/>
              <w:right w:val="single" w:sz="4" w:space="0" w:color="auto"/>
            </w:tcBorders>
            <w:shd w:val="clear" w:color="auto" w:fill="auto"/>
            <w:noWrap/>
            <w:hideMark/>
          </w:tcPr>
          <w:p w14:paraId="091A2049"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59.3</w:t>
            </w:r>
          </w:p>
        </w:tc>
      </w:tr>
      <w:tr w:rsidR="00884240" w:rsidRPr="005A7FF0" w14:paraId="523BB753"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45BC4CB0"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MUFA 18:1 c</w:t>
            </w:r>
          </w:p>
        </w:tc>
        <w:tc>
          <w:tcPr>
            <w:tcW w:w="430" w:type="pct"/>
            <w:tcBorders>
              <w:top w:val="nil"/>
              <w:left w:val="nil"/>
              <w:bottom w:val="single" w:sz="4" w:space="0" w:color="auto"/>
              <w:right w:val="single" w:sz="4" w:space="0" w:color="auto"/>
            </w:tcBorders>
            <w:shd w:val="clear" w:color="auto" w:fill="auto"/>
            <w:noWrap/>
            <w:hideMark/>
          </w:tcPr>
          <w:p w14:paraId="63D6C358"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4110E4C7"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61.7</w:t>
            </w:r>
          </w:p>
        </w:tc>
        <w:tc>
          <w:tcPr>
            <w:tcW w:w="547" w:type="pct"/>
            <w:tcBorders>
              <w:top w:val="nil"/>
              <w:left w:val="nil"/>
              <w:bottom w:val="single" w:sz="4" w:space="0" w:color="auto"/>
              <w:right w:val="single" w:sz="4" w:space="0" w:color="auto"/>
            </w:tcBorders>
            <w:shd w:val="clear" w:color="auto" w:fill="auto"/>
            <w:noWrap/>
            <w:hideMark/>
          </w:tcPr>
          <w:p w14:paraId="40259004"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7C12CE9A"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788CF263"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400C14F1"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57F4D2A1"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MUFA 20:1</w:t>
            </w:r>
          </w:p>
        </w:tc>
        <w:tc>
          <w:tcPr>
            <w:tcW w:w="430" w:type="pct"/>
            <w:tcBorders>
              <w:top w:val="nil"/>
              <w:left w:val="nil"/>
              <w:bottom w:val="single" w:sz="4" w:space="0" w:color="auto"/>
              <w:right w:val="single" w:sz="4" w:space="0" w:color="auto"/>
            </w:tcBorders>
            <w:shd w:val="clear" w:color="auto" w:fill="auto"/>
            <w:noWrap/>
            <w:hideMark/>
          </w:tcPr>
          <w:p w14:paraId="66413E68"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70040667"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1.32</w:t>
            </w:r>
          </w:p>
        </w:tc>
        <w:tc>
          <w:tcPr>
            <w:tcW w:w="547" w:type="pct"/>
            <w:tcBorders>
              <w:top w:val="nil"/>
              <w:left w:val="nil"/>
              <w:bottom w:val="single" w:sz="4" w:space="0" w:color="auto"/>
              <w:right w:val="single" w:sz="4" w:space="0" w:color="auto"/>
            </w:tcBorders>
            <w:shd w:val="clear" w:color="auto" w:fill="auto"/>
            <w:noWrap/>
            <w:hideMark/>
          </w:tcPr>
          <w:p w14:paraId="65768976"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0.1</w:t>
            </w:r>
          </w:p>
        </w:tc>
        <w:tc>
          <w:tcPr>
            <w:tcW w:w="764" w:type="pct"/>
            <w:tcBorders>
              <w:top w:val="nil"/>
              <w:left w:val="nil"/>
              <w:bottom w:val="single" w:sz="4" w:space="0" w:color="auto"/>
              <w:right w:val="single" w:sz="4" w:space="0" w:color="auto"/>
            </w:tcBorders>
            <w:shd w:val="clear" w:color="auto" w:fill="auto"/>
            <w:noWrap/>
            <w:hideMark/>
          </w:tcPr>
          <w:p w14:paraId="0F847160" w14:textId="1D5AC774"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w:t>
            </w:r>
            <w:r w:rsidR="00911D4F" w:rsidRPr="005A7FF0">
              <w:rPr>
                <w:rFonts w:ascii="Calibri" w:eastAsia="Times New Roman" w:hAnsi="Calibri" w:cs="Calibri"/>
                <w:color w:val="000000"/>
                <w:sz w:val="24"/>
                <w:szCs w:val="24"/>
              </w:rPr>
              <w:t>,</w:t>
            </w:r>
            <w:r w:rsidRPr="005A7FF0">
              <w:rPr>
                <w:rFonts w:ascii="Calibri" w:eastAsia="Times New Roman" w:hAnsi="Calibri" w:cs="Calibri"/>
                <w:color w:val="000000"/>
                <w:sz w:val="24"/>
                <w:szCs w:val="24"/>
              </w:rPr>
              <w:t>320.0</w:t>
            </w:r>
          </w:p>
        </w:tc>
        <w:tc>
          <w:tcPr>
            <w:tcW w:w="763" w:type="pct"/>
            <w:tcBorders>
              <w:top w:val="nil"/>
              <w:left w:val="nil"/>
              <w:bottom w:val="single" w:sz="4" w:space="0" w:color="auto"/>
              <w:right w:val="single" w:sz="4" w:space="0" w:color="auto"/>
            </w:tcBorders>
            <w:shd w:val="clear" w:color="auto" w:fill="auto"/>
            <w:noWrap/>
            <w:hideMark/>
          </w:tcPr>
          <w:p w14:paraId="66FE2CDD"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7.6</w:t>
            </w:r>
          </w:p>
        </w:tc>
      </w:tr>
      <w:tr w:rsidR="00884240" w:rsidRPr="005A7FF0" w14:paraId="6812F059"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2A8C48A7"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Fatty acids, total polyunsaturated</w:t>
            </w:r>
          </w:p>
        </w:tc>
        <w:tc>
          <w:tcPr>
            <w:tcW w:w="430" w:type="pct"/>
            <w:tcBorders>
              <w:top w:val="nil"/>
              <w:left w:val="nil"/>
              <w:bottom w:val="single" w:sz="4" w:space="0" w:color="auto"/>
              <w:right w:val="single" w:sz="4" w:space="0" w:color="auto"/>
            </w:tcBorders>
            <w:shd w:val="clear" w:color="auto" w:fill="auto"/>
            <w:noWrap/>
            <w:hideMark/>
          </w:tcPr>
          <w:p w14:paraId="62CC061C"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48133909"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28.1</w:t>
            </w:r>
          </w:p>
        </w:tc>
        <w:tc>
          <w:tcPr>
            <w:tcW w:w="547" w:type="pct"/>
            <w:tcBorders>
              <w:top w:val="nil"/>
              <w:left w:val="nil"/>
              <w:bottom w:val="single" w:sz="4" w:space="0" w:color="auto"/>
              <w:right w:val="single" w:sz="4" w:space="0" w:color="auto"/>
            </w:tcBorders>
            <w:shd w:val="clear" w:color="auto" w:fill="auto"/>
            <w:noWrap/>
            <w:hideMark/>
          </w:tcPr>
          <w:p w14:paraId="247FF872"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9.3</w:t>
            </w:r>
          </w:p>
        </w:tc>
        <w:tc>
          <w:tcPr>
            <w:tcW w:w="764" w:type="pct"/>
            <w:tcBorders>
              <w:top w:val="nil"/>
              <w:left w:val="nil"/>
              <w:bottom w:val="single" w:sz="4" w:space="0" w:color="auto"/>
              <w:right w:val="single" w:sz="4" w:space="0" w:color="auto"/>
            </w:tcBorders>
            <w:shd w:val="clear" w:color="auto" w:fill="auto"/>
            <w:noWrap/>
            <w:hideMark/>
          </w:tcPr>
          <w:p w14:paraId="5C6AEFA6"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302.2</w:t>
            </w:r>
          </w:p>
        </w:tc>
        <w:tc>
          <w:tcPr>
            <w:tcW w:w="763" w:type="pct"/>
            <w:tcBorders>
              <w:top w:val="nil"/>
              <w:left w:val="nil"/>
              <w:bottom w:val="single" w:sz="4" w:space="0" w:color="auto"/>
              <w:right w:val="single" w:sz="4" w:space="0" w:color="auto"/>
            </w:tcBorders>
            <w:shd w:val="clear" w:color="auto" w:fill="auto"/>
            <w:noWrap/>
            <w:hideMark/>
          </w:tcPr>
          <w:p w14:paraId="0D78A307"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33.1</w:t>
            </w:r>
          </w:p>
        </w:tc>
      </w:tr>
      <w:tr w:rsidR="00884240" w:rsidRPr="005A7FF0" w14:paraId="74C5DDA8"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399B7800"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PUFA 18:2 (linoleic acid)</w:t>
            </w:r>
          </w:p>
        </w:tc>
        <w:tc>
          <w:tcPr>
            <w:tcW w:w="430" w:type="pct"/>
            <w:tcBorders>
              <w:top w:val="nil"/>
              <w:left w:val="nil"/>
              <w:bottom w:val="single" w:sz="4" w:space="0" w:color="auto"/>
              <w:right w:val="single" w:sz="4" w:space="0" w:color="auto"/>
            </w:tcBorders>
            <w:shd w:val="clear" w:color="auto" w:fill="auto"/>
            <w:noWrap/>
            <w:hideMark/>
          </w:tcPr>
          <w:p w14:paraId="1C576088"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5F1F14A6"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19</w:t>
            </w:r>
          </w:p>
        </w:tc>
        <w:tc>
          <w:tcPr>
            <w:tcW w:w="547" w:type="pct"/>
            <w:tcBorders>
              <w:top w:val="nil"/>
              <w:left w:val="nil"/>
              <w:bottom w:val="single" w:sz="4" w:space="0" w:color="auto"/>
              <w:right w:val="single" w:sz="4" w:space="0" w:color="auto"/>
            </w:tcBorders>
            <w:shd w:val="clear" w:color="auto" w:fill="auto"/>
            <w:noWrap/>
            <w:hideMark/>
          </w:tcPr>
          <w:p w14:paraId="46681CF0"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9.1</w:t>
            </w:r>
          </w:p>
        </w:tc>
        <w:tc>
          <w:tcPr>
            <w:tcW w:w="764" w:type="pct"/>
            <w:tcBorders>
              <w:top w:val="nil"/>
              <w:left w:val="nil"/>
              <w:bottom w:val="single" w:sz="4" w:space="0" w:color="auto"/>
              <w:right w:val="single" w:sz="4" w:space="0" w:color="auto"/>
            </w:tcBorders>
            <w:shd w:val="clear" w:color="auto" w:fill="auto"/>
            <w:noWrap/>
            <w:hideMark/>
          </w:tcPr>
          <w:p w14:paraId="232B0DF6"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208.8</w:t>
            </w:r>
          </w:p>
        </w:tc>
        <w:tc>
          <w:tcPr>
            <w:tcW w:w="763" w:type="pct"/>
            <w:tcBorders>
              <w:top w:val="nil"/>
              <w:left w:val="nil"/>
              <w:bottom w:val="single" w:sz="4" w:space="0" w:color="auto"/>
              <w:right w:val="single" w:sz="4" w:space="0" w:color="auto"/>
            </w:tcBorders>
            <w:shd w:val="clear" w:color="auto" w:fill="auto"/>
            <w:noWrap/>
            <w:hideMark/>
          </w:tcPr>
          <w:p w14:paraId="45C369FD"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47.9</w:t>
            </w:r>
          </w:p>
        </w:tc>
      </w:tr>
      <w:tr w:rsidR="00884240" w:rsidRPr="005A7FF0" w14:paraId="4CBC126D"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65D5728F" w14:textId="18A5F941"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 xml:space="preserve">PUFA 18:2 n-6 </w:t>
            </w:r>
            <w:r w:rsidR="008846A1" w:rsidRPr="005A7FF0">
              <w:rPr>
                <w:rFonts w:ascii="Calibri" w:eastAsia="Times New Roman" w:hAnsi="Calibri" w:cs="Calibri"/>
                <w:color w:val="000000"/>
                <w:sz w:val="24"/>
                <w:szCs w:val="24"/>
              </w:rPr>
              <w:t>c, c</w:t>
            </w:r>
          </w:p>
        </w:tc>
        <w:tc>
          <w:tcPr>
            <w:tcW w:w="430" w:type="pct"/>
            <w:tcBorders>
              <w:top w:val="nil"/>
              <w:left w:val="nil"/>
              <w:bottom w:val="single" w:sz="4" w:space="0" w:color="auto"/>
              <w:right w:val="single" w:sz="4" w:space="0" w:color="auto"/>
            </w:tcBorders>
            <w:shd w:val="clear" w:color="auto" w:fill="auto"/>
            <w:noWrap/>
            <w:hideMark/>
          </w:tcPr>
          <w:p w14:paraId="4898D3F5"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2A082915"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18.6</w:t>
            </w:r>
          </w:p>
        </w:tc>
        <w:tc>
          <w:tcPr>
            <w:tcW w:w="547" w:type="pct"/>
            <w:tcBorders>
              <w:top w:val="nil"/>
              <w:left w:val="nil"/>
              <w:bottom w:val="single" w:sz="4" w:space="0" w:color="auto"/>
              <w:right w:val="single" w:sz="4" w:space="0" w:color="auto"/>
            </w:tcBorders>
            <w:shd w:val="clear" w:color="auto" w:fill="auto"/>
            <w:noWrap/>
            <w:hideMark/>
          </w:tcPr>
          <w:p w14:paraId="161CE49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6D7B6101"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31455AE0"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641146FD"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661BAB46"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PUFA 18:3 (linolenic acid)</w:t>
            </w:r>
          </w:p>
        </w:tc>
        <w:tc>
          <w:tcPr>
            <w:tcW w:w="430" w:type="pct"/>
            <w:tcBorders>
              <w:top w:val="nil"/>
              <w:left w:val="nil"/>
              <w:bottom w:val="single" w:sz="4" w:space="0" w:color="auto"/>
              <w:right w:val="single" w:sz="4" w:space="0" w:color="auto"/>
            </w:tcBorders>
            <w:shd w:val="clear" w:color="auto" w:fill="auto"/>
            <w:noWrap/>
            <w:hideMark/>
          </w:tcPr>
          <w:p w14:paraId="4E8687CD"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1A14A87B"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9.14</w:t>
            </w:r>
          </w:p>
        </w:tc>
        <w:tc>
          <w:tcPr>
            <w:tcW w:w="547" w:type="pct"/>
            <w:tcBorders>
              <w:top w:val="nil"/>
              <w:left w:val="nil"/>
              <w:bottom w:val="single" w:sz="4" w:space="0" w:color="auto"/>
              <w:right w:val="single" w:sz="4" w:space="0" w:color="auto"/>
            </w:tcBorders>
            <w:shd w:val="clear" w:color="auto" w:fill="auto"/>
            <w:noWrap/>
            <w:hideMark/>
          </w:tcPr>
          <w:p w14:paraId="25902477"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0.2</w:t>
            </w:r>
          </w:p>
        </w:tc>
        <w:tc>
          <w:tcPr>
            <w:tcW w:w="764" w:type="pct"/>
            <w:tcBorders>
              <w:top w:val="nil"/>
              <w:left w:val="nil"/>
              <w:bottom w:val="single" w:sz="4" w:space="0" w:color="auto"/>
              <w:right w:val="single" w:sz="4" w:space="0" w:color="auto"/>
            </w:tcBorders>
            <w:shd w:val="clear" w:color="auto" w:fill="auto"/>
            <w:noWrap/>
            <w:hideMark/>
          </w:tcPr>
          <w:p w14:paraId="25D3C266" w14:textId="3EA27718"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w:t>
            </w:r>
            <w:r w:rsidR="00911D4F" w:rsidRPr="005A7FF0">
              <w:rPr>
                <w:rFonts w:ascii="Calibri" w:eastAsia="Times New Roman" w:hAnsi="Calibri" w:cs="Calibri"/>
                <w:color w:val="000000"/>
                <w:sz w:val="24"/>
                <w:szCs w:val="24"/>
              </w:rPr>
              <w:t>,</w:t>
            </w:r>
            <w:r w:rsidRPr="005A7FF0">
              <w:rPr>
                <w:rFonts w:ascii="Calibri" w:eastAsia="Times New Roman" w:hAnsi="Calibri" w:cs="Calibri"/>
                <w:color w:val="000000"/>
                <w:sz w:val="24"/>
                <w:szCs w:val="24"/>
              </w:rPr>
              <w:t>570.0</w:t>
            </w:r>
          </w:p>
        </w:tc>
        <w:tc>
          <w:tcPr>
            <w:tcW w:w="763" w:type="pct"/>
            <w:tcBorders>
              <w:top w:val="nil"/>
              <w:left w:val="nil"/>
              <w:bottom w:val="single" w:sz="4" w:space="0" w:color="auto"/>
              <w:right w:val="single" w:sz="4" w:space="0" w:color="auto"/>
            </w:tcBorders>
            <w:shd w:val="clear" w:color="auto" w:fill="auto"/>
            <w:noWrap/>
            <w:hideMark/>
          </w:tcPr>
          <w:p w14:paraId="47D57C60"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2.2</w:t>
            </w:r>
          </w:p>
        </w:tc>
      </w:tr>
      <w:tr w:rsidR="00884240" w:rsidRPr="005A7FF0" w14:paraId="54558C7B"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05DD4921" w14:textId="77777777" w:rsidR="00F34752" w:rsidRPr="005A7FF0" w:rsidRDefault="00F34752" w:rsidP="003632A1">
            <w:pPr>
              <w:spacing w:after="0" w:line="360" w:lineRule="auto"/>
              <w:rPr>
                <w:rFonts w:ascii="Calibri" w:eastAsia="Times New Roman" w:hAnsi="Calibri" w:cs="Calibri"/>
                <w:color w:val="000000"/>
                <w:sz w:val="24"/>
                <w:szCs w:val="24"/>
                <w:lang w:val="es-MX"/>
              </w:rPr>
            </w:pPr>
            <w:r w:rsidRPr="005A7FF0">
              <w:rPr>
                <w:rFonts w:ascii="Calibri" w:eastAsia="Times New Roman" w:hAnsi="Calibri" w:cs="Calibri"/>
                <w:color w:val="000000"/>
                <w:sz w:val="24"/>
                <w:szCs w:val="24"/>
                <w:lang w:val="es-MX"/>
              </w:rPr>
              <w:t xml:space="preserve">PUFA 18:3 n-3 </w:t>
            </w:r>
            <w:proofErr w:type="spellStart"/>
            <w:proofErr w:type="gramStart"/>
            <w:r w:rsidRPr="005A7FF0">
              <w:rPr>
                <w:rFonts w:ascii="Calibri" w:eastAsia="Times New Roman" w:hAnsi="Calibri" w:cs="Calibri"/>
                <w:color w:val="000000"/>
                <w:sz w:val="24"/>
                <w:szCs w:val="24"/>
                <w:lang w:val="es-MX"/>
              </w:rPr>
              <w:t>c,c</w:t>
            </w:r>
            <w:proofErr w:type="gramEnd"/>
            <w:r w:rsidRPr="005A7FF0">
              <w:rPr>
                <w:rFonts w:ascii="Calibri" w:eastAsia="Times New Roman" w:hAnsi="Calibri" w:cs="Calibri"/>
                <w:color w:val="000000"/>
                <w:sz w:val="24"/>
                <w:szCs w:val="24"/>
                <w:lang w:val="es-MX"/>
              </w:rPr>
              <w:t>,c</w:t>
            </w:r>
            <w:proofErr w:type="spellEnd"/>
            <w:r w:rsidRPr="005A7FF0">
              <w:rPr>
                <w:rFonts w:ascii="Calibri" w:eastAsia="Times New Roman" w:hAnsi="Calibri" w:cs="Calibri"/>
                <w:color w:val="000000"/>
                <w:sz w:val="24"/>
                <w:szCs w:val="24"/>
                <w:lang w:val="es-MX"/>
              </w:rPr>
              <w:t xml:space="preserve"> (ALA)</w:t>
            </w:r>
          </w:p>
        </w:tc>
        <w:tc>
          <w:tcPr>
            <w:tcW w:w="430" w:type="pct"/>
            <w:tcBorders>
              <w:top w:val="nil"/>
              <w:left w:val="nil"/>
              <w:bottom w:val="single" w:sz="4" w:space="0" w:color="auto"/>
              <w:right w:val="single" w:sz="4" w:space="0" w:color="auto"/>
            </w:tcBorders>
            <w:shd w:val="clear" w:color="auto" w:fill="auto"/>
            <w:noWrap/>
            <w:hideMark/>
          </w:tcPr>
          <w:p w14:paraId="154B3C13"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024C6A84"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9.14</w:t>
            </w:r>
          </w:p>
        </w:tc>
        <w:tc>
          <w:tcPr>
            <w:tcW w:w="547" w:type="pct"/>
            <w:tcBorders>
              <w:top w:val="nil"/>
              <w:left w:val="nil"/>
              <w:bottom w:val="single" w:sz="4" w:space="0" w:color="auto"/>
              <w:right w:val="single" w:sz="4" w:space="0" w:color="auto"/>
            </w:tcBorders>
            <w:shd w:val="clear" w:color="auto" w:fill="auto"/>
            <w:noWrap/>
            <w:hideMark/>
          </w:tcPr>
          <w:p w14:paraId="489EF39D"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14F4A794"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08CDA592"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6467AE05"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70FB3E98"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Fatty acids, total trans</w:t>
            </w:r>
          </w:p>
        </w:tc>
        <w:tc>
          <w:tcPr>
            <w:tcW w:w="430" w:type="pct"/>
            <w:tcBorders>
              <w:top w:val="nil"/>
              <w:left w:val="nil"/>
              <w:bottom w:val="single" w:sz="4" w:space="0" w:color="auto"/>
              <w:right w:val="single" w:sz="4" w:space="0" w:color="auto"/>
            </w:tcBorders>
            <w:shd w:val="clear" w:color="auto" w:fill="auto"/>
            <w:noWrap/>
            <w:hideMark/>
          </w:tcPr>
          <w:p w14:paraId="719D4D58"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3AAD1A30"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0.395</w:t>
            </w:r>
          </w:p>
        </w:tc>
        <w:tc>
          <w:tcPr>
            <w:tcW w:w="547" w:type="pct"/>
            <w:tcBorders>
              <w:top w:val="nil"/>
              <w:left w:val="nil"/>
              <w:bottom w:val="single" w:sz="4" w:space="0" w:color="auto"/>
              <w:right w:val="single" w:sz="4" w:space="0" w:color="auto"/>
            </w:tcBorders>
            <w:shd w:val="clear" w:color="auto" w:fill="auto"/>
            <w:noWrap/>
            <w:hideMark/>
          </w:tcPr>
          <w:p w14:paraId="1DD26899"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2C038229"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1DA52ACD"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51F0CB00"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788BF4D1"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Fatty acids, total trans-monoenoic</w:t>
            </w:r>
          </w:p>
        </w:tc>
        <w:tc>
          <w:tcPr>
            <w:tcW w:w="430" w:type="pct"/>
            <w:tcBorders>
              <w:top w:val="nil"/>
              <w:left w:val="nil"/>
              <w:bottom w:val="single" w:sz="4" w:space="0" w:color="auto"/>
              <w:right w:val="single" w:sz="4" w:space="0" w:color="auto"/>
            </w:tcBorders>
            <w:shd w:val="clear" w:color="auto" w:fill="auto"/>
            <w:noWrap/>
            <w:hideMark/>
          </w:tcPr>
          <w:p w14:paraId="2C3BF18F"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12AEC9B4"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0.03</w:t>
            </w:r>
          </w:p>
        </w:tc>
        <w:tc>
          <w:tcPr>
            <w:tcW w:w="547" w:type="pct"/>
            <w:tcBorders>
              <w:top w:val="nil"/>
              <w:left w:val="nil"/>
              <w:bottom w:val="single" w:sz="4" w:space="0" w:color="auto"/>
              <w:right w:val="single" w:sz="4" w:space="0" w:color="auto"/>
            </w:tcBorders>
            <w:shd w:val="clear" w:color="auto" w:fill="auto"/>
            <w:noWrap/>
            <w:hideMark/>
          </w:tcPr>
          <w:p w14:paraId="567CAE32"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083389A9"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3C34D589"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7F99EF96"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1DA89DDD"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TFA 18:1 t</w:t>
            </w:r>
          </w:p>
        </w:tc>
        <w:tc>
          <w:tcPr>
            <w:tcW w:w="430" w:type="pct"/>
            <w:tcBorders>
              <w:top w:val="nil"/>
              <w:left w:val="nil"/>
              <w:bottom w:val="single" w:sz="4" w:space="0" w:color="auto"/>
              <w:right w:val="single" w:sz="4" w:space="0" w:color="auto"/>
            </w:tcBorders>
            <w:shd w:val="clear" w:color="auto" w:fill="auto"/>
            <w:noWrap/>
            <w:hideMark/>
          </w:tcPr>
          <w:p w14:paraId="68BCD91C"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2FE1FF5C"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0.03</w:t>
            </w:r>
          </w:p>
        </w:tc>
        <w:tc>
          <w:tcPr>
            <w:tcW w:w="547" w:type="pct"/>
            <w:tcBorders>
              <w:top w:val="nil"/>
              <w:left w:val="nil"/>
              <w:bottom w:val="single" w:sz="4" w:space="0" w:color="auto"/>
              <w:right w:val="single" w:sz="4" w:space="0" w:color="auto"/>
            </w:tcBorders>
            <w:shd w:val="clear" w:color="auto" w:fill="auto"/>
            <w:noWrap/>
            <w:hideMark/>
          </w:tcPr>
          <w:p w14:paraId="0C0E2D63"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16EFF4F3"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0E94DAC8"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69C68A2F"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4F8951E4" w14:textId="13260E33"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 xml:space="preserve">TFA 18:2 </w:t>
            </w:r>
            <w:r w:rsidR="008846A1" w:rsidRPr="005A7FF0">
              <w:rPr>
                <w:rFonts w:ascii="Calibri" w:eastAsia="Times New Roman" w:hAnsi="Calibri" w:cs="Calibri"/>
                <w:color w:val="000000"/>
                <w:sz w:val="24"/>
                <w:szCs w:val="24"/>
              </w:rPr>
              <w:t>t, t</w:t>
            </w:r>
          </w:p>
        </w:tc>
        <w:tc>
          <w:tcPr>
            <w:tcW w:w="430" w:type="pct"/>
            <w:tcBorders>
              <w:top w:val="nil"/>
              <w:left w:val="nil"/>
              <w:bottom w:val="single" w:sz="4" w:space="0" w:color="auto"/>
              <w:right w:val="single" w:sz="4" w:space="0" w:color="auto"/>
            </w:tcBorders>
            <w:shd w:val="clear" w:color="auto" w:fill="auto"/>
            <w:noWrap/>
            <w:hideMark/>
          </w:tcPr>
          <w:p w14:paraId="6217702B"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38370161"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0.365</w:t>
            </w:r>
          </w:p>
        </w:tc>
        <w:tc>
          <w:tcPr>
            <w:tcW w:w="547" w:type="pct"/>
            <w:tcBorders>
              <w:top w:val="nil"/>
              <w:left w:val="nil"/>
              <w:bottom w:val="single" w:sz="4" w:space="0" w:color="auto"/>
              <w:right w:val="single" w:sz="4" w:space="0" w:color="auto"/>
            </w:tcBorders>
            <w:shd w:val="clear" w:color="auto" w:fill="auto"/>
            <w:noWrap/>
            <w:hideMark/>
          </w:tcPr>
          <w:p w14:paraId="313CC553"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036AC7E4"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328314ED"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47FFF4E6"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00B00EDC"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Fatty acids, total trans-polyenoic</w:t>
            </w:r>
          </w:p>
        </w:tc>
        <w:tc>
          <w:tcPr>
            <w:tcW w:w="430" w:type="pct"/>
            <w:tcBorders>
              <w:top w:val="nil"/>
              <w:left w:val="nil"/>
              <w:bottom w:val="single" w:sz="4" w:space="0" w:color="auto"/>
              <w:right w:val="single" w:sz="4" w:space="0" w:color="auto"/>
            </w:tcBorders>
            <w:shd w:val="clear" w:color="auto" w:fill="auto"/>
            <w:noWrap/>
            <w:hideMark/>
          </w:tcPr>
          <w:p w14:paraId="7D36C2F8" w14:textId="77777777" w:rsidR="00F34752" w:rsidRPr="005A7FF0" w:rsidRDefault="00F34752" w:rsidP="003632A1">
            <w:pPr>
              <w:spacing w:after="0" w:line="360" w:lineRule="auto"/>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g</w:t>
            </w:r>
          </w:p>
        </w:tc>
        <w:tc>
          <w:tcPr>
            <w:tcW w:w="698" w:type="pct"/>
            <w:tcBorders>
              <w:top w:val="nil"/>
              <w:left w:val="nil"/>
              <w:bottom w:val="single" w:sz="4" w:space="0" w:color="auto"/>
              <w:right w:val="single" w:sz="4" w:space="0" w:color="auto"/>
            </w:tcBorders>
            <w:shd w:val="clear" w:color="auto" w:fill="auto"/>
            <w:noWrap/>
            <w:hideMark/>
          </w:tcPr>
          <w:p w14:paraId="38E29503"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0.365</w:t>
            </w:r>
          </w:p>
        </w:tc>
        <w:tc>
          <w:tcPr>
            <w:tcW w:w="547" w:type="pct"/>
            <w:tcBorders>
              <w:top w:val="nil"/>
              <w:left w:val="nil"/>
              <w:bottom w:val="single" w:sz="4" w:space="0" w:color="auto"/>
              <w:right w:val="single" w:sz="4" w:space="0" w:color="auto"/>
            </w:tcBorders>
            <w:shd w:val="clear" w:color="auto" w:fill="auto"/>
            <w:noWrap/>
            <w:hideMark/>
          </w:tcPr>
          <w:p w14:paraId="677B6F47" w14:textId="77777777" w:rsidR="00F34752" w:rsidRPr="005A7FF0" w:rsidRDefault="00F34752" w:rsidP="003632A1">
            <w:pPr>
              <w:spacing w:after="0" w:line="360" w:lineRule="auto"/>
              <w:jc w:val="center"/>
              <w:rPr>
                <w:rFonts w:ascii="Calibri" w:eastAsia="Times New Roman" w:hAnsi="Calibri" w:cs="Calibri"/>
                <w:i/>
                <w:iCs/>
                <w:color w:val="000000"/>
                <w:sz w:val="24"/>
                <w:szCs w:val="24"/>
              </w:rPr>
            </w:pPr>
            <w:r w:rsidRPr="005A7FF0">
              <w:rPr>
                <w:rFonts w:ascii="Calibri" w:eastAsia="Times New Roman" w:hAnsi="Calibri" w:cs="Calibri"/>
                <w:i/>
                <w:iCs/>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0568D2C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216C04C6"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7D156158"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4162F4A5"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Stigmasterol</w:t>
            </w:r>
          </w:p>
        </w:tc>
        <w:tc>
          <w:tcPr>
            <w:tcW w:w="430" w:type="pct"/>
            <w:tcBorders>
              <w:top w:val="nil"/>
              <w:left w:val="nil"/>
              <w:bottom w:val="single" w:sz="4" w:space="0" w:color="auto"/>
              <w:right w:val="single" w:sz="4" w:space="0" w:color="auto"/>
            </w:tcBorders>
            <w:shd w:val="clear" w:color="auto" w:fill="auto"/>
            <w:noWrap/>
            <w:hideMark/>
          </w:tcPr>
          <w:p w14:paraId="0C5036A9"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7C4DA744"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3</w:t>
            </w:r>
          </w:p>
        </w:tc>
        <w:tc>
          <w:tcPr>
            <w:tcW w:w="547" w:type="pct"/>
            <w:tcBorders>
              <w:top w:val="nil"/>
              <w:left w:val="nil"/>
              <w:bottom w:val="single" w:sz="4" w:space="0" w:color="auto"/>
              <w:right w:val="single" w:sz="4" w:space="0" w:color="auto"/>
            </w:tcBorders>
            <w:shd w:val="clear" w:color="auto" w:fill="auto"/>
            <w:noWrap/>
            <w:hideMark/>
          </w:tcPr>
          <w:p w14:paraId="4A16CC8B"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67B1DF9D"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2DDC7230"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401A07C3"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384458DE" w14:textId="77777777" w:rsidR="00F34752" w:rsidRPr="005A7FF0" w:rsidRDefault="00F34752" w:rsidP="003632A1">
            <w:pPr>
              <w:spacing w:after="0" w:line="360" w:lineRule="auto"/>
              <w:rPr>
                <w:rFonts w:ascii="Calibri" w:eastAsia="Times New Roman" w:hAnsi="Calibri" w:cs="Calibri"/>
                <w:color w:val="000000"/>
                <w:sz w:val="24"/>
                <w:szCs w:val="24"/>
              </w:rPr>
            </w:pPr>
            <w:proofErr w:type="spellStart"/>
            <w:r w:rsidRPr="005A7FF0">
              <w:rPr>
                <w:rFonts w:ascii="Calibri" w:eastAsia="Times New Roman" w:hAnsi="Calibri" w:cs="Calibri"/>
                <w:color w:val="000000"/>
                <w:sz w:val="24"/>
                <w:szCs w:val="24"/>
              </w:rPr>
              <w:t>Campesterol</w:t>
            </w:r>
            <w:proofErr w:type="spellEnd"/>
          </w:p>
        </w:tc>
        <w:tc>
          <w:tcPr>
            <w:tcW w:w="430" w:type="pct"/>
            <w:tcBorders>
              <w:top w:val="nil"/>
              <w:left w:val="nil"/>
              <w:bottom w:val="single" w:sz="4" w:space="0" w:color="auto"/>
              <w:right w:val="single" w:sz="4" w:space="0" w:color="auto"/>
            </w:tcBorders>
            <w:shd w:val="clear" w:color="auto" w:fill="auto"/>
            <w:noWrap/>
            <w:hideMark/>
          </w:tcPr>
          <w:p w14:paraId="311205B4"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1B71A80E"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241</w:t>
            </w:r>
          </w:p>
        </w:tc>
        <w:tc>
          <w:tcPr>
            <w:tcW w:w="547" w:type="pct"/>
            <w:tcBorders>
              <w:top w:val="nil"/>
              <w:left w:val="nil"/>
              <w:bottom w:val="single" w:sz="4" w:space="0" w:color="auto"/>
              <w:right w:val="single" w:sz="4" w:space="0" w:color="auto"/>
            </w:tcBorders>
            <w:shd w:val="clear" w:color="auto" w:fill="auto"/>
            <w:noWrap/>
            <w:hideMark/>
          </w:tcPr>
          <w:p w14:paraId="7248D682"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6F5A269F"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70888317"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r w:rsidR="00884240" w:rsidRPr="005A7FF0" w14:paraId="486EF157" w14:textId="77777777" w:rsidTr="00884240">
        <w:trPr>
          <w:trHeight w:val="300"/>
        </w:trPr>
        <w:tc>
          <w:tcPr>
            <w:tcW w:w="1798" w:type="pct"/>
            <w:tcBorders>
              <w:top w:val="nil"/>
              <w:left w:val="single" w:sz="4" w:space="0" w:color="auto"/>
              <w:bottom w:val="single" w:sz="4" w:space="0" w:color="auto"/>
              <w:right w:val="single" w:sz="4" w:space="0" w:color="auto"/>
            </w:tcBorders>
            <w:shd w:val="clear" w:color="auto" w:fill="auto"/>
            <w:noWrap/>
            <w:hideMark/>
          </w:tcPr>
          <w:p w14:paraId="41A887CD"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Beta-sitosterol</w:t>
            </w:r>
          </w:p>
        </w:tc>
        <w:tc>
          <w:tcPr>
            <w:tcW w:w="430" w:type="pct"/>
            <w:tcBorders>
              <w:top w:val="nil"/>
              <w:left w:val="nil"/>
              <w:bottom w:val="single" w:sz="4" w:space="0" w:color="auto"/>
              <w:right w:val="single" w:sz="4" w:space="0" w:color="auto"/>
            </w:tcBorders>
            <w:shd w:val="clear" w:color="auto" w:fill="auto"/>
            <w:noWrap/>
            <w:hideMark/>
          </w:tcPr>
          <w:p w14:paraId="796E93A5" w14:textId="77777777" w:rsidR="00F34752" w:rsidRPr="005A7FF0" w:rsidRDefault="00F34752" w:rsidP="003632A1">
            <w:pPr>
              <w:spacing w:after="0" w:line="360" w:lineRule="auto"/>
              <w:rPr>
                <w:rFonts w:ascii="Calibri" w:eastAsia="Times New Roman" w:hAnsi="Calibri" w:cs="Calibri"/>
                <w:color w:val="000000"/>
                <w:sz w:val="24"/>
                <w:szCs w:val="24"/>
              </w:rPr>
            </w:pPr>
            <w:r w:rsidRPr="005A7FF0">
              <w:rPr>
                <w:rFonts w:ascii="Calibri" w:eastAsia="Times New Roman" w:hAnsi="Calibri" w:cs="Calibri"/>
                <w:color w:val="000000"/>
                <w:sz w:val="24"/>
                <w:szCs w:val="24"/>
              </w:rPr>
              <w:t>mg</w:t>
            </w:r>
          </w:p>
        </w:tc>
        <w:tc>
          <w:tcPr>
            <w:tcW w:w="698" w:type="pct"/>
            <w:tcBorders>
              <w:top w:val="nil"/>
              <w:left w:val="nil"/>
              <w:bottom w:val="single" w:sz="4" w:space="0" w:color="auto"/>
              <w:right w:val="single" w:sz="4" w:space="0" w:color="auto"/>
            </w:tcBorders>
            <w:shd w:val="clear" w:color="auto" w:fill="auto"/>
            <w:noWrap/>
            <w:hideMark/>
          </w:tcPr>
          <w:p w14:paraId="2223086B"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413</w:t>
            </w:r>
          </w:p>
        </w:tc>
        <w:tc>
          <w:tcPr>
            <w:tcW w:w="547" w:type="pct"/>
            <w:tcBorders>
              <w:top w:val="nil"/>
              <w:left w:val="nil"/>
              <w:bottom w:val="single" w:sz="4" w:space="0" w:color="auto"/>
              <w:right w:val="single" w:sz="4" w:space="0" w:color="auto"/>
            </w:tcBorders>
            <w:shd w:val="clear" w:color="auto" w:fill="auto"/>
            <w:noWrap/>
            <w:hideMark/>
          </w:tcPr>
          <w:p w14:paraId="3506C4DE"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0</w:t>
            </w:r>
          </w:p>
        </w:tc>
        <w:tc>
          <w:tcPr>
            <w:tcW w:w="764" w:type="pct"/>
            <w:tcBorders>
              <w:top w:val="nil"/>
              <w:left w:val="nil"/>
              <w:bottom w:val="single" w:sz="4" w:space="0" w:color="auto"/>
              <w:right w:val="single" w:sz="4" w:space="0" w:color="auto"/>
            </w:tcBorders>
            <w:shd w:val="clear" w:color="000000" w:fill="D9D9D9"/>
            <w:noWrap/>
            <w:hideMark/>
          </w:tcPr>
          <w:p w14:paraId="5FBB43E0"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c>
          <w:tcPr>
            <w:tcW w:w="763" w:type="pct"/>
            <w:tcBorders>
              <w:top w:val="nil"/>
              <w:left w:val="nil"/>
              <w:bottom w:val="single" w:sz="4" w:space="0" w:color="auto"/>
              <w:right w:val="single" w:sz="4" w:space="0" w:color="auto"/>
            </w:tcBorders>
            <w:shd w:val="clear" w:color="000000" w:fill="D9D9D9"/>
            <w:noWrap/>
            <w:hideMark/>
          </w:tcPr>
          <w:p w14:paraId="2E27D04D" w14:textId="77777777" w:rsidR="00F34752" w:rsidRPr="005A7FF0" w:rsidRDefault="00F34752" w:rsidP="003632A1">
            <w:pPr>
              <w:spacing w:after="0" w:line="360" w:lineRule="auto"/>
              <w:jc w:val="center"/>
              <w:rPr>
                <w:rFonts w:ascii="Calibri" w:eastAsia="Times New Roman" w:hAnsi="Calibri" w:cs="Calibri"/>
                <w:color w:val="000000"/>
                <w:sz w:val="24"/>
                <w:szCs w:val="24"/>
              </w:rPr>
            </w:pPr>
            <w:r w:rsidRPr="005A7FF0">
              <w:rPr>
                <w:rFonts w:ascii="Calibri" w:eastAsia="Times New Roman" w:hAnsi="Calibri" w:cs="Calibri"/>
                <w:color w:val="000000"/>
                <w:sz w:val="24"/>
                <w:szCs w:val="24"/>
              </w:rPr>
              <w:t> </w:t>
            </w:r>
          </w:p>
        </w:tc>
      </w:tr>
    </w:tbl>
    <w:p w14:paraId="7C0F2BB6" w14:textId="77777777" w:rsidR="00496757" w:rsidRPr="005A7FF0" w:rsidRDefault="00496757" w:rsidP="004D7D18">
      <w:pPr>
        <w:spacing w:after="0" w:line="240" w:lineRule="auto"/>
      </w:pPr>
      <w:r w:rsidRPr="005A7FF0">
        <w:rPr>
          <w:vertAlign w:val="superscript"/>
        </w:rPr>
        <w:t>1</w:t>
      </w:r>
      <w:r w:rsidRPr="005A7FF0">
        <w:t xml:space="preserve"> </w:t>
      </w:r>
      <w:hyperlink r:id="rId29" w:anchor="/food-details/171015/nutrients" w:history="1">
        <w:r w:rsidRPr="005A7FF0">
          <w:rPr>
            <w:rStyle w:val="Hyperlink"/>
          </w:rPr>
          <w:t>https://fdc.nal.usda.gov/fdc-app.html#/food-details/171015/nutrients</w:t>
        </w:r>
      </w:hyperlink>
      <w:r w:rsidRPr="005A7FF0">
        <w:t xml:space="preserve"> </w:t>
      </w:r>
    </w:p>
    <w:p w14:paraId="6D0CD881" w14:textId="77777777" w:rsidR="00496757" w:rsidRPr="005A7FF0" w:rsidRDefault="00496757" w:rsidP="004D7D18">
      <w:pPr>
        <w:spacing w:after="0" w:line="240" w:lineRule="auto"/>
      </w:pPr>
      <w:r w:rsidRPr="005A7FF0">
        <w:rPr>
          <w:vertAlign w:val="superscript"/>
        </w:rPr>
        <w:t>2</w:t>
      </w:r>
      <w:r w:rsidRPr="005A7FF0">
        <w:t xml:space="preserve"> </w:t>
      </w:r>
      <w:hyperlink r:id="rId30" w:anchor="/food-details/748278/nutrients" w:history="1">
        <w:r w:rsidRPr="005A7FF0">
          <w:rPr>
            <w:rStyle w:val="Hyperlink"/>
          </w:rPr>
          <w:t>https://fdc.nal.usda.gov/fdc-app.html#/food-details/748278/nutrients</w:t>
        </w:r>
      </w:hyperlink>
    </w:p>
    <w:p w14:paraId="3514CD94" w14:textId="7A1F75BD" w:rsidR="00E56CDB" w:rsidRPr="005A7FF0" w:rsidRDefault="00E56CDB" w:rsidP="003632A1">
      <w:pPr>
        <w:spacing w:line="360" w:lineRule="auto"/>
        <w:rPr>
          <w:sz w:val="24"/>
          <w:szCs w:val="24"/>
        </w:rPr>
      </w:pPr>
    </w:p>
    <w:p w14:paraId="3279E818" w14:textId="77777777" w:rsidR="007B2A48" w:rsidRDefault="007B2A48" w:rsidP="003632A1">
      <w:pPr>
        <w:spacing w:line="360" w:lineRule="auto"/>
        <w:rPr>
          <w:sz w:val="32"/>
          <w:szCs w:val="32"/>
        </w:rPr>
      </w:pPr>
    </w:p>
    <w:p w14:paraId="3ACE4919" w14:textId="141CDDE9" w:rsidR="00E56CDB" w:rsidRPr="005A7FF0" w:rsidRDefault="004D215A" w:rsidP="003632A1">
      <w:pPr>
        <w:spacing w:line="360" w:lineRule="auto"/>
        <w:rPr>
          <w:sz w:val="32"/>
          <w:szCs w:val="32"/>
        </w:rPr>
      </w:pPr>
      <w:r w:rsidRPr="005A7FF0">
        <w:rPr>
          <w:sz w:val="32"/>
          <w:szCs w:val="32"/>
        </w:rPr>
        <w:lastRenderedPageBreak/>
        <w:t xml:space="preserve">5. </w:t>
      </w:r>
      <w:r w:rsidR="008E24C6" w:rsidRPr="005A7FF0">
        <w:rPr>
          <w:sz w:val="32"/>
          <w:szCs w:val="32"/>
        </w:rPr>
        <w:t>Discussion</w:t>
      </w:r>
    </w:p>
    <w:p w14:paraId="7E3F4C24" w14:textId="67D42666" w:rsidR="00885A0F" w:rsidRPr="005A7FF0" w:rsidRDefault="008E24C6" w:rsidP="003632A1">
      <w:pPr>
        <w:spacing w:line="360" w:lineRule="auto"/>
        <w:rPr>
          <w:sz w:val="24"/>
          <w:szCs w:val="24"/>
        </w:rPr>
      </w:pPr>
      <w:r w:rsidRPr="005A7FF0">
        <w:rPr>
          <w:sz w:val="24"/>
          <w:szCs w:val="24"/>
        </w:rPr>
        <w:t>The external environmental costs of producing rapeseed oil and palm oil at farm gate are substantial compared to the</w:t>
      </w:r>
      <w:r w:rsidR="007D52F5" w:rsidRPr="005A7FF0">
        <w:rPr>
          <w:sz w:val="24"/>
          <w:szCs w:val="24"/>
        </w:rPr>
        <w:t xml:space="preserve">ir </w:t>
      </w:r>
      <w:r w:rsidRPr="005A7FF0">
        <w:rPr>
          <w:sz w:val="24"/>
          <w:szCs w:val="24"/>
        </w:rPr>
        <w:t xml:space="preserve">market price. Rapeseed oil has the highest cost, followed closely by palm oil produced under deforestation, </w:t>
      </w:r>
      <w:r w:rsidR="00AA0BF8" w:rsidRPr="005A7FF0">
        <w:rPr>
          <w:sz w:val="24"/>
          <w:szCs w:val="24"/>
        </w:rPr>
        <w:t>while</w:t>
      </w:r>
      <w:r w:rsidRPr="005A7FF0">
        <w:rPr>
          <w:sz w:val="24"/>
          <w:szCs w:val="24"/>
        </w:rPr>
        <w:t xml:space="preserve"> the lowest cost by a substantial margin is palm oil produced under no deforestation. </w:t>
      </w:r>
      <w:r w:rsidR="00F21F2F" w:rsidRPr="005A7FF0">
        <w:rPr>
          <w:sz w:val="24"/>
          <w:szCs w:val="24"/>
        </w:rPr>
        <w:t>Regardless of production circumstances, and even though</w:t>
      </w:r>
      <w:r w:rsidR="00885A0F" w:rsidRPr="005A7FF0">
        <w:rPr>
          <w:sz w:val="24"/>
          <w:szCs w:val="24"/>
        </w:rPr>
        <w:t xml:space="preserve"> palm oil produced without deforestation generates the smallest environmental cost, the nutritional profile of this oil is inferior to that of rapeseed oil. </w:t>
      </w:r>
      <w:r w:rsidR="00805755" w:rsidRPr="005A7FF0">
        <w:rPr>
          <w:sz w:val="24"/>
          <w:szCs w:val="24"/>
        </w:rPr>
        <w:t xml:space="preserve">However, as pointed out earlier, </w:t>
      </w:r>
      <w:r w:rsidR="00805755" w:rsidRPr="005A7FF0">
        <w:rPr>
          <w:rFonts w:ascii="Calibri" w:eastAsia="Times New Roman" w:hAnsi="Calibri" w:cs="Calibri"/>
          <w:color w:val="000000"/>
          <w:sz w:val="24"/>
          <w:szCs w:val="24"/>
        </w:rPr>
        <w:t>if these oils are used as ingredients in other products, their nutritional properties, and their implications for human diets and health may be different.</w:t>
      </w:r>
    </w:p>
    <w:p w14:paraId="3CCFC8EB" w14:textId="437C7CC7" w:rsidR="008D069B" w:rsidRPr="005A7FF0" w:rsidRDefault="00805755" w:rsidP="003632A1">
      <w:pPr>
        <w:spacing w:line="360" w:lineRule="auto"/>
        <w:rPr>
          <w:sz w:val="24"/>
          <w:szCs w:val="24"/>
        </w:rPr>
      </w:pPr>
      <w:r w:rsidRPr="005A7FF0">
        <w:rPr>
          <w:sz w:val="24"/>
          <w:szCs w:val="24"/>
        </w:rPr>
        <w:t>The main driver of external costs is the c</w:t>
      </w:r>
      <w:r w:rsidR="003878F9" w:rsidRPr="005A7FF0">
        <w:rPr>
          <w:sz w:val="24"/>
          <w:szCs w:val="24"/>
        </w:rPr>
        <w:t xml:space="preserve">arbon emissions associated with the production of </w:t>
      </w:r>
      <w:r w:rsidR="00AA0BF8" w:rsidRPr="005A7FF0">
        <w:rPr>
          <w:sz w:val="24"/>
          <w:szCs w:val="24"/>
        </w:rPr>
        <w:t>these</w:t>
      </w:r>
      <w:r w:rsidR="003878F9" w:rsidRPr="005A7FF0">
        <w:rPr>
          <w:sz w:val="24"/>
          <w:szCs w:val="24"/>
        </w:rPr>
        <w:t xml:space="preserve"> oils.</w:t>
      </w:r>
      <w:r w:rsidRPr="005A7FF0">
        <w:rPr>
          <w:sz w:val="24"/>
          <w:szCs w:val="24"/>
        </w:rPr>
        <w:t xml:space="preserve"> These</w:t>
      </w:r>
      <w:r w:rsidR="004D215A" w:rsidRPr="005A7FF0">
        <w:rPr>
          <w:sz w:val="24"/>
          <w:szCs w:val="24"/>
        </w:rPr>
        <w:t xml:space="preserve"> emissions in turn are related to land use and land use change (transformation)</w:t>
      </w:r>
      <w:r w:rsidR="001475E5" w:rsidRPr="005A7FF0">
        <w:rPr>
          <w:sz w:val="24"/>
          <w:szCs w:val="24"/>
        </w:rPr>
        <w:t>, particularly</w:t>
      </w:r>
      <w:r w:rsidR="004D215A" w:rsidRPr="005A7FF0">
        <w:rPr>
          <w:sz w:val="24"/>
          <w:szCs w:val="24"/>
        </w:rPr>
        <w:t xml:space="preserve"> in the case of palm oil, which also has implications for biodiversity loss. </w:t>
      </w:r>
      <w:r w:rsidRPr="005A7FF0">
        <w:rPr>
          <w:sz w:val="24"/>
          <w:szCs w:val="24"/>
        </w:rPr>
        <w:t>T</w:t>
      </w:r>
      <w:r w:rsidR="00415D19" w:rsidRPr="005A7FF0">
        <w:rPr>
          <w:sz w:val="24"/>
          <w:szCs w:val="24"/>
        </w:rPr>
        <w:t>he external costs associated with biodiversity loss estimated here</w:t>
      </w:r>
      <w:r w:rsidR="001475E5" w:rsidRPr="005A7FF0">
        <w:rPr>
          <w:sz w:val="24"/>
          <w:szCs w:val="24"/>
        </w:rPr>
        <w:t xml:space="preserve"> also show that rapeseed oil production generates the largest </w:t>
      </w:r>
      <w:r w:rsidRPr="005A7FF0">
        <w:rPr>
          <w:sz w:val="24"/>
          <w:szCs w:val="24"/>
        </w:rPr>
        <w:t xml:space="preserve">costs while </w:t>
      </w:r>
      <w:r w:rsidR="001475E5" w:rsidRPr="005A7FF0">
        <w:rPr>
          <w:sz w:val="24"/>
          <w:szCs w:val="24"/>
        </w:rPr>
        <w:t>palm oil production under no deforestation</w:t>
      </w:r>
      <w:r w:rsidRPr="005A7FF0">
        <w:rPr>
          <w:sz w:val="24"/>
          <w:szCs w:val="24"/>
        </w:rPr>
        <w:t>,</w:t>
      </w:r>
      <w:r w:rsidR="001475E5" w:rsidRPr="005A7FF0">
        <w:rPr>
          <w:sz w:val="24"/>
          <w:szCs w:val="24"/>
        </w:rPr>
        <w:t xml:space="preserve"> the lowest. </w:t>
      </w:r>
      <w:r w:rsidR="00A8466A" w:rsidRPr="005A7FF0">
        <w:rPr>
          <w:sz w:val="24"/>
          <w:szCs w:val="24"/>
        </w:rPr>
        <w:t>These e</w:t>
      </w:r>
      <w:r w:rsidRPr="005A7FF0">
        <w:rPr>
          <w:sz w:val="24"/>
          <w:szCs w:val="24"/>
        </w:rPr>
        <w:t>stimates</w:t>
      </w:r>
      <w:r w:rsidR="001475E5" w:rsidRPr="005A7FF0">
        <w:rPr>
          <w:sz w:val="24"/>
          <w:szCs w:val="24"/>
        </w:rPr>
        <w:t xml:space="preserve"> depend on the monetization factors used, which in turn depend on the valuation of the opportunity cost</w:t>
      </w:r>
      <w:r w:rsidR="009A5501" w:rsidRPr="005A7FF0">
        <w:rPr>
          <w:sz w:val="24"/>
          <w:szCs w:val="24"/>
        </w:rPr>
        <w:t xml:space="preserve">s associated with </w:t>
      </w:r>
      <w:r w:rsidR="00A8466A" w:rsidRPr="005A7FF0">
        <w:rPr>
          <w:sz w:val="24"/>
          <w:szCs w:val="24"/>
        </w:rPr>
        <w:t xml:space="preserve">the biodiversity of the temperate </w:t>
      </w:r>
      <w:r w:rsidR="001379AD" w:rsidRPr="005A7FF0">
        <w:rPr>
          <w:sz w:val="24"/>
          <w:szCs w:val="24"/>
        </w:rPr>
        <w:t>grasslan</w:t>
      </w:r>
      <w:r w:rsidR="009A5501" w:rsidRPr="005A7FF0">
        <w:rPr>
          <w:sz w:val="24"/>
          <w:szCs w:val="24"/>
        </w:rPr>
        <w:t xml:space="preserve">d </w:t>
      </w:r>
      <w:r w:rsidR="00A8466A" w:rsidRPr="005A7FF0">
        <w:rPr>
          <w:sz w:val="24"/>
          <w:szCs w:val="24"/>
        </w:rPr>
        <w:t>biome</w:t>
      </w:r>
      <w:r w:rsidR="009A5501" w:rsidRPr="005A7FF0">
        <w:rPr>
          <w:sz w:val="24"/>
          <w:szCs w:val="24"/>
        </w:rPr>
        <w:t xml:space="preserve"> for rapeseed oil</w:t>
      </w:r>
      <w:r w:rsidR="001379AD" w:rsidRPr="005A7FF0">
        <w:rPr>
          <w:sz w:val="24"/>
          <w:szCs w:val="24"/>
        </w:rPr>
        <w:t xml:space="preserve"> and</w:t>
      </w:r>
      <w:r w:rsidR="00A8466A" w:rsidRPr="005A7FF0">
        <w:rPr>
          <w:sz w:val="24"/>
          <w:szCs w:val="24"/>
        </w:rPr>
        <w:t xml:space="preserve"> of the</w:t>
      </w:r>
      <w:r w:rsidR="001379AD" w:rsidRPr="005A7FF0">
        <w:rPr>
          <w:sz w:val="24"/>
          <w:szCs w:val="24"/>
        </w:rPr>
        <w:t xml:space="preserve"> tropical forest </w:t>
      </w:r>
      <w:r w:rsidR="00A8466A" w:rsidRPr="005A7FF0">
        <w:rPr>
          <w:sz w:val="24"/>
          <w:szCs w:val="24"/>
        </w:rPr>
        <w:t>biome</w:t>
      </w:r>
      <w:r w:rsidR="009A5501" w:rsidRPr="005A7FF0">
        <w:rPr>
          <w:sz w:val="24"/>
          <w:szCs w:val="24"/>
        </w:rPr>
        <w:t xml:space="preserve"> for palm oil</w:t>
      </w:r>
      <w:r w:rsidR="001379AD" w:rsidRPr="005A7FF0">
        <w:rPr>
          <w:sz w:val="24"/>
          <w:szCs w:val="24"/>
        </w:rPr>
        <w:t xml:space="preserve">. </w:t>
      </w:r>
    </w:p>
    <w:p w14:paraId="3F01DB7C" w14:textId="1CC93063" w:rsidR="003A6C80" w:rsidRPr="005A7FF0" w:rsidRDefault="00706D06" w:rsidP="003632A1">
      <w:pPr>
        <w:spacing w:line="360" w:lineRule="auto"/>
        <w:rPr>
          <w:sz w:val="24"/>
          <w:szCs w:val="24"/>
        </w:rPr>
      </w:pPr>
      <w:r w:rsidRPr="005A7FF0">
        <w:rPr>
          <w:sz w:val="24"/>
          <w:szCs w:val="24"/>
        </w:rPr>
        <w:t>These monetization factors are based</w:t>
      </w:r>
      <w:r w:rsidR="00AF3F3B" w:rsidRPr="005A7FF0">
        <w:rPr>
          <w:sz w:val="24"/>
          <w:szCs w:val="24"/>
        </w:rPr>
        <w:t xml:space="preserve"> on</w:t>
      </w:r>
      <w:r w:rsidRPr="005A7FF0">
        <w:rPr>
          <w:sz w:val="24"/>
          <w:szCs w:val="24"/>
        </w:rPr>
        <w:t xml:space="preserve"> the meta-analysis from </w:t>
      </w:r>
      <w:r w:rsidR="00ED60E0" w:rsidRPr="005A7FF0">
        <w:rPr>
          <w:sz w:val="24"/>
          <w:szCs w:val="24"/>
        </w:rPr>
        <w:t>d</w:t>
      </w:r>
      <w:r w:rsidRPr="005A7FF0">
        <w:rPr>
          <w:sz w:val="24"/>
          <w:szCs w:val="24"/>
        </w:rPr>
        <w:t>e Groot et al. (2012) and reported in The Ecosystem Service Valuation Database (ESVD) (</w:t>
      </w:r>
      <w:hyperlink r:id="rId31" w:history="1">
        <w:r w:rsidRPr="005A7FF0">
          <w:rPr>
            <w:rStyle w:val="Hyperlink"/>
            <w:sz w:val="24"/>
            <w:szCs w:val="24"/>
          </w:rPr>
          <w:t>https://www.esvd.info/</w:t>
        </w:r>
      </w:hyperlink>
      <w:r w:rsidRPr="005A7FF0">
        <w:rPr>
          <w:sz w:val="24"/>
          <w:szCs w:val="24"/>
        </w:rPr>
        <w:t xml:space="preserve">). This database contains 52 valuation studies of temperate grasslands, none from North America which </w:t>
      </w:r>
      <w:r w:rsidR="00AF3F3B" w:rsidRPr="005A7FF0">
        <w:rPr>
          <w:sz w:val="24"/>
          <w:szCs w:val="24"/>
        </w:rPr>
        <w:t>is</w:t>
      </w:r>
      <w:r w:rsidRPr="005A7FF0">
        <w:rPr>
          <w:sz w:val="24"/>
          <w:szCs w:val="24"/>
        </w:rPr>
        <w:t xml:space="preserve"> the biome where rapeseed is produced in Saskatchewan. However, it contains 194 valuation studies of tropical rainforest specifically from Malaysia, the biome where palm oil is produced</w:t>
      </w:r>
      <w:r w:rsidR="004A6B36" w:rsidRPr="005A7FF0">
        <w:rPr>
          <w:sz w:val="24"/>
          <w:szCs w:val="24"/>
        </w:rPr>
        <w:t xml:space="preserve"> in Sabah and Sarawak</w:t>
      </w:r>
      <w:r w:rsidRPr="005A7FF0">
        <w:rPr>
          <w:sz w:val="24"/>
          <w:szCs w:val="24"/>
        </w:rPr>
        <w:t>. It is likely that the monetization factor for the biome where rapeseed oil is produced is less accurate than the one for tropical forests, where palm is produced. Furthermore, t</w:t>
      </w:r>
      <w:r w:rsidR="00FD1463" w:rsidRPr="005A7FF0">
        <w:rPr>
          <w:sz w:val="24"/>
          <w:szCs w:val="24"/>
        </w:rPr>
        <w:t>he monetary external costs estimated in this study do not consider the uniqueness of the biodiversity lost. Not only</w:t>
      </w:r>
      <w:r w:rsidR="00516436" w:rsidRPr="005A7FF0">
        <w:rPr>
          <w:sz w:val="24"/>
          <w:szCs w:val="24"/>
        </w:rPr>
        <w:t xml:space="preserve"> might</w:t>
      </w:r>
      <w:r w:rsidR="00FD1463" w:rsidRPr="005A7FF0">
        <w:rPr>
          <w:sz w:val="24"/>
          <w:szCs w:val="24"/>
        </w:rPr>
        <w:t xml:space="preserve"> the level of biodiversity </w:t>
      </w:r>
      <w:r w:rsidR="00516436" w:rsidRPr="005A7FF0">
        <w:rPr>
          <w:sz w:val="24"/>
          <w:szCs w:val="24"/>
        </w:rPr>
        <w:t>in</w:t>
      </w:r>
      <w:r w:rsidR="00FD1463" w:rsidRPr="005A7FF0">
        <w:rPr>
          <w:sz w:val="24"/>
          <w:szCs w:val="24"/>
        </w:rPr>
        <w:t xml:space="preserve"> a tropical </w:t>
      </w:r>
      <w:r w:rsidRPr="005A7FF0">
        <w:rPr>
          <w:sz w:val="24"/>
          <w:szCs w:val="24"/>
        </w:rPr>
        <w:t>rain</w:t>
      </w:r>
      <w:r w:rsidR="00FD1463" w:rsidRPr="005A7FF0">
        <w:rPr>
          <w:sz w:val="24"/>
          <w:szCs w:val="24"/>
        </w:rPr>
        <w:t xml:space="preserve">forest be larger than the one of a temperate grassland, but also the species composition and their uniqueness should be different. </w:t>
      </w:r>
      <w:r w:rsidRPr="005A7FF0">
        <w:rPr>
          <w:sz w:val="24"/>
          <w:szCs w:val="24"/>
        </w:rPr>
        <w:t>For example,</w:t>
      </w:r>
      <w:r w:rsidR="00AF3F3B" w:rsidRPr="005A7FF0">
        <w:rPr>
          <w:sz w:val="24"/>
          <w:szCs w:val="24"/>
        </w:rPr>
        <w:t xml:space="preserve"> the land where rapeseed is produced in </w:t>
      </w:r>
      <w:r w:rsidR="00AF3F3B" w:rsidRPr="005A7FF0">
        <w:rPr>
          <w:sz w:val="24"/>
          <w:szCs w:val="24"/>
        </w:rPr>
        <w:lastRenderedPageBreak/>
        <w:t>Saskatchewan has already been transformed for a long time and basically additional area comes from the replacement of crops, e.g., wheat by rapeseed</w:t>
      </w:r>
      <w:r w:rsidR="00D51916" w:rsidRPr="005A7FF0">
        <w:rPr>
          <w:sz w:val="24"/>
          <w:szCs w:val="24"/>
        </w:rPr>
        <w:t xml:space="preserve"> (</w:t>
      </w:r>
      <w:proofErr w:type="spellStart"/>
      <w:r w:rsidR="00D51916" w:rsidRPr="005A7FF0">
        <w:rPr>
          <w:sz w:val="24"/>
          <w:szCs w:val="24"/>
        </w:rPr>
        <w:t>MacWilliams</w:t>
      </w:r>
      <w:proofErr w:type="spellEnd"/>
      <w:r w:rsidR="00D51916" w:rsidRPr="005A7FF0">
        <w:rPr>
          <w:sz w:val="24"/>
          <w:szCs w:val="24"/>
        </w:rPr>
        <w:t xml:space="preserve"> et al., 2016)</w:t>
      </w:r>
      <w:r w:rsidR="004A6B36" w:rsidRPr="005A7FF0">
        <w:rPr>
          <w:sz w:val="24"/>
          <w:szCs w:val="24"/>
        </w:rPr>
        <w:t>. Ho</w:t>
      </w:r>
      <w:r w:rsidR="00AF3F3B" w:rsidRPr="005A7FF0">
        <w:rPr>
          <w:sz w:val="24"/>
          <w:szCs w:val="24"/>
        </w:rPr>
        <w:t>wever,</w:t>
      </w:r>
      <w:r w:rsidR="004A6B36" w:rsidRPr="005A7FF0">
        <w:rPr>
          <w:sz w:val="24"/>
          <w:szCs w:val="24"/>
        </w:rPr>
        <w:t xml:space="preserve"> the</w:t>
      </w:r>
      <w:r w:rsidR="00AF3F3B" w:rsidRPr="005A7FF0">
        <w:rPr>
          <w:sz w:val="24"/>
          <w:szCs w:val="24"/>
        </w:rPr>
        <w:t xml:space="preserve"> expansion of palm oil </w:t>
      </w:r>
      <w:r w:rsidR="004F546E" w:rsidRPr="005A7FF0">
        <w:rPr>
          <w:sz w:val="24"/>
          <w:szCs w:val="24"/>
        </w:rPr>
        <w:t xml:space="preserve">at the expense of tropical forested areas </w:t>
      </w:r>
      <w:r w:rsidR="00AF3F3B" w:rsidRPr="005A7FF0">
        <w:rPr>
          <w:sz w:val="24"/>
          <w:szCs w:val="24"/>
        </w:rPr>
        <w:t>may lead to the reduction of habitat</w:t>
      </w:r>
      <w:r w:rsidR="004A6B36" w:rsidRPr="005A7FF0">
        <w:rPr>
          <w:sz w:val="24"/>
          <w:szCs w:val="24"/>
        </w:rPr>
        <w:t>s</w:t>
      </w:r>
      <w:r w:rsidR="00AF3F3B" w:rsidRPr="005A7FF0">
        <w:rPr>
          <w:sz w:val="24"/>
          <w:szCs w:val="24"/>
        </w:rPr>
        <w:t xml:space="preserve"> for unique species such as the orangutan. Therefore, the external costs of biodiversity loss estimated here should be taken with a note of caution.</w:t>
      </w:r>
      <w:r w:rsidR="008F2AC5" w:rsidRPr="005A7FF0">
        <w:rPr>
          <w:sz w:val="24"/>
          <w:szCs w:val="24"/>
        </w:rPr>
        <w:t xml:space="preserve"> </w:t>
      </w:r>
    </w:p>
    <w:p w14:paraId="75B329D3" w14:textId="39A9D287" w:rsidR="004D7D18" w:rsidRPr="005A7FF0" w:rsidRDefault="004D7D18" w:rsidP="004D7D18">
      <w:pPr>
        <w:spacing w:line="360" w:lineRule="auto"/>
        <w:rPr>
          <w:sz w:val="24"/>
          <w:szCs w:val="24"/>
        </w:rPr>
      </w:pPr>
      <w:r w:rsidRPr="005A7FF0">
        <w:rPr>
          <w:sz w:val="24"/>
          <w:szCs w:val="24"/>
        </w:rPr>
        <w:t>Another issue worth mentioning are the concerns that have been raised about the widespread adoption of genetically modified (GM) canola and its impacts on the environment and health (</w:t>
      </w:r>
      <w:proofErr w:type="spellStart"/>
      <w:r w:rsidRPr="005A7FF0">
        <w:rPr>
          <w:sz w:val="24"/>
          <w:szCs w:val="24"/>
        </w:rPr>
        <w:t>MacWilliams</w:t>
      </w:r>
      <w:proofErr w:type="spellEnd"/>
      <w:r w:rsidRPr="005A7FF0">
        <w:rPr>
          <w:sz w:val="24"/>
          <w:szCs w:val="24"/>
        </w:rPr>
        <w:t xml:space="preserve"> et al., 2016). This is a controversial and politically charged issue. There are benefits of GM canola adoption. For </w:t>
      </w:r>
      <w:r w:rsidR="006D2885" w:rsidRPr="005A7FF0">
        <w:rPr>
          <w:sz w:val="24"/>
          <w:szCs w:val="24"/>
        </w:rPr>
        <w:t>example,</w:t>
      </w:r>
      <w:r w:rsidRPr="005A7FF0">
        <w:rPr>
          <w:sz w:val="24"/>
          <w:szCs w:val="24"/>
        </w:rPr>
        <w:t xml:space="preserve"> GM adoption</w:t>
      </w:r>
      <w:r w:rsidR="00516436" w:rsidRPr="005A7FF0">
        <w:rPr>
          <w:sz w:val="24"/>
          <w:szCs w:val="24"/>
        </w:rPr>
        <w:t xml:space="preserve"> has been found to be</w:t>
      </w:r>
      <w:r w:rsidRPr="005A7FF0">
        <w:rPr>
          <w:sz w:val="24"/>
          <w:szCs w:val="24"/>
        </w:rPr>
        <w:t xml:space="preserve"> a driver of increased carbon sequestration due to </w:t>
      </w:r>
      <w:r w:rsidR="006D2885" w:rsidRPr="005A7FF0">
        <w:rPr>
          <w:sz w:val="24"/>
          <w:szCs w:val="24"/>
        </w:rPr>
        <w:t>its association</w:t>
      </w:r>
      <w:r w:rsidR="00516436" w:rsidRPr="005A7FF0">
        <w:rPr>
          <w:sz w:val="24"/>
          <w:szCs w:val="24"/>
        </w:rPr>
        <w:t xml:space="preserve"> </w:t>
      </w:r>
      <w:r w:rsidRPr="005A7FF0">
        <w:rPr>
          <w:sz w:val="24"/>
          <w:szCs w:val="24"/>
        </w:rPr>
        <w:t>with reduced or no tillage (Sutherland et al., 2021). There is evidence of a reduction in the amount of active ingredient of herbicides applied per hectare and decreases in the environmental impact of the top five canola herbicides used (Smyth et al., 2011). However, at the landscape level, the environmental and human health effects level of the widespread herbicide use associated with the extensive adoption of GM varieties, 95% of the area in Canada is planted to GM canola, have not been assessed</w:t>
      </w:r>
      <w:r w:rsidR="000619E8" w:rsidRPr="005A7FF0">
        <w:rPr>
          <w:sz w:val="24"/>
          <w:szCs w:val="24"/>
        </w:rPr>
        <w:t xml:space="preserve">.  Examples of this might be the effects </w:t>
      </w:r>
      <w:r w:rsidRPr="005A7FF0">
        <w:rPr>
          <w:sz w:val="24"/>
          <w:szCs w:val="24"/>
        </w:rPr>
        <w:t>on ecosystems services, evolutionary changes in non-target species, and health of human populations. These are issues that have to be explored further to have a better assessment of the net environmental costs of rapeseed oil production in North America (GM varieties have also been widely adopted in the USA).</w:t>
      </w:r>
    </w:p>
    <w:p w14:paraId="37A39986" w14:textId="6DE4750B" w:rsidR="004A6B36" w:rsidRPr="005A7FF0" w:rsidRDefault="00605AB6" w:rsidP="003632A1">
      <w:pPr>
        <w:spacing w:line="360" w:lineRule="auto"/>
        <w:rPr>
          <w:sz w:val="24"/>
          <w:szCs w:val="24"/>
        </w:rPr>
      </w:pPr>
      <w:r w:rsidRPr="005A7FF0">
        <w:rPr>
          <w:sz w:val="24"/>
          <w:szCs w:val="24"/>
        </w:rPr>
        <w:t>Although not directly addressed in this study, in terms of human capital, p</w:t>
      </w:r>
      <w:r w:rsidR="00B543E3" w:rsidRPr="005A7FF0">
        <w:rPr>
          <w:sz w:val="24"/>
          <w:szCs w:val="24"/>
        </w:rPr>
        <w:t>alm oil production is still mostly done by human labor, particularly migratory labor in Malaysia</w:t>
      </w:r>
      <w:r w:rsidRPr="005A7FF0">
        <w:rPr>
          <w:sz w:val="24"/>
          <w:szCs w:val="24"/>
        </w:rPr>
        <w:t xml:space="preserve"> (</w:t>
      </w:r>
      <w:r w:rsidR="003308E2" w:rsidRPr="005A7FF0">
        <w:rPr>
          <w:sz w:val="24"/>
          <w:szCs w:val="24"/>
        </w:rPr>
        <w:t>Reynaud</w:t>
      </w:r>
      <w:r w:rsidRPr="005A7FF0">
        <w:rPr>
          <w:sz w:val="24"/>
          <w:szCs w:val="24"/>
        </w:rPr>
        <w:t xml:space="preserve"> et al., 2016). There are issues of </w:t>
      </w:r>
      <w:r w:rsidR="00366680" w:rsidRPr="005A7FF0">
        <w:rPr>
          <w:sz w:val="24"/>
          <w:szCs w:val="24"/>
        </w:rPr>
        <w:t>underpayment of casual workers (Reynaud et al., 2016)</w:t>
      </w:r>
      <w:r w:rsidR="00B543E3" w:rsidRPr="005A7FF0">
        <w:rPr>
          <w:sz w:val="24"/>
          <w:szCs w:val="24"/>
        </w:rPr>
        <w:t xml:space="preserve">. </w:t>
      </w:r>
      <w:r w:rsidR="00D51916" w:rsidRPr="005A7FF0">
        <w:rPr>
          <w:sz w:val="24"/>
          <w:szCs w:val="24"/>
        </w:rPr>
        <w:t>M</w:t>
      </w:r>
      <w:r w:rsidR="00B543E3" w:rsidRPr="005A7FF0">
        <w:rPr>
          <w:sz w:val="24"/>
          <w:szCs w:val="24"/>
        </w:rPr>
        <w:t xml:space="preserve">igratory labor is so important in Malaysia that oil production decreased </w:t>
      </w:r>
      <w:r w:rsidR="005919FA" w:rsidRPr="005A7FF0">
        <w:rPr>
          <w:sz w:val="24"/>
          <w:szCs w:val="24"/>
        </w:rPr>
        <w:t xml:space="preserve">significantly </w:t>
      </w:r>
      <w:r w:rsidR="00B543E3" w:rsidRPr="005A7FF0">
        <w:rPr>
          <w:sz w:val="24"/>
          <w:szCs w:val="24"/>
        </w:rPr>
        <w:t>during the COVID-19 pandemic</w:t>
      </w:r>
      <w:r w:rsidR="005919FA" w:rsidRPr="005A7FF0">
        <w:rPr>
          <w:sz w:val="24"/>
          <w:szCs w:val="24"/>
        </w:rPr>
        <w:t xml:space="preserve"> due to travel and immigration restriction</w:t>
      </w:r>
      <w:r w:rsidR="00366680" w:rsidRPr="005A7FF0">
        <w:rPr>
          <w:sz w:val="24"/>
          <w:szCs w:val="24"/>
        </w:rPr>
        <w:t>s</w:t>
      </w:r>
      <w:r w:rsidR="00B543E3" w:rsidRPr="005A7FF0">
        <w:rPr>
          <w:sz w:val="24"/>
          <w:szCs w:val="24"/>
        </w:rPr>
        <w:t xml:space="preserve"> </w:t>
      </w:r>
      <w:r w:rsidR="005919FA" w:rsidRPr="005A7FF0">
        <w:rPr>
          <w:sz w:val="24"/>
          <w:szCs w:val="24"/>
        </w:rPr>
        <w:t>(</w:t>
      </w:r>
      <w:proofErr w:type="spellStart"/>
      <w:r w:rsidR="00B543E3" w:rsidRPr="005A7FF0">
        <w:rPr>
          <w:sz w:val="24"/>
          <w:szCs w:val="24"/>
        </w:rPr>
        <w:t>Parveez</w:t>
      </w:r>
      <w:proofErr w:type="spellEnd"/>
      <w:r w:rsidR="00B543E3" w:rsidRPr="005A7FF0">
        <w:rPr>
          <w:sz w:val="24"/>
          <w:szCs w:val="24"/>
        </w:rPr>
        <w:t xml:space="preserve"> et al.</w:t>
      </w:r>
      <w:r w:rsidR="00772101">
        <w:rPr>
          <w:sz w:val="24"/>
          <w:szCs w:val="24"/>
        </w:rPr>
        <w:t>,</w:t>
      </w:r>
      <w:r w:rsidR="00B543E3" w:rsidRPr="005A7FF0">
        <w:rPr>
          <w:sz w:val="24"/>
          <w:szCs w:val="24"/>
        </w:rPr>
        <w:t xml:space="preserve"> 2022</w:t>
      </w:r>
      <w:r w:rsidR="005919FA" w:rsidRPr="005A7FF0">
        <w:rPr>
          <w:sz w:val="24"/>
          <w:szCs w:val="24"/>
        </w:rPr>
        <w:t>)</w:t>
      </w:r>
      <w:r w:rsidR="00B543E3" w:rsidRPr="005A7FF0">
        <w:rPr>
          <w:sz w:val="24"/>
          <w:szCs w:val="24"/>
        </w:rPr>
        <w:t xml:space="preserve">. </w:t>
      </w:r>
      <w:r w:rsidR="00366680" w:rsidRPr="005A7FF0">
        <w:rPr>
          <w:sz w:val="24"/>
          <w:szCs w:val="24"/>
        </w:rPr>
        <w:t>In contrast, r</w:t>
      </w:r>
      <w:r w:rsidR="00B543E3" w:rsidRPr="005A7FF0">
        <w:rPr>
          <w:sz w:val="24"/>
          <w:szCs w:val="24"/>
        </w:rPr>
        <w:t>apeseed production in Canada is heavily mechanized, therefore it is unlikely that there will be major external costs associated with human labor</w:t>
      </w:r>
      <w:r w:rsidR="004A6B36" w:rsidRPr="005A7FF0">
        <w:rPr>
          <w:sz w:val="24"/>
          <w:szCs w:val="24"/>
        </w:rPr>
        <w:t>.</w:t>
      </w:r>
    </w:p>
    <w:p w14:paraId="07C8B0F6" w14:textId="2C223F17" w:rsidR="00323992" w:rsidRPr="005A7FF0" w:rsidRDefault="00251516" w:rsidP="003632A1">
      <w:pPr>
        <w:spacing w:line="360" w:lineRule="auto"/>
        <w:rPr>
          <w:sz w:val="24"/>
          <w:szCs w:val="24"/>
        </w:rPr>
      </w:pPr>
      <w:r w:rsidRPr="005A7FF0">
        <w:rPr>
          <w:sz w:val="24"/>
          <w:szCs w:val="24"/>
        </w:rPr>
        <w:t>It is important to emphasize that this study is not a full</w:t>
      </w:r>
      <w:r w:rsidR="00323992" w:rsidRPr="005A7FF0">
        <w:rPr>
          <w:sz w:val="24"/>
          <w:szCs w:val="24"/>
        </w:rPr>
        <w:t xml:space="preserve"> fledge True Cost Accounting exercise and it only took into consideration the environmental negative externalities, i.e., costs up to the </w:t>
      </w:r>
      <w:r w:rsidR="00323992" w:rsidRPr="005A7FF0">
        <w:rPr>
          <w:sz w:val="24"/>
          <w:szCs w:val="24"/>
        </w:rPr>
        <w:lastRenderedPageBreak/>
        <w:t xml:space="preserve">farm gate, ignoring the full supply chain of these oils, as well as the positive externalities, as well as human and social capital that may be involved. With its limitations this study shows that in the end the choice of rapeseed versus palm oil depends on how the environmental external costs are weighted against the nutritional properties of both oils. It is clear that for palm oil, sourcing it from plantations established without deforestation is crucial to minimize its external costs. It is not clear however, how to account for past deforestation in this assessment. </w:t>
      </w:r>
      <w:r w:rsidR="005C05CE">
        <w:rPr>
          <w:sz w:val="24"/>
          <w:szCs w:val="24"/>
        </w:rPr>
        <w:t>Further analysis and a complete application of the TCA methodology is warranted given our conclusions.</w:t>
      </w:r>
    </w:p>
    <w:p w14:paraId="6A1425C4" w14:textId="6F842EC9" w:rsidR="000D443A" w:rsidRPr="005A7FF0" w:rsidRDefault="00C4602A" w:rsidP="003632A1">
      <w:pPr>
        <w:spacing w:before="120" w:after="0" w:line="360" w:lineRule="auto"/>
        <w:rPr>
          <w:sz w:val="28"/>
          <w:szCs w:val="28"/>
        </w:rPr>
      </w:pPr>
      <w:r w:rsidRPr="005A7FF0">
        <w:rPr>
          <w:sz w:val="28"/>
          <w:szCs w:val="28"/>
        </w:rPr>
        <w:t>References</w:t>
      </w:r>
    </w:p>
    <w:p w14:paraId="44BF4A8E" w14:textId="77777777" w:rsidR="00A04486" w:rsidRPr="005A7FF0" w:rsidRDefault="00A04486" w:rsidP="003632A1">
      <w:pPr>
        <w:spacing w:before="120" w:after="0" w:line="360" w:lineRule="auto"/>
        <w:rPr>
          <w:rFonts w:cstheme="minorHAnsi"/>
          <w:sz w:val="24"/>
          <w:szCs w:val="24"/>
        </w:rPr>
      </w:pPr>
      <w:r w:rsidRPr="005A7FF0">
        <w:rPr>
          <w:rFonts w:cstheme="minorHAnsi"/>
          <w:sz w:val="24"/>
          <w:szCs w:val="24"/>
        </w:rPr>
        <w:t xml:space="preserve">Ahmad, M., Qureshi, S., Akbar, M. H., Siddiqui, S. A., </w:t>
      </w:r>
      <w:proofErr w:type="spellStart"/>
      <w:r w:rsidRPr="005A7FF0">
        <w:rPr>
          <w:rFonts w:cstheme="minorHAnsi"/>
          <w:sz w:val="24"/>
          <w:szCs w:val="24"/>
        </w:rPr>
        <w:t>Gani</w:t>
      </w:r>
      <w:proofErr w:type="spellEnd"/>
      <w:r w:rsidRPr="005A7FF0">
        <w:rPr>
          <w:rFonts w:cstheme="minorHAnsi"/>
          <w:sz w:val="24"/>
          <w:szCs w:val="24"/>
        </w:rPr>
        <w:t xml:space="preserve">, A., Mushtaq, M., Hassan, I., &amp; </w:t>
      </w:r>
      <w:proofErr w:type="spellStart"/>
      <w:r w:rsidRPr="005A7FF0">
        <w:rPr>
          <w:rFonts w:cstheme="minorHAnsi"/>
          <w:sz w:val="24"/>
          <w:szCs w:val="24"/>
        </w:rPr>
        <w:t>Dhull</w:t>
      </w:r>
      <w:proofErr w:type="spellEnd"/>
      <w:r w:rsidRPr="005A7FF0">
        <w:rPr>
          <w:rFonts w:cstheme="minorHAnsi"/>
          <w:sz w:val="24"/>
          <w:szCs w:val="24"/>
        </w:rPr>
        <w:t xml:space="preserve">, S. B. (2022). Plant-based meat alternatives: Compositional analysis, current </w:t>
      </w:r>
      <w:proofErr w:type="gramStart"/>
      <w:r w:rsidRPr="005A7FF0">
        <w:rPr>
          <w:rFonts w:cstheme="minorHAnsi"/>
          <w:sz w:val="24"/>
          <w:szCs w:val="24"/>
        </w:rPr>
        <w:t>development</w:t>
      </w:r>
      <w:proofErr w:type="gramEnd"/>
      <w:r w:rsidRPr="005A7FF0">
        <w:rPr>
          <w:rFonts w:cstheme="minorHAnsi"/>
          <w:sz w:val="24"/>
          <w:szCs w:val="24"/>
        </w:rPr>
        <w:t xml:space="preserve"> and challenges. </w:t>
      </w:r>
      <w:r w:rsidRPr="005A7FF0">
        <w:rPr>
          <w:rFonts w:cstheme="minorHAnsi"/>
          <w:i/>
          <w:iCs/>
          <w:sz w:val="24"/>
          <w:szCs w:val="24"/>
        </w:rPr>
        <w:t>Applied Food Research</w:t>
      </w:r>
      <w:r w:rsidRPr="005A7FF0">
        <w:rPr>
          <w:rFonts w:cstheme="minorHAnsi"/>
          <w:sz w:val="24"/>
          <w:szCs w:val="24"/>
        </w:rPr>
        <w:t xml:space="preserve">, 2, 100154. </w:t>
      </w:r>
      <w:hyperlink r:id="rId32" w:history="1">
        <w:r w:rsidRPr="005A7FF0">
          <w:rPr>
            <w:rStyle w:val="Hyperlink"/>
            <w:rFonts w:cstheme="minorHAnsi"/>
            <w:sz w:val="24"/>
            <w:szCs w:val="24"/>
          </w:rPr>
          <w:t>https://doi.org/10.1016/j.afres.2022.100154</w:t>
        </w:r>
      </w:hyperlink>
    </w:p>
    <w:p w14:paraId="799C1268" w14:textId="77777777" w:rsidR="00A04486" w:rsidRPr="005A7FF0" w:rsidRDefault="00A04486" w:rsidP="003632A1">
      <w:pPr>
        <w:spacing w:before="120" w:after="0" w:line="360" w:lineRule="auto"/>
        <w:rPr>
          <w:rFonts w:cstheme="minorHAnsi"/>
          <w:sz w:val="24"/>
          <w:szCs w:val="24"/>
        </w:rPr>
      </w:pPr>
      <w:r w:rsidRPr="005A7FF0">
        <w:rPr>
          <w:rFonts w:cstheme="minorHAnsi"/>
          <w:sz w:val="24"/>
          <w:szCs w:val="24"/>
        </w:rPr>
        <w:t xml:space="preserve">Baker, L. E., Daniels, P. A., &amp; Gemmill-Herren, B. (Eds.). (2021). </w:t>
      </w:r>
      <w:r w:rsidRPr="005A7FF0">
        <w:rPr>
          <w:rFonts w:cstheme="minorHAnsi"/>
          <w:i/>
          <w:iCs/>
          <w:sz w:val="24"/>
          <w:szCs w:val="24"/>
        </w:rPr>
        <w:t>True cost accounting for food: Balancing the scale</w:t>
      </w:r>
      <w:r w:rsidRPr="005A7FF0">
        <w:rPr>
          <w:rFonts w:cstheme="minorHAnsi"/>
          <w:sz w:val="24"/>
          <w:szCs w:val="24"/>
        </w:rPr>
        <w:t>. Routledge.</w:t>
      </w:r>
    </w:p>
    <w:p w14:paraId="737B2467" w14:textId="77777777" w:rsidR="00A04486" w:rsidRPr="005A7FF0" w:rsidRDefault="00A04486" w:rsidP="003632A1">
      <w:pPr>
        <w:spacing w:before="120" w:after="0" w:line="360" w:lineRule="auto"/>
        <w:rPr>
          <w:rFonts w:cstheme="minorHAnsi"/>
          <w:sz w:val="24"/>
          <w:szCs w:val="24"/>
        </w:rPr>
      </w:pPr>
      <w:r w:rsidRPr="005A7FF0">
        <w:rPr>
          <w:rFonts w:cstheme="minorHAnsi"/>
          <w:sz w:val="24"/>
          <w:szCs w:val="24"/>
        </w:rPr>
        <w:t xml:space="preserve">Calder, P. C. (2015) Functional roles of fatty acids and their effects on human health. </w:t>
      </w:r>
      <w:r w:rsidRPr="005A7FF0">
        <w:rPr>
          <w:rFonts w:cstheme="minorHAnsi"/>
          <w:i/>
          <w:iCs/>
          <w:sz w:val="24"/>
          <w:szCs w:val="24"/>
        </w:rPr>
        <w:t>Journal of Parenteral and Enteral Nutrition</w:t>
      </w:r>
      <w:r w:rsidRPr="005A7FF0">
        <w:rPr>
          <w:rFonts w:cstheme="minorHAnsi"/>
          <w:sz w:val="24"/>
          <w:szCs w:val="24"/>
        </w:rPr>
        <w:t xml:space="preserve">, 39(suppl 1), 18S–32S. </w:t>
      </w:r>
      <w:hyperlink r:id="rId33" w:history="1">
        <w:r w:rsidRPr="005A7FF0">
          <w:rPr>
            <w:rStyle w:val="Hyperlink"/>
            <w:rFonts w:cstheme="minorHAnsi"/>
            <w:sz w:val="24"/>
            <w:szCs w:val="24"/>
          </w:rPr>
          <w:t>https://doi.org/10.1177/0148607115595980</w:t>
        </w:r>
      </w:hyperlink>
    </w:p>
    <w:p w14:paraId="70BD3ADC" w14:textId="66AE42E6" w:rsidR="00647881" w:rsidRDefault="00647881" w:rsidP="00647881">
      <w:pPr>
        <w:spacing w:before="120" w:after="0" w:line="360" w:lineRule="auto"/>
        <w:rPr>
          <w:rFonts w:cstheme="minorHAnsi"/>
          <w:sz w:val="24"/>
          <w:szCs w:val="24"/>
        </w:rPr>
      </w:pPr>
      <w:r w:rsidRPr="00647881">
        <w:rPr>
          <w:rFonts w:cstheme="minorHAnsi"/>
          <w:sz w:val="24"/>
          <w:szCs w:val="24"/>
        </w:rPr>
        <w:t>CISL - University of Cambridge Institute for Sustainability Leadership (CISL). (2020). Measuring business impacts</w:t>
      </w:r>
      <w:r>
        <w:rPr>
          <w:rFonts w:cstheme="minorHAnsi"/>
          <w:sz w:val="24"/>
          <w:szCs w:val="24"/>
        </w:rPr>
        <w:t xml:space="preserve"> </w:t>
      </w:r>
      <w:r w:rsidRPr="00647881">
        <w:rPr>
          <w:rFonts w:cstheme="minorHAnsi"/>
          <w:sz w:val="24"/>
          <w:szCs w:val="24"/>
        </w:rPr>
        <w:t>on nature: A framework to support better stewardship of biodiversity in global supply chains</w:t>
      </w:r>
      <w:r>
        <w:rPr>
          <w:rFonts w:cstheme="minorHAnsi"/>
          <w:sz w:val="24"/>
          <w:szCs w:val="24"/>
        </w:rPr>
        <w:t xml:space="preserve">. </w:t>
      </w:r>
      <w:r w:rsidRPr="00647881">
        <w:rPr>
          <w:rFonts w:cstheme="minorHAnsi"/>
          <w:sz w:val="24"/>
          <w:szCs w:val="24"/>
        </w:rPr>
        <w:t>Cambridge, UK</w:t>
      </w:r>
      <w:r>
        <w:rPr>
          <w:rFonts w:cstheme="minorHAnsi"/>
          <w:sz w:val="24"/>
          <w:szCs w:val="24"/>
        </w:rPr>
        <w:t xml:space="preserve">, </w:t>
      </w:r>
      <w:r w:rsidRPr="00647881">
        <w:rPr>
          <w:rFonts w:cstheme="minorHAnsi"/>
          <w:sz w:val="24"/>
          <w:szCs w:val="24"/>
        </w:rPr>
        <w:t>University of Cambridge Institute for Sustainability Leadership.</w:t>
      </w:r>
    </w:p>
    <w:p w14:paraId="563070BD" w14:textId="26880FBF" w:rsidR="00A04486" w:rsidRPr="005A7FF0" w:rsidRDefault="00A04486" w:rsidP="003632A1">
      <w:pPr>
        <w:spacing w:before="120" w:after="0" w:line="360" w:lineRule="auto"/>
        <w:rPr>
          <w:rFonts w:cstheme="minorHAnsi"/>
          <w:sz w:val="24"/>
          <w:szCs w:val="24"/>
        </w:rPr>
      </w:pPr>
      <w:r w:rsidRPr="005A7FF0">
        <w:rPr>
          <w:rFonts w:cstheme="minorHAnsi"/>
          <w:sz w:val="24"/>
          <w:szCs w:val="24"/>
        </w:rPr>
        <w:t xml:space="preserve">Chow CK. (2008). </w:t>
      </w:r>
      <w:r w:rsidRPr="005A7FF0">
        <w:rPr>
          <w:rFonts w:cstheme="minorHAnsi"/>
          <w:i/>
          <w:iCs/>
          <w:sz w:val="24"/>
          <w:szCs w:val="24"/>
        </w:rPr>
        <w:t>Fatty Acids in Foods and Their Health Implications</w:t>
      </w:r>
      <w:r w:rsidRPr="005A7FF0">
        <w:rPr>
          <w:rFonts w:cstheme="minorHAnsi"/>
          <w:sz w:val="24"/>
          <w:szCs w:val="24"/>
        </w:rPr>
        <w:t>. 3rd ed. Boca Raton, CRC Press.</w:t>
      </w:r>
    </w:p>
    <w:p w14:paraId="5CC54FE8" w14:textId="66174079" w:rsidR="00B72C2C" w:rsidRDefault="00B72C2C" w:rsidP="003632A1">
      <w:pPr>
        <w:spacing w:before="120" w:after="0" w:line="360" w:lineRule="auto"/>
        <w:rPr>
          <w:rFonts w:cstheme="minorHAnsi"/>
          <w:sz w:val="24"/>
          <w:szCs w:val="24"/>
        </w:rPr>
      </w:pPr>
      <w:proofErr w:type="spellStart"/>
      <w:r w:rsidRPr="00B72C2C">
        <w:rPr>
          <w:rFonts w:cstheme="minorHAnsi"/>
          <w:sz w:val="24"/>
          <w:szCs w:val="24"/>
        </w:rPr>
        <w:t>Daun</w:t>
      </w:r>
      <w:proofErr w:type="spellEnd"/>
      <w:r w:rsidRPr="00B72C2C">
        <w:rPr>
          <w:rFonts w:cstheme="minorHAnsi"/>
          <w:sz w:val="24"/>
          <w:szCs w:val="24"/>
        </w:rPr>
        <w:t xml:space="preserve">, J. K. (2011). Origin, Distribution, and Production. In Canola (pp. 1–27). Elsevier. </w:t>
      </w:r>
      <w:hyperlink r:id="rId34" w:history="1">
        <w:r w:rsidRPr="00423662">
          <w:rPr>
            <w:rStyle w:val="Hyperlink"/>
            <w:rFonts w:cstheme="minorHAnsi"/>
            <w:sz w:val="24"/>
            <w:szCs w:val="24"/>
          </w:rPr>
          <w:t>https://doi.org/10.1016/B978-0-9818936-5-5.50005-X</w:t>
        </w:r>
      </w:hyperlink>
    </w:p>
    <w:p w14:paraId="1B61DD1A" w14:textId="28F51221" w:rsidR="00A04486" w:rsidRPr="005A7FF0" w:rsidRDefault="00A04486" w:rsidP="003632A1">
      <w:pPr>
        <w:spacing w:before="120" w:after="0" w:line="360" w:lineRule="auto"/>
        <w:rPr>
          <w:rFonts w:cstheme="minorHAnsi"/>
          <w:sz w:val="24"/>
          <w:szCs w:val="24"/>
        </w:rPr>
      </w:pPr>
      <w:r w:rsidRPr="005A7FF0">
        <w:rPr>
          <w:rFonts w:cstheme="minorHAnsi"/>
          <w:sz w:val="24"/>
          <w:szCs w:val="24"/>
        </w:rPr>
        <w:t xml:space="preserve">de Groot, R., Brander, L., van der Ploeg, S., Costanza, R., Bernard, F., </w:t>
      </w:r>
      <w:proofErr w:type="spellStart"/>
      <w:r w:rsidRPr="005A7FF0">
        <w:rPr>
          <w:rFonts w:cstheme="minorHAnsi"/>
          <w:sz w:val="24"/>
          <w:szCs w:val="24"/>
        </w:rPr>
        <w:t>Braat</w:t>
      </w:r>
      <w:proofErr w:type="spellEnd"/>
      <w:r w:rsidRPr="005A7FF0">
        <w:rPr>
          <w:rFonts w:cstheme="minorHAnsi"/>
          <w:sz w:val="24"/>
          <w:szCs w:val="24"/>
        </w:rPr>
        <w:t xml:space="preserve">, L., Christie, M., Crossman, N., </w:t>
      </w:r>
      <w:proofErr w:type="spellStart"/>
      <w:r w:rsidRPr="005A7FF0">
        <w:rPr>
          <w:rFonts w:cstheme="minorHAnsi"/>
          <w:sz w:val="24"/>
          <w:szCs w:val="24"/>
        </w:rPr>
        <w:t>Ghermandi</w:t>
      </w:r>
      <w:proofErr w:type="spellEnd"/>
      <w:r w:rsidRPr="005A7FF0">
        <w:rPr>
          <w:rFonts w:cstheme="minorHAnsi"/>
          <w:sz w:val="24"/>
          <w:szCs w:val="24"/>
        </w:rPr>
        <w:t xml:space="preserve">, A., Hein, L., Hussain, S., Kumar, P., </w:t>
      </w:r>
      <w:proofErr w:type="spellStart"/>
      <w:r w:rsidRPr="005A7FF0">
        <w:rPr>
          <w:rFonts w:cstheme="minorHAnsi"/>
          <w:sz w:val="24"/>
          <w:szCs w:val="24"/>
        </w:rPr>
        <w:t>McVittie</w:t>
      </w:r>
      <w:proofErr w:type="spellEnd"/>
      <w:r w:rsidRPr="005A7FF0">
        <w:rPr>
          <w:rFonts w:cstheme="minorHAnsi"/>
          <w:sz w:val="24"/>
          <w:szCs w:val="24"/>
        </w:rPr>
        <w:t xml:space="preserve">, A., </w:t>
      </w:r>
      <w:proofErr w:type="spellStart"/>
      <w:r w:rsidRPr="005A7FF0">
        <w:rPr>
          <w:rFonts w:cstheme="minorHAnsi"/>
          <w:sz w:val="24"/>
          <w:szCs w:val="24"/>
        </w:rPr>
        <w:t>Portela</w:t>
      </w:r>
      <w:proofErr w:type="spellEnd"/>
      <w:r w:rsidRPr="005A7FF0">
        <w:rPr>
          <w:rFonts w:cstheme="minorHAnsi"/>
          <w:sz w:val="24"/>
          <w:szCs w:val="24"/>
        </w:rPr>
        <w:t xml:space="preserve">, R., </w:t>
      </w:r>
      <w:r w:rsidRPr="005A7FF0">
        <w:rPr>
          <w:rFonts w:cstheme="minorHAnsi"/>
          <w:sz w:val="24"/>
          <w:szCs w:val="24"/>
        </w:rPr>
        <w:lastRenderedPageBreak/>
        <w:t xml:space="preserve">Rodriguez, L. C., ten Brink, P., van </w:t>
      </w:r>
      <w:proofErr w:type="spellStart"/>
      <w:r w:rsidRPr="005A7FF0">
        <w:rPr>
          <w:rFonts w:cstheme="minorHAnsi"/>
          <w:sz w:val="24"/>
          <w:szCs w:val="24"/>
        </w:rPr>
        <w:t>Beukering</w:t>
      </w:r>
      <w:proofErr w:type="spellEnd"/>
      <w:r w:rsidRPr="005A7FF0">
        <w:rPr>
          <w:rFonts w:cstheme="minorHAnsi"/>
          <w:sz w:val="24"/>
          <w:szCs w:val="24"/>
        </w:rPr>
        <w:t xml:space="preserve">, P. (2012). Global estimates of the value of ecosystems and their services in monetary units. </w:t>
      </w:r>
      <w:r w:rsidRPr="005A7FF0">
        <w:rPr>
          <w:rFonts w:cstheme="minorHAnsi"/>
          <w:i/>
          <w:iCs/>
          <w:sz w:val="24"/>
          <w:szCs w:val="24"/>
        </w:rPr>
        <w:t>Ecosystem Services</w:t>
      </w:r>
      <w:r w:rsidRPr="005A7FF0">
        <w:rPr>
          <w:rFonts w:cstheme="minorHAnsi"/>
          <w:sz w:val="24"/>
          <w:szCs w:val="24"/>
        </w:rPr>
        <w:t xml:space="preserve">, 1, 50–61. </w:t>
      </w:r>
      <w:hyperlink r:id="rId35" w:history="1">
        <w:r w:rsidRPr="005A7FF0">
          <w:rPr>
            <w:rStyle w:val="Hyperlink"/>
            <w:rFonts w:cstheme="minorHAnsi"/>
            <w:sz w:val="24"/>
            <w:szCs w:val="24"/>
          </w:rPr>
          <w:t>https://doi.org/10.1016/J.ECOSER.2012.07.005</w:t>
        </w:r>
      </w:hyperlink>
    </w:p>
    <w:p w14:paraId="0E04471E" w14:textId="2DD5FAA9" w:rsidR="00E146F4" w:rsidRPr="005A7FF0" w:rsidRDefault="00E146F4" w:rsidP="00E146F4">
      <w:pPr>
        <w:spacing w:before="120" w:after="0" w:line="360" w:lineRule="auto"/>
        <w:rPr>
          <w:sz w:val="24"/>
          <w:szCs w:val="24"/>
        </w:rPr>
      </w:pPr>
      <w:r w:rsidRPr="005A7FF0">
        <w:rPr>
          <w:sz w:val="24"/>
          <w:szCs w:val="24"/>
        </w:rPr>
        <w:t xml:space="preserve">FAOSTAT (2023a). Data on average production of rapeseed oil for the world 2016-2021 retrieved from </w:t>
      </w:r>
      <w:hyperlink r:id="rId36" w:anchor="data/QCL/visualize" w:history="1">
        <w:r w:rsidRPr="005A7FF0">
          <w:rPr>
            <w:rStyle w:val="Hyperlink"/>
            <w:sz w:val="24"/>
            <w:szCs w:val="24"/>
          </w:rPr>
          <w:t>https://www.fao.org/faostat/en/#data/QCL/visualize</w:t>
        </w:r>
      </w:hyperlink>
      <w:r w:rsidRPr="005A7FF0">
        <w:rPr>
          <w:sz w:val="24"/>
          <w:szCs w:val="24"/>
        </w:rPr>
        <w:t xml:space="preserve"> (March 3, 2023).</w:t>
      </w:r>
    </w:p>
    <w:p w14:paraId="2886A0CE" w14:textId="39BEC4FC" w:rsidR="002D10F2" w:rsidRPr="005A7FF0" w:rsidRDefault="002D10F2" w:rsidP="003632A1">
      <w:pPr>
        <w:spacing w:before="120" w:after="0" w:line="360" w:lineRule="auto"/>
        <w:rPr>
          <w:sz w:val="24"/>
          <w:szCs w:val="24"/>
        </w:rPr>
      </w:pPr>
      <w:r w:rsidRPr="005A7FF0">
        <w:rPr>
          <w:sz w:val="24"/>
          <w:szCs w:val="24"/>
        </w:rPr>
        <w:t>FAOSTAT (2023</w:t>
      </w:r>
      <w:r w:rsidR="00E146F4" w:rsidRPr="005A7FF0">
        <w:rPr>
          <w:sz w:val="24"/>
          <w:szCs w:val="24"/>
        </w:rPr>
        <w:t>b</w:t>
      </w:r>
      <w:r w:rsidRPr="005A7FF0">
        <w:rPr>
          <w:sz w:val="24"/>
          <w:szCs w:val="24"/>
        </w:rPr>
        <w:t xml:space="preserve">). Data on average production of palm oil for the world 2016-2021 retrieved from </w:t>
      </w:r>
      <w:hyperlink r:id="rId37" w:anchor="data/QCL/visualize" w:history="1">
        <w:r w:rsidRPr="005A7FF0">
          <w:rPr>
            <w:rStyle w:val="Hyperlink"/>
            <w:sz w:val="24"/>
            <w:szCs w:val="24"/>
          </w:rPr>
          <w:t>https://www.fao.org/faostat/en/#data/QCL/visualize</w:t>
        </w:r>
      </w:hyperlink>
      <w:r w:rsidR="00E146F4" w:rsidRPr="005A7FF0">
        <w:rPr>
          <w:sz w:val="24"/>
          <w:szCs w:val="24"/>
        </w:rPr>
        <w:t xml:space="preserve"> (March 3, 023.</w:t>
      </w:r>
    </w:p>
    <w:p w14:paraId="146BEB24" w14:textId="29226B99" w:rsidR="00A04486" w:rsidRPr="005A7FF0" w:rsidRDefault="00A04486" w:rsidP="003632A1">
      <w:pPr>
        <w:spacing w:before="120" w:after="0" w:line="360" w:lineRule="auto"/>
        <w:rPr>
          <w:sz w:val="24"/>
          <w:szCs w:val="24"/>
        </w:rPr>
      </w:pPr>
      <w:r w:rsidRPr="005A7FF0">
        <w:rPr>
          <w:sz w:val="24"/>
          <w:szCs w:val="24"/>
        </w:rPr>
        <w:t xml:space="preserve">Fine, F., Lucas, J.-L., </w:t>
      </w:r>
      <w:proofErr w:type="spellStart"/>
      <w:r w:rsidRPr="005A7FF0">
        <w:rPr>
          <w:sz w:val="24"/>
          <w:szCs w:val="24"/>
        </w:rPr>
        <w:t>Chardigny</w:t>
      </w:r>
      <w:proofErr w:type="spellEnd"/>
      <w:r w:rsidRPr="005A7FF0">
        <w:rPr>
          <w:sz w:val="24"/>
          <w:szCs w:val="24"/>
        </w:rPr>
        <w:t xml:space="preserve">, J.-M., </w:t>
      </w:r>
      <w:proofErr w:type="spellStart"/>
      <w:r w:rsidRPr="005A7FF0">
        <w:rPr>
          <w:sz w:val="24"/>
          <w:szCs w:val="24"/>
        </w:rPr>
        <w:t>Redlingshöfer</w:t>
      </w:r>
      <w:proofErr w:type="spellEnd"/>
      <w:r w:rsidRPr="005A7FF0">
        <w:rPr>
          <w:sz w:val="24"/>
          <w:szCs w:val="24"/>
        </w:rPr>
        <w:t xml:space="preserve">, B., &amp; Renard, M. (2015). Food losses and waste in the French </w:t>
      </w:r>
      <w:proofErr w:type="spellStart"/>
      <w:r w:rsidRPr="005A7FF0">
        <w:rPr>
          <w:sz w:val="24"/>
          <w:szCs w:val="24"/>
        </w:rPr>
        <w:t>oilcrops</w:t>
      </w:r>
      <w:proofErr w:type="spellEnd"/>
      <w:r w:rsidRPr="005A7FF0">
        <w:rPr>
          <w:sz w:val="24"/>
          <w:szCs w:val="24"/>
        </w:rPr>
        <w:t xml:space="preserve"> sector. </w:t>
      </w:r>
      <w:r w:rsidRPr="005A7FF0">
        <w:rPr>
          <w:i/>
          <w:iCs/>
          <w:sz w:val="24"/>
          <w:szCs w:val="24"/>
        </w:rPr>
        <w:t>OCL</w:t>
      </w:r>
      <w:r w:rsidRPr="005A7FF0">
        <w:rPr>
          <w:sz w:val="24"/>
          <w:szCs w:val="24"/>
        </w:rPr>
        <w:t>, 22(3), A302. https://doi.org/10.1051/ocl/2015012</w:t>
      </w:r>
    </w:p>
    <w:p w14:paraId="0B287C81" w14:textId="77777777" w:rsidR="00A04486" w:rsidRPr="005A7FF0" w:rsidRDefault="00A04486" w:rsidP="003632A1">
      <w:pPr>
        <w:spacing w:before="120" w:after="0" w:line="360" w:lineRule="auto"/>
        <w:rPr>
          <w:sz w:val="24"/>
          <w:szCs w:val="24"/>
        </w:rPr>
      </w:pPr>
      <w:proofErr w:type="spellStart"/>
      <w:r w:rsidRPr="005A7FF0">
        <w:rPr>
          <w:sz w:val="24"/>
          <w:szCs w:val="24"/>
          <w:lang w:val="es-MX"/>
        </w:rPr>
        <w:t>Galgani</w:t>
      </w:r>
      <w:proofErr w:type="spellEnd"/>
      <w:r w:rsidRPr="005A7FF0">
        <w:rPr>
          <w:sz w:val="24"/>
          <w:szCs w:val="24"/>
          <w:lang w:val="es-MX"/>
        </w:rPr>
        <w:t xml:space="preserve">, P., van </w:t>
      </w:r>
      <w:proofErr w:type="spellStart"/>
      <w:r w:rsidRPr="005A7FF0">
        <w:rPr>
          <w:sz w:val="24"/>
          <w:szCs w:val="24"/>
          <w:lang w:val="es-MX"/>
        </w:rPr>
        <w:t>Veen</w:t>
      </w:r>
      <w:proofErr w:type="spellEnd"/>
      <w:r w:rsidRPr="005A7FF0">
        <w:rPr>
          <w:sz w:val="24"/>
          <w:szCs w:val="24"/>
          <w:lang w:val="es-MX"/>
        </w:rPr>
        <w:t xml:space="preserve">, B., </w:t>
      </w:r>
      <w:proofErr w:type="spellStart"/>
      <w:r w:rsidRPr="005A7FF0">
        <w:rPr>
          <w:sz w:val="24"/>
          <w:szCs w:val="24"/>
          <w:lang w:val="es-MX"/>
        </w:rPr>
        <w:t>Kanidou</w:t>
      </w:r>
      <w:proofErr w:type="spellEnd"/>
      <w:r w:rsidRPr="005A7FF0">
        <w:rPr>
          <w:sz w:val="24"/>
          <w:szCs w:val="24"/>
          <w:lang w:val="es-MX"/>
        </w:rPr>
        <w:t xml:space="preserve">, D, de </w:t>
      </w:r>
      <w:proofErr w:type="spellStart"/>
      <w:r w:rsidRPr="005A7FF0">
        <w:rPr>
          <w:sz w:val="24"/>
          <w:szCs w:val="24"/>
          <w:lang w:val="es-MX"/>
        </w:rPr>
        <w:t>Adelhart</w:t>
      </w:r>
      <w:proofErr w:type="spellEnd"/>
      <w:r w:rsidRPr="005A7FF0">
        <w:rPr>
          <w:sz w:val="24"/>
          <w:szCs w:val="24"/>
          <w:lang w:val="es-MX"/>
        </w:rPr>
        <w:t xml:space="preserve"> Toorop, R, </w:t>
      </w:r>
      <w:proofErr w:type="spellStart"/>
      <w:r w:rsidRPr="005A7FF0">
        <w:rPr>
          <w:sz w:val="24"/>
          <w:szCs w:val="24"/>
          <w:lang w:val="es-MX"/>
        </w:rPr>
        <w:t>Woltjer</w:t>
      </w:r>
      <w:proofErr w:type="spellEnd"/>
      <w:r w:rsidRPr="005A7FF0">
        <w:rPr>
          <w:sz w:val="24"/>
          <w:szCs w:val="24"/>
          <w:lang w:val="es-MX"/>
        </w:rPr>
        <w:t xml:space="preserve">, G. (2023). </w:t>
      </w:r>
      <w:r w:rsidRPr="005A7FF0">
        <w:rPr>
          <w:i/>
          <w:iCs/>
          <w:sz w:val="24"/>
          <w:szCs w:val="24"/>
        </w:rPr>
        <w:t>True price assessment method for agri-food products</w:t>
      </w:r>
      <w:r w:rsidRPr="005A7FF0">
        <w:rPr>
          <w:sz w:val="24"/>
          <w:szCs w:val="24"/>
        </w:rPr>
        <w:t>. True Price, Wageningen Economic Research.</w:t>
      </w:r>
    </w:p>
    <w:p w14:paraId="2B3D0BB9" w14:textId="77777777" w:rsidR="00A04486" w:rsidRPr="005A7FF0" w:rsidRDefault="00A04486" w:rsidP="003632A1">
      <w:pPr>
        <w:spacing w:before="120" w:after="0" w:line="360" w:lineRule="auto"/>
        <w:rPr>
          <w:sz w:val="24"/>
          <w:szCs w:val="24"/>
        </w:rPr>
      </w:pPr>
      <w:proofErr w:type="spellStart"/>
      <w:r w:rsidRPr="005A7FF0">
        <w:rPr>
          <w:sz w:val="24"/>
          <w:szCs w:val="24"/>
        </w:rPr>
        <w:t>Galgani</w:t>
      </w:r>
      <w:proofErr w:type="spellEnd"/>
      <w:r w:rsidRPr="005A7FF0">
        <w:rPr>
          <w:sz w:val="24"/>
          <w:szCs w:val="24"/>
        </w:rPr>
        <w:t xml:space="preserve">, P., </w:t>
      </w:r>
      <w:proofErr w:type="spellStart"/>
      <w:r w:rsidRPr="005A7FF0">
        <w:rPr>
          <w:sz w:val="24"/>
          <w:szCs w:val="24"/>
        </w:rPr>
        <w:t>Woltjer</w:t>
      </w:r>
      <w:proofErr w:type="spellEnd"/>
      <w:r w:rsidRPr="005A7FF0">
        <w:rPr>
          <w:sz w:val="24"/>
          <w:szCs w:val="24"/>
        </w:rPr>
        <w:t xml:space="preserve">, G, D, de </w:t>
      </w:r>
      <w:proofErr w:type="spellStart"/>
      <w:r w:rsidRPr="005A7FF0">
        <w:rPr>
          <w:sz w:val="24"/>
          <w:szCs w:val="24"/>
        </w:rPr>
        <w:t>Adelhart</w:t>
      </w:r>
      <w:proofErr w:type="spellEnd"/>
      <w:r w:rsidRPr="005A7FF0">
        <w:rPr>
          <w:sz w:val="24"/>
          <w:szCs w:val="24"/>
        </w:rPr>
        <w:t xml:space="preserve"> </w:t>
      </w:r>
      <w:proofErr w:type="spellStart"/>
      <w:r w:rsidRPr="005A7FF0">
        <w:rPr>
          <w:sz w:val="24"/>
          <w:szCs w:val="24"/>
        </w:rPr>
        <w:t>Toorop</w:t>
      </w:r>
      <w:proofErr w:type="spellEnd"/>
      <w:r w:rsidRPr="005A7FF0">
        <w:rPr>
          <w:sz w:val="24"/>
          <w:szCs w:val="24"/>
        </w:rPr>
        <w:t xml:space="preserve">, R, de Groot Ruiz, A., </w:t>
      </w:r>
      <w:proofErr w:type="spellStart"/>
      <w:r w:rsidRPr="005A7FF0">
        <w:rPr>
          <w:sz w:val="24"/>
          <w:szCs w:val="24"/>
        </w:rPr>
        <w:t>Varoucha</w:t>
      </w:r>
      <w:proofErr w:type="spellEnd"/>
      <w:r w:rsidRPr="005A7FF0">
        <w:rPr>
          <w:sz w:val="24"/>
          <w:szCs w:val="24"/>
        </w:rPr>
        <w:t xml:space="preserve">, E. (2021). </w:t>
      </w:r>
      <w:r w:rsidRPr="005A7FF0">
        <w:rPr>
          <w:i/>
          <w:iCs/>
          <w:sz w:val="24"/>
          <w:szCs w:val="24"/>
        </w:rPr>
        <w:t>Land use, Land use change, Biodiversity and Ecosystem Services</w:t>
      </w:r>
      <w:r w:rsidRPr="005A7FF0">
        <w:rPr>
          <w:sz w:val="24"/>
          <w:szCs w:val="24"/>
        </w:rPr>
        <w:t>. True Price, Wageningen Economic Research.</w:t>
      </w:r>
    </w:p>
    <w:p w14:paraId="5FF78E26" w14:textId="77777777" w:rsidR="00A04486" w:rsidRPr="005A7FF0" w:rsidRDefault="00A04486" w:rsidP="003632A1">
      <w:pPr>
        <w:spacing w:before="120" w:after="0" w:line="360" w:lineRule="auto"/>
        <w:rPr>
          <w:sz w:val="24"/>
          <w:szCs w:val="24"/>
        </w:rPr>
      </w:pPr>
      <w:r w:rsidRPr="005A7FF0">
        <w:rPr>
          <w:sz w:val="24"/>
          <w:szCs w:val="24"/>
        </w:rPr>
        <w:t xml:space="preserve">Good Food Institute. (2022). U.S. retail market data for the plant-based industry. Retail Sales Data: Plant Based Meat, Eggs, Dairy | GFI Gfi.Org. </w:t>
      </w:r>
      <w:hyperlink r:id="rId38" w:history="1">
        <w:r w:rsidRPr="005A7FF0">
          <w:rPr>
            <w:rStyle w:val="Hyperlink"/>
            <w:sz w:val="24"/>
            <w:szCs w:val="24"/>
          </w:rPr>
          <w:t>https://gfi.org/marketresearch/</w:t>
        </w:r>
      </w:hyperlink>
    </w:p>
    <w:p w14:paraId="37152EC2" w14:textId="77777777" w:rsidR="00A04486" w:rsidRPr="005A7FF0" w:rsidRDefault="00A04486" w:rsidP="003632A1">
      <w:pPr>
        <w:spacing w:before="120" w:after="0" w:line="360" w:lineRule="auto"/>
        <w:rPr>
          <w:sz w:val="24"/>
          <w:szCs w:val="24"/>
        </w:rPr>
      </w:pPr>
      <w:r w:rsidRPr="005A7FF0">
        <w:rPr>
          <w:sz w:val="24"/>
          <w:szCs w:val="24"/>
        </w:rPr>
        <w:t xml:space="preserve">Hashim, K., </w:t>
      </w:r>
      <w:proofErr w:type="spellStart"/>
      <w:r w:rsidRPr="005A7FF0">
        <w:rPr>
          <w:sz w:val="24"/>
          <w:szCs w:val="24"/>
        </w:rPr>
        <w:t>Tahiruddin</w:t>
      </w:r>
      <w:proofErr w:type="spellEnd"/>
      <w:r w:rsidRPr="005A7FF0">
        <w:rPr>
          <w:sz w:val="24"/>
          <w:szCs w:val="24"/>
        </w:rPr>
        <w:t xml:space="preserve">, S., </w:t>
      </w:r>
      <w:proofErr w:type="spellStart"/>
      <w:r w:rsidRPr="005A7FF0">
        <w:rPr>
          <w:sz w:val="24"/>
          <w:szCs w:val="24"/>
        </w:rPr>
        <w:t>Asis</w:t>
      </w:r>
      <w:proofErr w:type="spellEnd"/>
      <w:r w:rsidRPr="005A7FF0">
        <w:rPr>
          <w:sz w:val="24"/>
          <w:szCs w:val="24"/>
        </w:rPr>
        <w:t xml:space="preserve">, A. J. (2012). Palm and Palm Kernel oil production and processing in Malaysia and Indonesia. In Lai, O. M., Tan, C. P., </w:t>
      </w:r>
      <w:proofErr w:type="spellStart"/>
      <w:r w:rsidRPr="005A7FF0">
        <w:rPr>
          <w:sz w:val="24"/>
          <w:szCs w:val="24"/>
        </w:rPr>
        <w:t>Akoh</w:t>
      </w:r>
      <w:proofErr w:type="spellEnd"/>
      <w:r w:rsidRPr="005A7FF0">
        <w:rPr>
          <w:sz w:val="24"/>
          <w:szCs w:val="24"/>
        </w:rPr>
        <w:t xml:space="preserve">, C.C. (eds). </w:t>
      </w:r>
      <w:r w:rsidRPr="005A7FF0">
        <w:rPr>
          <w:i/>
          <w:iCs/>
          <w:sz w:val="24"/>
          <w:szCs w:val="24"/>
        </w:rPr>
        <w:t>Palm Oil. Production, Processing, Characterization, and Uses</w:t>
      </w:r>
      <w:r w:rsidRPr="005A7FF0">
        <w:rPr>
          <w:sz w:val="24"/>
          <w:szCs w:val="24"/>
        </w:rPr>
        <w:t xml:space="preserve">, pp. 235-250. AOCS Press. </w:t>
      </w:r>
    </w:p>
    <w:p w14:paraId="42AF91FB" w14:textId="77777777" w:rsidR="00A04486" w:rsidRPr="005A7FF0" w:rsidRDefault="00A04486" w:rsidP="003632A1">
      <w:pPr>
        <w:spacing w:before="120" w:after="0" w:line="360" w:lineRule="auto"/>
        <w:rPr>
          <w:sz w:val="24"/>
          <w:szCs w:val="24"/>
        </w:rPr>
      </w:pPr>
      <w:proofErr w:type="spellStart"/>
      <w:r w:rsidRPr="005A7FF0">
        <w:rPr>
          <w:sz w:val="24"/>
          <w:szCs w:val="24"/>
        </w:rPr>
        <w:t>Huijbregts</w:t>
      </w:r>
      <w:proofErr w:type="spellEnd"/>
      <w:r w:rsidRPr="005A7FF0">
        <w:rPr>
          <w:sz w:val="24"/>
          <w:szCs w:val="24"/>
        </w:rPr>
        <w:t xml:space="preserve">, M. A. K., Steinmann, Z. J. N., </w:t>
      </w:r>
      <w:proofErr w:type="spellStart"/>
      <w:r w:rsidRPr="005A7FF0">
        <w:rPr>
          <w:sz w:val="24"/>
          <w:szCs w:val="24"/>
        </w:rPr>
        <w:t>Elshout</w:t>
      </w:r>
      <w:proofErr w:type="spellEnd"/>
      <w:r w:rsidRPr="005A7FF0">
        <w:rPr>
          <w:sz w:val="24"/>
          <w:szCs w:val="24"/>
        </w:rPr>
        <w:t xml:space="preserve">, P. M. F., Stam, G., </w:t>
      </w:r>
      <w:proofErr w:type="spellStart"/>
      <w:r w:rsidRPr="005A7FF0">
        <w:rPr>
          <w:sz w:val="24"/>
          <w:szCs w:val="24"/>
        </w:rPr>
        <w:t>Verones</w:t>
      </w:r>
      <w:proofErr w:type="spellEnd"/>
      <w:r w:rsidRPr="005A7FF0">
        <w:rPr>
          <w:sz w:val="24"/>
          <w:szCs w:val="24"/>
        </w:rPr>
        <w:t xml:space="preserve">, F., Vieira, M. </w:t>
      </w:r>
      <w:proofErr w:type="spellStart"/>
      <w:r w:rsidRPr="005A7FF0">
        <w:rPr>
          <w:sz w:val="24"/>
          <w:szCs w:val="24"/>
        </w:rPr>
        <w:t>Zijp</w:t>
      </w:r>
      <w:proofErr w:type="spellEnd"/>
      <w:r w:rsidRPr="005A7FF0">
        <w:rPr>
          <w:sz w:val="24"/>
          <w:szCs w:val="24"/>
        </w:rPr>
        <w:t xml:space="preserve">, M., Hollander, A., van </w:t>
      </w:r>
      <w:proofErr w:type="spellStart"/>
      <w:r w:rsidRPr="005A7FF0">
        <w:rPr>
          <w:sz w:val="24"/>
          <w:szCs w:val="24"/>
        </w:rPr>
        <w:t>Zelm</w:t>
      </w:r>
      <w:proofErr w:type="spellEnd"/>
      <w:r w:rsidRPr="005A7FF0">
        <w:rPr>
          <w:sz w:val="24"/>
          <w:szCs w:val="24"/>
        </w:rPr>
        <w:t xml:space="preserve">, R. (2017). ReCiPe2016: a </w:t>
      </w:r>
      <w:proofErr w:type="spellStart"/>
      <w:r w:rsidRPr="005A7FF0">
        <w:rPr>
          <w:sz w:val="24"/>
          <w:szCs w:val="24"/>
        </w:rPr>
        <w:t>harmonised</w:t>
      </w:r>
      <w:proofErr w:type="spellEnd"/>
      <w:r w:rsidRPr="005A7FF0">
        <w:rPr>
          <w:sz w:val="24"/>
          <w:szCs w:val="24"/>
        </w:rPr>
        <w:t xml:space="preserve"> life cycle impact assessment method at midpoint and endpoint level. </w:t>
      </w:r>
      <w:r w:rsidRPr="005A7FF0">
        <w:rPr>
          <w:i/>
          <w:iCs/>
          <w:sz w:val="24"/>
          <w:szCs w:val="24"/>
        </w:rPr>
        <w:t>International Journal of Life Cycle Assessment</w:t>
      </w:r>
      <w:r w:rsidRPr="005A7FF0">
        <w:rPr>
          <w:sz w:val="24"/>
          <w:szCs w:val="24"/>
        </w:rPr>
        <w:t>, 22, 138-147.</w:t>
      </w:r>
    </w:p>
    <w:p w14:paraId="38B8FBA2" w14:textId="4F8CA57B" w:rsidR="008F7F43" w:rsidRPr="008F7F43" w:rsidRDefault="008F7F43" w:rsidP="008F7F43">
      <w:pPr>
        <w:spacing w:before="120" w:after="0" w:line="360" w:lineRule="auto"/>
        <w:rPr>
          <w:i/>
          <w:iCs/>
          <w:sz w:val="24"/>
          <w:szCs w:val="24"/>
        </w:rPr>
      </w:pPr>
      <w:r w:rsidRPr="008F7F43">
        <w:rPr>
          <w:sz w:val="24"/>
          <w:szCs w:val="24"/>
        </w:rPr>
        <w:t>ISO (2006)</w:t>
      </w:r>
      <w:r>
        <w:rPr>
          <w:sz w:val="24"/>
          <w:szCs w:val="24"/>
        </w:rPr>
        <w:t>.</w:t>
      </w:r>
      <w:r w:rsidRPr="008F7F43">
        <w:rPr>
          <w:sz w:val="24"/>
          <w:szCs w:val="24"/>
        </w:rPr>
        <w:t xml:space="preserve"> </w:t>
      </w:r>
      <w:r w:rsidRPr="008F7F43">
        <w:rPr>
          <w:i/>
          <w:iCs/>
          <w:sz w:val="24"/>
          <w:szCs w:val="24"/>
        </w:rPr>
        <w:t>Environmental management—life cycle assessment—requirements</w:t>
      </w:r>
    </w:p>
    <w:p w14:paraId="57405E4C" w14:textId="653B2A37" w:rsidR="008F7F43" w:rsidRDefault="008F7F43" w:rsidP="008F7F43">
      <w:pPr>
        <w:spacing w:before="120" w:after="0" w:line="360" w:lineRule="auto"/>
        <w:rPr>
          <w:sz w:val="24"/>
          <w:szCs w:val="24"/>
        </w:rPr>
      </w:pPr>
      <w:r w:rsidRPr="008F7F43">
        <w:rPr>
          <w:i/>
          <w:iCs/>
          <w:sz w:val="24"/>
          <w:szCs w:val="24"/>
        </w:rPr>
        <w:t>and guidelines</w:t>
      </w:r>
      <w:r w:rsidRPr="008F7F43">
        <w:rPr>
          <w:sz w:val="24"/>
          <w:szCs w:val="24"/>
        </w:rPr>
        <w:t xml:space="preserve"> (ISO 14044:2006)</w:t>
      </w:r>
      <w:r>
        <w:rPr>
          <w:sz w:val="24"/>
          <w:szCs w:val="24"/>
        </w:rPr>
        <w:t xml:space="preserve">. </w:t>
      </w:r>
      <w:hyperlink r:id="rId39" w:history="1">
        <w:r w:rsidRPr="00423662">
          <w:rPr>
            <w:rStyle w:val="Hyperlink"/>
            <w:sz w:val="24"/>
            <w:szCs w:val="24"/>
          </w:rPr>
          <w:t>https://www.iso.org/standard/38498.html</w:t>
        </w:r>
      </w:hyperlink>
    </w:p>
    <w:p w14:paraId="64802B4A" w14:textId="772B67F7" w:rsidR="00A04486" w:rsidRPr="005A7FF0" w:rsidRDefault="00A04486" w:rsidP="003632A1">
      <w:pPr>
        <w:spacing w:before="120" w:after="0" w:line="360" w:lineRule="auto"/>
        <w:rPr>
          <w:sz w:val="24"/>
          <w:szCs w:val="24"/>
        </w:rPr>
      </w:pPr>
      <w:r w:rsidRPr="005A7FF0">
        <w:rPr>
          <w:sz w:val="24"/>
          <w:szCs w:val="24"/>
        </w:rPr>
        <w:lastRenderedPageBreak/>
        <w:t xml:space="preserve">Jiang, Q., Christen, S., </w:t>
      </w:r>
      <w:proofErr w:type="spellStart"/>
      <w:r w:rsidRPr="005A7FF0">
        <w:rPr>
          <w:sz w:val="24"/>
          <w:szCs w:val="24"/>
        </w:rPr>
        <w:t>Shigenaga</w:t>
      </w:r>
      <w:proofErr w:type="spellEnd"/>
      <w:r w:rsidRPr="005A7FF0">
        <w:rPr>
          <w:sz w:val="24"/>
          <w:szCs w:val="24"/>
        </w:rPr>
        <w:t xml:space="preserve">, M. K., Ames, B. N. (2001). γ-Tocopherol, the major form of vitamin E in the US diet, deserves more attention. </w:t>
      </w:r>
      <w:r w:rsidRPr="005A7FF0">
        <w:rPr>
          <w:i/>
          <w:iCs/>
          <w:sz w:val="24"/>
          <w:szCs w:val="24"/>
        </w:rPr>
        <w:t>American Journal of Clinical Nutrition</w:t>
      </w:r>
      <w:r w:rsidRPr="005A7FF0">
        <w:rPr>
          <w:sz w:val="24"/>
          <w:szCs w:val="24"/>
        </w:rPr>
        <w:t xml:space="preserve">, 74, 714-722. </w:t>
      </w:r>
      <w:hyperlink r:id="rId40" w:history="1">
        <w:r w:rsidRPr="005A7FF0">
          <w:rPr>
            <w:rStyle w:val="Hyperlink"/>
            <w:sz w:val="24"/>
            <w:szCs w:val="24"/>
          </w:rPr>
          <w:t>https://doi.org/10.1093/ajcn/74.6.714</w:t>
        </w:r>
      </w:hyperlink>
    </w:p>
    <w:p w14:paraId="24099F4F" w14:textId="77777777" w:rsidR="00A04486" w:rsidRPr="005A7FF0" w:rsidRDefault="00A04486" w:rsidP="003632A1">
      <w:pPr>
        <w:spacing w:before="120" w:after="0" w:line="360" w:lineRule="auto"/>
        <w:rPr>
          <w:sz w:val="24"/>
          <w:szCs w:val="24"/>
        </w:rPr>
      </w:pPr>
      <w:r w:rsidRPr="005A7FF0">
        <w:rPr>
          <w:sz w:val="24"/>
          <w:szCs w:val="24"/>
        </w:rPr>
        <w:t xml:space="preserve">Liao, S. (2022, May 31). Do Seed Oils Make You Sick? Consumer Reports. </w:t>
      </w:r>
      <w:hyperlink r:id="rId41" w:history="1">
        <w:r w:rsidRPr="005A7FF0">
          <w:rPr>
            <w:rStyle w:val="Hyperlink"/>
            <w:sz w:val="24"/>
            <w:szCs w:val="24"/>
          </w:rPr>
          <w:t>https://www.consumerreports.org/healthy-eating/do-seed-oils-make-you-sick-a1363483895/</w:t>
        </w:r>
      </w:hyperlink>
    </w:p>
    <w:p w14:paraId="203162FB" w14:textId="77777777" w:rsidR="00A04486" w:rsidRPr="005A7FF0" w:rsidRDefault="00A04486" w:rsidP="003632A1">
      <w:pPr>
        <w:spacing w:before="120" w:after="0" w:line="360" w:lineRule="auto"/>
        <w:rPr>
          <w:sz w:val="24"/>
          <w:szCs w:val="24"/>
        </w:rPr>
      </w:pPr>
      <w:r w:rsidRPr="005A7FF0">
        <w:rPr>
          <w:sz w:val="24"/>
          <w:szCs w:val="24"/>
        </w:rPr>
        <w:t xml:space="preserve">Ling-Chin, J., Heidrich, O., &amp; </w:t>
      </w:r>
      <w:proofErr w:type="spellStart"/>
      <w:r w:rsidRPr="005A7FF0">
        <w:rPr>
          <w:sz w:val="24"/>
          <w:szCs w:val="24"/>
        </w:rPr>
        <w:t>Roskilly</w:t>
      </w:r>
      <w:proofErr w:type="spellEnd"/>
      <w:r w:rsidRPr="005A7FF0">
        <w:rPr>
          <w:sz w:val="24"/>
          <w:szCs w:val="24"/>
        </w:rPr>
        <w:t xml:space="preserve">, A. P. (2016). Life cycle assessment (LCA) – from </w:t>
      </w:r>
      <w:proofErr w:type="spellStart"/>
      <w:r w:rsidRPr="005A7FF0">
        <w:rPr>
          <w:sz w:val="24"/>
          <w:szCs w:val="24"/>
        </w:rPr>
        <w:t>analysing</w:t>
      </w:r>
      <w:proofErr w:type="spellEnd"/>
      <w:r w:rsidRPr="005A7FF0">
        <w:rPr>
          <w:sz w:val="24"/>
          <w:szCs w:val="24"/>
        </w:rPr>
        <w:t xml:space="preserve"> methodology development to introducing an LCA framework for marine photovoltaic (PV) systems. </w:t>
      </w:r>
      <w:r w:rsidRPr="005A7FF0">
        <w:rPr>
          <w:i/>
          <w:iCs/>
          <w:sz w:val="24"/>
          <w:szCs w:val="24"/>
        </w:rPr>
        <w:t>Renewable and Sustainable Energy Reviews</w:t>
      </w:r>
      <w:r w:rsidRPr="005A7FF0">
        <w:rPr>
          <w:sz w:val="24"/>
          <w:szCs w:val="24"/>
        </w:rPr>
        <w:t xml:space="preserve">, 59, 352–378. </w:t>
      </w:r>
      <w:hyperlink r:id="rId42" w:history="1">
        <w:r w:rsidRPr="005A7FF0">
          <w:rPr>
            <w:rStyle w:val="Hyperlink"/>
            <w:sz w:val="24"/>
            <w:szCs w:val="24"/>
          </w:rPr>
          <w:t>https://doi.org/10.1016/j.rser.2015.12.058</w:t>
        </w:r>
      </w:hyperlink>
    </w:p>
    <w:p w14:paraId="21AF0363" w14:textId="77777777" w:rsidR="00A04486" w:rsidRPr="005A7FF0" w:rsidRDefault="00A04486" w:rsidP="003632A1">
      <w:pPr>
        <w:spacing w:before="120" w:after="0" w:line="360" w:lineRule="auto"/>
        <w:rPr>
          <w:sz w:val="24"/>
          <w:szCs w:val="24"/>
        </w:rPr>
      </w:pPr>
      <w:proofErr w:type="spellStart"/>
      <w:r w:rsidRPr="005A7FF0">
        <w:rPr>
          <w:sz w:val="24"/>
          <w:szCs w:val="24"/>
        </w:rPr>
        <w:t>MacWilliam</w:t>
      </w:r>
      <w:proofErr w:type="spellEnd"/>
      <w:r w:rsidRPr="005A7FF0">
        <w:rPr>
          <w:sz w:val="24"/>
          <w:szCs w:val="24"/>
        </w:rPr>
        <w:t xml:space="preserve">, S., </w:t>
      </w:r>
      <w:proofErr w:type="spellStart"/>
      <w:r w:rsidRPr="005A7FF0">
        <w:rPr>
          <w:sz w:val="24"/>
          <w:szCs w:val="24"/>
        </w:rPr>
        <w:t>Sanscartier</w:t>
      </w:r>
      <w:proofErr w:type="spellEnd"/>
      <w:r w:rsidRPr="005A7FF0">
        <w:rPr>
          <w:sz w:val="24"/>
          <w:szCs w:val="24"/>
        </w:rPr>
        <w:t xml:space="preserve">, D., Lemke, R., </w:t>
      </w:r>
      <w:proofErr w:type="spellStart"/>
      <w:r w:rsidRPr="005A7FF0">
        <w:rPr>
          <w:sz w:val="24"/>
          <w:szCs w:val="24"/>
        </w:rPr>
        <w:t>Wismer</w:t>
      </w:r>
      <w:proofErr w:type="spellEnd"/>
      <w:r w:rsidRPr="005A7FF0">
        <w:rPr>
          <w:sz w:val="24"/>
          <w:szCs w:val="24"/>
        </w:rPr>
        <w:t xml:space="preserve">, M., &amp; Baron, V. (2016). Environmental benefits of canola production in 2010 compared to 1990: A life cycle perspective. </w:t>
      </w:r>
      <w:r w:rsidRPr="005A7FF0">
        <w:rPr>
          <w:i/>
          <w:iCs/>
          <w:sz w:val="24"/>
          <w:szCs w:val="24"/>
        </w:rPr>
        <w:t>Agricultural Systems</w:t>
      </w:r>
      <w:r w:rsidRPr="005A7FF0">
        <w:rPr>
          <w:sz w:val="24"/>
          <w:szCs w:val="24"/>
        </w:rPr>
        <w:t xml:space="preserve">, 145, 106–115. </w:t>
      </w:r>
      <w:hyperlink r:id="rId43" w:history="1">
        <w:r w:rsidRPr="005A7FF0">
          <w:rPr>
            <w:rStyle w:val="Hyperlink"/>
            <w:sz w:val="24"/>
            <w:szCs w:val="24"/>
          </w:rPr>
          <w:t>https://doi.org/10.1016/j.agsy.2016.03.006</w:t>
        </w:r>
      </w:hyperlink>
    </w:p>
    <w:p w14:paraId="3E0E882C" w14:textId="5B9C0E60" w:rsidR="00B72C2C" w:rsidRDefault="00B72C2C" w:rsidP="003632A1">
      <w:pPr>
        <w:spacing w:before="120" w:after="0" w:line="360" w:lineRule="auto"/>
        <w:rPr>
          <w:sz w:val="24"/>
          <w:szCs w:val="24"/>
        </w:rPr>
      </w:pPr>
      <w:proofErr w:type="spellStart"/>
      <w:r w:rsidRPr="00B72C2C">
        <w:rPr>
          <w:sz w:val="24"/>
          <w:szCs w:val="24"/>
        </w:rPr>
        <w:t>Mba</w:t>
      </w:r>
      <w:proofErr w:type="spellEnd"/>
      <w:r w:rsidRPr="00B72C2C">
        <w:rPr>
          <w:sz w:val="24"/>
          <w:szCs w:val="24"/>
        </w:rPr>
        <w:t xml:space="preserve">, O. I., Dumont, M.-J., &amp; </w:t>
      </w:r>
      <w:proofErr w:type="spellStart"/>
      <w:r w:rsidRPr="00B72C2C">
        <w:rPr>
          <w:sz w:val="24"/>
          <w:szCs w:val="24"/>
        </w:rPr>
        <w:t>Ngadi</w:t>
      </w:r>
      <w:proofErr w:type="spellEnd"/>
      <w:r w:rsidRPr="00B72C2C">
        <w:rPr>
          <w:sz w:val="24"/>
          <w:szCs w:val="24"/>
        </w:rPr>
        <w:t xml:space="preserve">, M. (2015). Palm oil: Processing, </w:t>
      </w:r>
      <w:proofErr w:type="gramStart"/>
      <w:r w:rsidRPr="00B72C2C">
        <w:rPr>
          <w:sz w:val="24"/>
          <w:szCs w:val="24"/>
        </w:rPr>
        <w:t>characterization</w:t>
      </w:r>
      <w:proofErr w:type="gramEnd"/>
      <w:r w:rsidRPr="00B72C2C">
        <w:rPr>
          <w:sz w:val="24"/>
          <w:szCs w:val="24"/>
        </w:rPr>
        <w:t xml:space="preserve"> and utilization in the food industry – A review. Food Bioscience, 10, 26–41. </w:t>
      </w:r>
      <w:hyperlink r:id="rId44" w:history="1">
        <w:r w:rsidRPr="00423662">
          <w:rPr>
            <w:rStyle w:val="Hyperlink"/>
            <w:sz w:val="24"/>
            <w:szCs w:val="24"/>
          </w:rPr>
          <w:t>https://doi.org/10.1016/j.fbio.2015.01.003</w:t>
        </w:r>
      </w:hyperlink>
    </w:p>
    <w:p w14:paraId="5221BC63" w14:textId="257CC140" w:rsidR="00A04486" w:rsidRPr="005A7FF0" w:rsidRDefault="00A04486" w:rsidP="003632A1">
      <w:pPr>
        <w:spacing w:before="120" w:after="0" w:line="360" w:lineRule="auto"/>
        <w:rPr>
          <w:sz w:val="24"/>
          <w:szCs w:val="24"/>
        </w:rPr>
      </w:pPr>
      <w:r w:rsidRPr="005A7FF0">
        <w:rPr>
          <w:sz w:val="24"/>
          <w:szCs w:val="24"/>
        </w:rPr>
        <w:t xml:space="preserve">Murphy, D. J., Goggin, K., &amp; Paterson, R. R. M. (2021). Oil palm in the 2020s and beyond: Challenges and solutions. </w:t>
      </w:r>
      <w:r w:rsidRPr="005A7FF0">
        <w:rPr>
          <w:i/>
          <w:iCs/>
          <w:sz w:val="24"/>
          <w:szCs w:val="24"/>
        </w:rPr>
        <w:t>CABI Agriculture and Bioscience</w:t>
      </w:r>
      <w:r w:rsidRPr="005A7FF0">
        <w:rPr>
          <w:sz w:val="24"/>
          <w:szCs w:val="24"/>
        </w:rPr>
        <w:t xml:space="preserve">, 2(1), 39. </w:t>
      </w:r>
      <w:hyperlink r:id="rId45" w:history="1">
        <w:r w:rsidRPr="005A7FF0">
          <w:rPr>
            <w:rStyle w:val="Hyperlink"/>
            <w:sz w:val="24"/>
            <w:szCs w:val="24"/>
          </w:rPr>
          <w:t>https://doi.org/10.1186/s43170-021-00058-3</w:t>
        </w:r>
      </w:hyperlink>
    </w:p>
    <w:p w14:paraId="7345107B" w14:textId="77777777" w:rsidR="00A04486" w:rsidRPr="005A7FF0" w:rsidRDefault="00A04486" w:rsidP="003632A1">
      <w:pPr>
        <w:spacing w:before="120" w:after="0" w:line="360" w:lineRule="auto"/>
        <w:rPr>
          <w:sz w:val="24"/>
          <w:szCs w:val="24"/>
        </w:rPr>
      </w:pPr>
      <w:proofErr w:type="spellStart"/>
      <w:r w:rsidRPr="005A7FF0">
        <w:rPr>
          <w:sz w:val="24"/>
          <w:szCs w:val="24"/>
        </w:rPr>
        <w:t>Nykter</w:t>
      </w:r>
      <w:proofErr w:type="spellEnd"/>
      <w:r w:rsidRPr="005A7FF0">
        <w:rPr>
          <w:sz w:val="24"/>
          <w:szCs w:val="24"/>
        </w:rPr>
        <w:t xml:space="preserve">, M., </w:t>
      </w:r>
      <w:proofErr w:type="spellStart"/>
      <w:r w:rsidRPr="005A7FF0">
        <w:rPr>
          <w:sz w:val="24"/>
          <w:szCs w:val="24"/>
        </w:rPr>
        <w:t>Kymäläinen</w:t>
      </w:r>
      <w:proofErr w:type="spellEnd"/>
      <w:r w:rsidRPr="005A7FF0">
        <w:rPr>
          <w:sz w:val="24"/>
          <w:szCs w:val="24"/>
        </w:rPr>
        <w:t xml:space="preserve">, H.-R., &amp; Gates, F. (2008). Quality characteristics of edible linseed oil. </w:t>
      </w:r>
      <w:r w:rsidRPr="005A7FF0">
        <w:rPr>
          <w:i/>
          <w:iCs/>
          <w:sz w:val="24"/>
          <w:szCs w:val="24"/>
        </w:rPr>
        <w:t>Agricultural and Food Science</w:t>
      </w:r>
      <w:r w:rsidRPr="005A7FF0">
        <w:rPr>
          <w:sz w:val="24"/>
          <w:szCs w:val="24"/>
        </w:rPr>
        <w:t xml:space="preserve">, 15, 402. </w:t>
      </w:r>
      <w:hyperlink r:id="rId46" w:history="1">
        <w:r w:rsidRPr="005A7FF0">
          <w:rPr>
            <w:rStyle w:val="Hyperlink"/>
            <w:sz w:val="24"/>
            <w:szCs w:val="24"/>
          </w:rPr>
          <w:t>https://doi.org/10.2137/145960606780061443</w:t>
        </w:r>
      </w:hyperlink>
    </w:p>
    <w:p w14:paraId="3B963BD0" w14:textId="77777777" w:rsidR="00A04486" w:rsidRPr="005A7FF0" w:rsidRDefault="00A04486" w:rsidP="003632A1">
      <w:pPr>
        <w:spacing w:before="120" w:after="0" w:line="360" w:lineRule="auto"/>
        <w:rPr>
          <w:sz w:val="24"/>
          <w:szCs w:val="24"/>
        </w:rPr>
      </w:pPr>
      <w:r w:rsidRPr="005A7FF0">
        <w:rPr>
          <w:sz w:val="24"/>
          <w:szCs w:val="24"/>
        </w:rPr>
        <w:t xml:space="preserve">Parsons, S., </w:t>
      </w:r>
      <w:proofErr w:type="spellStart"/>
      <w:r w:rsidRPr="005A7FF0">
        <w:rPr>
          <w:sz w:val="24"/>
          <w:szCs w:val="24"/>
        </w:rPr>
        <w:t>Raikova</w:t>
      </w:r>
      <w:proofErr w:type="spellEnd"/>
      <w:r w:rsidRPr="005A7FF0">
        <w:rPr>
          <w:sz w:val="24"/>
          <w:szCs w:val="24"/>
        </w:rPr>
        <w:t xml:space="preserve">, S., &amp; Chuck, C. J. (2020). The viability and desirability of replacing palm oil. </w:t>
      </w:r>
      <w:r w:rsidRPr="005A7FF0">
        <w:rPr>
          <w:i/>
          <w:iCs/>
          <w:sz w:val="24"/>
          <w:szCs w:val="24"/>
        </w:rPr>
        <w:t>Nature Sustainability</w:t>
      </w:r>
      <w:r w:rsidRPr="005A7FF0">
        <w:rPr>
          <w:sz w:val="24"/>
          <w:szCs w:val="24"/>
        </w:rPr>
        <w:t xml:space="preserve">, 3, 412–418. </w:t>
      </w:r>
      <w:hyperlink r:id="rId47" w:history="1">
        <w:r w:rsidRPr="005A7FF0">
          <w:rPr>
            <w:rStyle w:val="Hyperlink"/>
            <w:sz w:val="24"/>
            <w:szCs w:val="24"/>
          </w:rPr>
          <w:t>https://doi.org/10.1038/s41893-020-0487-8</w:t>
        </w:r>
      </w:hyperlink>
    </w:p>
    <w:p w14:paraId="0D818198" w14:textId="77777777" w:rsidR="00A04486" w:rsidRPr="005A7FF0" w:rsidRDefault="00A04486" w:rsidP="003632A1">
      <w:pPr>
        <w:spacing w:before="120" w:after="0" w:line="360" w:lineRule="auto"/>
        <w:rPr>
          <w:rFonts w:cstheme="minorHAnsi"/>
          <w:color w:val="0563C1" w:themeColor="hyperlink"/>
          <w:sz w:val="24"/>
          <w:szCs w:val="24"/>
          <w:u w:val="single"/>
        </w:rPr>
      </w:pPr>
      <w:proofErr w:type="spellStart"/>
      <w:r w:rsidRPr="005A7FF0">
        <w:rPr>
          <w:sz w:val="24"/>
          <w:szCs w:val="24"/>
        </w:rPr>
        <w:t>Parveez</w:t>
      </w:r>
      <w:proofErr w:type="spellEnd"/>
      <w:r w:rsidRPr="005A7FF0">
        <w:rPr>
          <w:sz w:val="24"/>
          <w:szCs w:val="24"/>
        </w:rPr>
        <w:t xml:space="preserve">, G. K. A., Kamil, N. N., Zawawi, N. Z., Ong-Abdullah, M., </w:t>
      </w:r>
      <w:proofErr w:type="spellStart"/>
      <w:r w:rsidRPr="005A7FF0">
        <w:rPr>
          <w:sz w:val="24"/>
          <w:szCs w:val="24"/>
        </w:rPr>
        <w:t>Rasuddin</w:t>
      </w:r>
      <w:proofErr w:type="spellEnd"/>
      <w:r w:rsidRPr="005A7FF0">
        <w:rPr>
          <w:sz w:val="24"/>
          <w:szCs w:val="24"/>
        </w:rPr>
        <w:t xml:space="preserve">, R., </w:t>
      </w:r>
      <w:proofErr w:type="spellStart"/>
      <w:r w:rsidRPr="005A7FF0">
        <w:rPr>
          <w:sz w:val="24"/>
          <w:szCs w:val="24"/>
        </w:rPr>
        <w:t>Loh</w:t>
      </w:r>
      <w:proofErr w:type="spellEnd"/>
      <w:r w:rsidRPr="005A7FF0">
        <w:rPr>
          <w:sz w:val="24"/>
          <w:szCs w:val="24"/>
        </w:rPr>
        <w:t xml:space="preserve">, S. K., </w:t>
      </w:r>
      <w:proofErr w:type="spellStart"/>
      <w:r w:rsidRPr="005A7FF0">
        <w:rPr>
          <w:sz w:val="24"/>
          <w:szCs w:val="24"/>
        </w:rPr>
        <w:t>Selvaduray</w:t>
      </w:r>
      <w:proofErr w:type="spellEnd"/>
      <w:r w:rsidRPr="005A7FF0">
        <w:rPr>
          <w:sz w:val="24"/>
          <w:szCs w:val="24"/>
        </w:rPr>
        <w:t xml:space="preserve">, K. R. </w:t>
      </w:r>
      <w:proofErr w:type="spellStart"/>
      <w:r w:rsidRPr="005A7FF0">
        <w:rPr>
          <w:sz w:val="24"/>
          <w:szCs w:val="24"/>
        </w:rPr>
        <w:t>Hoong</w:t>
      </w:r>
      <w:proofErr w:type="spellEnd"/>
      <w:r w:rsidRPr="005A7FF0">
        <w:rPr>
          <w:sz w:val="24"/>
          <w:szCs w:val="24"/>
        </w:rPr>
        <w:t xml:space="preserve">, S. S., Idris, Z. (2022). Oil palm economic performance in Malaysia and R&amp;D progress in 2021. </w:t>
      </w:r>
      <w:r w:rsidRPr="005A7FF0">
        <w:rPr>
          <w:i/>
          <w:iCs/>
          <w:sz w:val="24"/>
          <w:szCs w:val="24"/>
        </w:rPr>
        <w:t>Journal of Oil Palm Research</w:t>
      </w:r>
      <w:r w:rsidRPr="005A7FF0">
        <w:rPr>
          <w:sz w:val="24"/>
          <w:szCs w:val="24"/>
        </w:rPr>
        <w:t>, 34, 185-218</w:t>
      </w:r>
      <w:r w:rsidRPr="005A7FF0">
        <w:rPr>
          <w:rFonts w:cstheme="minorHAnsi"/>
          <w:sz w:val="24"/>
          <w:szCs w:val="24"/>
        </w:rPr>
        <w:t xml:space="preserve">. DOI: </w:t>
      </w:r>
      <w:hyperlink r:id="rId48" w:history="1">
        <w:r w:rsidRPr="005A7FF0">
          <w:rPr>
            <w:rStyle w:val="Hyperlink"/>
            <w:rFonts w:cstheme="minorHAnsi"/>
            <w:sz w:val="24"/>
            <w:szCs w:val="24"/>
          </w:rPr>
          <w:t>https://doi.org/10.21894/jopr.2022.0036</w:t>
        </w:r>
      </w:hyperlink>
    </w:p>
    <w:p w14:paraId="3C554E54" w14:textId="77777777" w:rsidR="00A04486" w:rsidRPr="005A7FF0" w:rsidRDefault="00A04486" w:rsidP="003632A1">
      <w:pPr>
        <w:spacing w:before="120" w:after="0" w:line="360" w:lineRule="auto"/>
        <w:rPr>
          <w:sz w:val="24"/>
          <w:szCs w:val="24"/>
        </w:rPr>
      </w:pPr>
      <w:r w:rsidRPr="005A7FF0">
        <w:rPr>
          <w:sz w:val="24"/>
          <w:szCs w:val="24"/>
        </w:rPr>
        <w:lastRenderedPageBreak/>
        <w:t xml:space="preserve">Raynaud, J., </w:t>
      </w:r>
      <w:proofErr w:type="spellStart"/>
      <w:r w:rsidRPr="005A7FF0">
        <w:rPr>
          <w:sz w:val="24"/>
          <w:szCs w:val="24"/>
        </w:rPr>
        <w:t>Fobelets</w:t>
      </w:r>
      <w:proofErr w:type="spellEnd"/>
      <w:r w:rsidRPr="005A7FF0">
        <w:rPr>
          <w:sz w:val="24"/>
          <w:szCs w:val="24"/>
        </w:rPr>
        <w:t xml:space="preserve">, V., Georgieva, A., Joshi, S., </w:t>
      </w:r>
      <w:proofErr w:type="spellStart"/>
      <w:r w:rsidRPr="005A7FF0">
        <w:rPr>
          <w:sz w:val="24"/>
          <w:szCs w:val="24"/>
        </w:rPr>
        <w:t>Kristanto</w:t>
      </w:r>
      <w:proofErr w:type="spellEnd"/>
      <w:r w:rsidRPr="005A7FF0">
        <w:rPr>
          <w:sz w:val="24"/>
          <w:szCs w:val="24"/>
        </w:rPr>
        <w:t>, L., de Groot Ruiz, A., Bullock, S., Hardwicke, R., (2016). Improving Business Decision Making: Valuing the Hidden Costs of Production in the Palm Oil Sector. A study for The Economics of Ecosystems and Biodiversity for Agriculture and Food (</w:t>
      </w:r>
      <w:proofErr w:type="spellStart"/>
      <w:r w:rsidRPr="005A7FF0">
        <w:rPr>
          <w:sz w:val="24"/>
          <w:szCs w:val="24"/>
        </w:rPr>
        <w:t>TEEBAgriFood</w:t>
      </w:r>
      <w:proofErr w:type="spellEnd"/>
      <w:r w:rsidRPr="005A7FF0">
        <w:rPr>
          <w:sz w:val="24"/>
          <w:szCs w:val="24"/>
        </w:rPr>
        <w:t>) Program.</w:t>
      </w:r>
    </w:p>
    <w:p w14:paraId="2FAAC981" w14:textId="77777777" w:rsidR="00A04486" w:rsidRPr="005A7FF0" w:rsidRDefault="00A04486" w:rsidP="003632A1">
      <w:pPr>
        <w:spacing w:before="120" w:after="0" w:line="360" w:lineRule="auto"/>
        <w:rPr>
          <w:sz w:val="24"/>
          <w:szCs w:val="24"/>
        </w:rPr>
      </w:pPr>
      <w:r w:rsidRPr="005A7FF0">
        <w:rPr>
          <w:sz w:val="24"/>
          <w:szCs w:val="24"/>
        </w:rPr>
        <w:t xml:space="preserve">Schmidt, J. H. (2010). Comparative life cycle assessment of rapeseed oil and palm oil. The International </w:t>
      </w:r>
      <w:r w:rsidRPr="005A7FF0">
        <w:rPr>
          <w:i/>
          <w:iCs/>
          <w:sz w:val="24"/>
          <w:szCs w:val="24"/>
        </w:rPr>
        <w:t>Journal of Life Cycle Assessment</w:t>
      </w:r>
      <w:r w:rsidRPr="005A7FF0">
        <w:rPr>
          <w:sz w:val="24"/>
          <w:szCs w:val="24"/>
        </w:rPr>
        <w:t xml:space="preserve">, 15, 183–197. </w:t>
      </w:r>
      <w:hyperlink r:id="rId49" w:history="1">
        <w:r w:rsidRPr="005A7FF0">
          <w:rPr>
            <w:rStyle w:val="Hyperlink"/>
            <w:sz w:val="24"/>
            <w:szCs w:val="24"/>
          </w:rPr>
          <w:t>https://doi.org/10.1007/s11367-009-0142-0</w:t>
        </w:r>
      </w:hyperlink>
    </w:p>
    <w:p w14:paraId="46011D4C" w14:textId="77777777" w:rsidR="00A04486" w:rsidRPr="005A7FF0" w:rsidRDefault="00A04486" w:rsidP="003632A1">
      <w:pPr>
        <w:spacing w:before="120" w:after="0" w:line="360" w:lineRule="auto"/>
        <w:rPr>
          <w:sz w:val="24"/>
          <w:szCs w:val="24"/>
        </w:rPr>
      </w:pPr>
      <w:r w:rsidRPr="005A7FF0">
        <w:rPr>
          <w:sz w:val="24"/>
          <w:szCs w:val="24"/>
        </w:rPr>
        <w:t xml:space="preserve">Smyth, S. J., </w:t>
      </w:r>
      <w:proofErr w:type="spellStart"/>
      <w:r w:rsidRPr="005A7FF0">
        <w:rPr>
          <w:sz w:val="24"/>
          <w:szCs w:val="24"/>
        </w:rPr>
        <w:t>Gusta</w:t>
      </w:r>
      <w:proofErr w:type="spellEnd"/>
      <w:r w:rsidRPr="005A7FF0">
        <w:rPr>
          <w:sz w:val="24"/>
          <w:szCs w:val="24"/>
        </w:rPr>
        <w:t xml:space="preserve">, M., Belcher, K., Phillips, P. W. B., Castle, D. (2011). Changes in herbicide use after adoption of HR canola in Western Canada. </w:t>
      </w:r>
      <w:r w:rsidRPr="005A7FF0">
        <w:rPr>
          <w:i/>
          <w:iCs/>
          <w:sz w:val="24"/>
          <w:szCs w:val="24"/>
        </w:rPr>
        <w:t>Weed Technology</w:t>
      </w:r>
      <w:r w:rsidRPr="005A7FF0">
        <w:rPr>
          <w:sz w:val="24"/>
          <w:szCs w:val="24"/>
        </w:rPr>
        <w:t xml:space="preserve">, 25, 492-500. </w:t>
      </w:r>
      <w:hyperlink r:id="rId50" w:history="1">
        <w:r w:rsidRPr="005A7FF0">
          <w:rPr>
            <w:rStyle w:val="Hyperlink"/>
            <w:sz w:val="24"/>
            <w:szCs w:val="24"/>
          </w:rPr>
          <w:t>https://doi.org/10.1614/WT-D-10-00164.1</w:t>
        </w:r>
      </w:hyperlink>
    </w:p>
    <w:p w14:paraId="33CDD8BB" w14:textId="77777777" w:rsidR="00A04486" w:rsidRPr="005A7FF0" w:rsidRDefault="00A04486" w:rsidP="002A41B6">
      <w:pPr>
        <w:spacing w:before="120" w:after="0" w:line="360" w:lineRule="auto"/>
        <w:rPr>
          <w:rFonts w:cstheme="minorHAnsi"/>
          <w:sz w:val="24"/>
          <w:szCs w:val="24"/>
        </w:rPr>
      </w:pPr>
      <w:r w:rsidRPr="005A7FF0">
        <w:rPr>
          <w:rFonts w:cstheme="minorHAnsi"/>
          <w:sz w:val="24"/>
          <w:szCs w:val="24"/>
        </w:rPr>
        <w:t xml:space="preserve">Statistics Canada. (2023, February 7). Estimated areas, yield, production, average farm price and total farm value of principal field crops, in metric and imperial units. Statistics Canada. </w:t>
      </w:r>
      <w:hyperlink r:id="rId51" w:history="1">
        <w:r w:rsidRPr="005A7FF0">
          <w:rPr>
            <w:rStyle w:val="Hyperlink"/>
            <w:rFonts w:cstheme="minorHAnsi"/>
            <w:sz w:val="24"/>
            <w:szCs w:val="24"/>
          </w:rPr>
          <w:t>https://www150.statcan.gc.ca/t1/tbl1/en/tv.action?pid=3210035901</w:t>
        </w:r>
      </w:hyperlink>
    </w:p>
    <w:p w14:paraId="7B005BE4" w14:textId="77777777" w:rsidR="00A04486" w:rsidRPr="005A7FF0" w:rsidRDefault="00A04486" w:rsidP="003632A1">
      <w:pPr>
        <w:spacing w:before="120" w:after="0" w:line="360" w:lineRule="auto"/>
        <w:rPr>
          <w:sz w:val="24"/>
          <w:szCs w:val="24"/>
        </w:rPr>
      </w:pPr>
      <w:r w:rsidRPr="005A7FF0">
        <w:rPr>
          <w:sz w:val="24"/>
          <w:szCs w:val="24"/>
        </w:rPr>
        <w:t xml:space="preserve">Sutherland, C., Gleim, S., Smyth, S. J. (2021). Correlating genetically modified crops, glyphosate use and increased carbon sequestration. </w:t>
      </w:r>
      <w:r w:rsidRPr="005A7FF0">
        <w:rPr>
          <w:i/>
          <w:iCs/>
          <w:sz w:val="24"/>
          <w:szCs w:val="24"/>
        </w:rPr>
        <w:t>Sustainability</w:t>
      </w:r>
      <w:r w:rsidRPr="005A7FF0">
        <w:rPr>
          <w:sz w:val="24"/>
          <w:szCs w:val="24"/>
        </w:rPr>
        <w:t xml:space="preserve">, 13, 11679. </w:t>
      </w:r>
      <w:hyperlink r:id="rId52" w:history="1">
        <w:r w:rsidRPr="005A7FF0">
          <w:rPr>
            <w:rStyle w:val="Hyperlink"/>
            <w:sz w:val="24"/>
            <w:szCs w:val="24"/>
          </w:rPr>
          <w:t>https://doi.org/10.3390/su132111679</w:t>
        </w:r>
      </w:hyperlink>
    </w:p>
    <w:p w14:paraId="57D2317D" w14:textId="77777777" w:rsidR="00A04486" w:rsidRPr="005A7FF0" w:rsidRDefault="00A04486" w:rsidP="003632A1">
      <w:pPr>
        <w:spacing w:before="120" w:after="0" w:line="360" w:lineRule="auto"/>
        <w:rPr>
          <w:sz w:val="24"/>
          <w:szCs w:val="24"/>
        </w:rPr>
      </w:pPr>
      <w:r w:rsidRPr="005A7FF0">
        <w:rPr>
          <w:sz w:val="24"/>
          <w:szCs w:val="24"/>
        </w:rPr>
        <w:t>True Price (2021</w:t>
      </w:r>
      <w:r w:rsidRPr="005A7FF0">
        <w:rPr>
          <w:i/>
          <w:iCs/>
          <w:sz w:val="24"/>
          <w:szCs w:val="24"/>
        </w:rPr>
        <w:t xml:space="preserve">). </w:t>
      </w:r>
      <w:proofErr w:type="spellStart"/>
      <w:r w:rsidRPr="005A7FF0">
        <w:rPr>
          <w:i/>
          <w:iCs/>
          <w:sz w:val="24"/>
          <w:szCs w:val="24"/>
        </w:rPr>
        <w:t>Monetisation</w:t>
      </w:r>
      <w:proofErr w:type="spellEnd"/>
      <w:r w:rsidRPr="005A7FF0">
        <w:rPr>
          <w:i/>
          <w:iCs/>
          <w:sz w:val="24"/>
          <w:szCs w:val="24"/>
        </w:rPr>
        <w:t xml:space="preserve"> Factors for True Pricing Version</w:t>
      </w:r>
      <w:r w:rsidRPr="005A7FF0">
        <w:rPr>
          <w:sz w:val="24"/>
          <w:szCs w:val="24"/>
        </w:rPr>
        <w:t xml:space="preserve"> 2.0.3. Amsterdam, True Price.</w:t>
      </w:r>
    </w:p>
    <w:p w14:paraId="35C16566" w14:textId="77777777" w:rsidR="00A04486" w:rsidRPr="005A7FF0" w:rsidRDefault="00A04486" w:rsidP="003632A1">
      <w:pPr>
        <w:spacing w:before="120" w:after="0" w:line="360" w:lineRule="auto"/>
        <w:rPr>
          <w:sz w:val="24"/>
          <w:szCs w:val="24"/>
        </w:rPr>
      </w:pPr>
      <w:r w:rsidRPr="005A7FF0">
        <w:rPr>
          <w:sz w:val="24"/>
          <w:szCs w:val="24"/>
        </w:rPr>
        <w:t xml:space="preserve">University of Cambridge Institute for Sustainability Leadership (CISL). (2020). </w:t>
      </w:r>
      <w:r w:rsidRPr="005A7FF0">
        <w:rPr>
          <w:i/>
          <w:iCs/>
          <w:sz w:val="24"/>
          <w:szCs w:val="24"/>
        </w:rPr>
        <w:t>Measuring business impacts on nature: A framework to support better stewardship of biodiversity in global supply chains</w:t>
      </w:r>
      <w:r w:rsidRPr="005A7FF0">
        <w:rPr>
          <w:sz w:val="24"/>
          <w:szCs w:val="24"/>
        </w:rPr>
        <w:t>. Cambridge, UK: University of Cambridge Institute for Sustainability Leadership.</w:t>
      </w:r>
    </w:p>
    <w:p w14:paraId="575BBD7D" w14:textId="77777777" w:rsidR="00A04486" w:rsidRPr="005A7FF0" w:rsidRDefault="00A04486" w:rsidP="003632A1">
      <w:pPr>
        <w:spacing w:before="120" w:after="0" w:line="360" w:lineRule="auto"/>
        <w:rPr>
          <w:rFonts w:ascii="AdvOT1deab444.I" w:hAnsi="AdvOT1deab444.I" w:cs="AdvOT1deab444.I"/>
          <w:sz w:val="16"/>
          <w:szCs w:val="16"/>
        </w:rPr>
      </w:pPr>
      <w:r w:rsidRPr="005A7FF0">
        <w:rPr>
          <w:sz w:val="24"/>
          <w:szCs w:val="24"/>
        </w:rPr>
        <w:t xml:space="preserve">Zhou, Y., Zhao, W., Lal, Y., Zhang, B., Zhang, D. (2020). Edible plant oil: Global status, health issues, and perspectives. Frontiers in Plant Science, 11, 1315. </w:t>
      </w:r>
      <w:hyperlink r:id="rId53" w:history="1">
        <w:r w:rsidRPr="005A7FF0">
          <w:rPr>
            <w:rStyle w:val="Hyperlink"/>
            <w:sz w:val="24"/>
            <w:szCs w:val="24"/>
          </w:rPr>
          <w:t>https://www.frontiersin.org/articles/10.3389/fpls.2020.01315/full</w:t>
        </w:r>
      </w:hyperlink>
      <w:r w:rsidRPr="005A7FF0">
        <w:rPr>
          <w:sz w:val="24"/>
          <w:szCs w:val="24"/>
        </w:rPr>
        <w:t xml:space="preserve"> </w:t>
      </w:r>
    </w:p>
    <w:p w14:paraId="637E7BAE" w14:textId="016AE1AB" w:rsidR="00571DEF" w:rsidRPr="005A7FF0" w:rsidRDefault="00571DEF" w:rsidP="004D7D18">
      <w:pPr>
        <w:spacing w:line="360" w:lineRule="auto"/>
        <w:rPr>
          <w:rFonts w:cstheme="minorHAnsi"/>
          <w:sz w:val="24"/>
          <w:szCs w:val="24"/>
        </w:rPr>
      </w:pPr>
    </w:p>
    <w:sectPr w:rsidR="00571DEF" w:rsidRPr="005A7F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BF64" w14:textId="77777777" w:rsidR="007F198A" w:rsidRDefault="007F198A" w:rsidP="006F663B">
      <w:pPr>
        <w:spacing w:after="0" w:line="240" w:lineRule="auto"/>
      </w:pPr>
      <w:r>
        <w:separator/>
      </w:r>
    </w:p>
  </w:endnote>
  <w:endnote w:type="continuationSeparator" w:id="0">
    <w:p w14:paraId="178677D6" w14:textId="77777777" w:rsidR="007F198A" w:rsidRDefault="007F198A" w:rsidP="006F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OT1deab444.I">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FBCA1" w14:textId="77777777" w:rsidR="00F52A57" w:rsidRDefault="00F52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585968"/>
      <w:docPartObj>
        <w:docPartGallery w:val="Page Numbers (Bottom of Page)"/>
        <w:docPartUnique/>
      </w:docPartObj>
    </w:sdtPr>
    <w:sdtEndPr>
      <w:rPr>
        <w:noProof/>
      </w:rPr>
    </w:sdtEndPr>
    <w:sdtContent>
      <w:p w14:paraId="7939395C" w14:textId="629E8786" w:rsidR="00F52A57" w:rsidRDefault="00F52A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EBD345" w14:textId="77777777" w:rsidR="00F52A57" w:rsidRDefault="00F52A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F9AD" w14:textId="77777777" w:rsidR="00F52A57" w:rsidRDefault="00F52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2441" w14:textId="77777777" w:rsidR="007F198A" w:rsidRDefault="007F198A" w:rsidP="006F663B">
      <w:pPr>
        <w:spacing w:after="0" w:line="240" w:lineRule="auto"/>
      </w:pPr>
      <w:r>
        <w:separator/>
      </w:r>
    </w:p>
  </w:footnote>
  <w:footnote w:type="continuationSeparator" w:id="0">
    <w:p w14:paraId="72140809" w14:textId="77777777" w:rsidR="007F198A" w:rsidRDefault="007F198A" w:rsidP="006F663B">
      <w:pPr>
        <w:spacing w:after="0" w:line="240" w:lineRule="auto"/>
      </w:pPr>
      <w:r>
        <w:continuationSeparator/>
      </w:r>
    </w:p>
  </w:footnote>
  <w:footnote w:id="1">
    <w:p w14:paraId="6838CAAC" w14:textId="7A60A70E" w:rsidR="00791248" w:rsidRDefault="00791248">
      <w:pPr>
        <w:pStyle w:val="FootnoteText"/>
      </w:pPr>
      <w:r>
        <w:rPr>
          <w:rStyle w:val="FootnoteReference"/>
        </w:rPr>
        <w:footnoteRef/>
      </w:r>
      <w:r>
        <w:t xml:space="preserve"> Nicholas Benard and Elora Bevacqua provided valuable help for the development of this </w:t>
      </w:r>
      <w:r w:rsidR="004023EF">
        <w:t>report</w:t>
      </w:r>
      <w:r>
        <w:t>.</w:t>
      </w:r>
    </w:p>
  </w:footnote>
  <w:footnote w:id="2">
    <w:p w14:paraId="5D48ADB8" w14:textId="36C229FD" w:rsidR="00E935E6" w:rsidRDefault="00E935E6">
      <w:pPr>
        <w:pStyle w:val="FootnoteText"/>
      </w:pPr>
      <w:r>
        <w:rPr>
          <w:rStyle w:val="FootnoteReference"/>
        </w:rPr>
        <w:footnoteRef/>
      </w:r>
      <w:r>
        <w:t xml:space="preserve"> In this context, an external cost is a cost that has not been incorporated into the market price of the production, consumption, or disposal of a good or service.</w:t>
      </w:r>
    </w:p>
  </w:footnote>
  <w:footnote w:id="3">
    <w:p w14:paraId="039A53AB" w14:textId="6FB8DF2D" w:rsidR="00E2418E" w:rsidRDefault="00E2418E">
      <w:pPr>
        <w:pStyle w:val="FootnoteText"/>
      </w:pPr>
      <w:r>
        <w:rPr>
          <w:rStyle w:val="FootnoteReference"/>
        </w:rPr>
        <w:footnoteRef/>
      </w:r>
      <w:r>
        <w:t xml:space="preserve"> The fruit of the African palm grows in dense bunches known as FFB. These are the raw material for palm oil mills.</w:t>
      </w:r>
    </w:p>
  </w:footnote>
  <w:footnote w:id="4">
    <w:p w14:paraId="647C2923" w14:textId="3C4CA22B" w:rsidR="00E13CA9" w:rsidRDefault="00E13CA9" w:rsidP="00E13CA9">
      <w:pPr>
        <w:pStyle w:val="FootnoteText"/>
      </w:pPr>
      <w:r>
        <w:rPr>
          <w:rStyle w:val="FootnoteReference"/>
        </w:rPr>
        <w:footnoteRef/>
      </w:r>
      <w:r>
        <w:t xml:space="preserve"> Erucic acid </w:t>
      </w:r>
      <w:r w:rsidRPr="001E7954">
        <w:t>is a monounsaturated omega-9 fatty acid</w:t>
      </w:r>
      <w:r>
        <w:t xml:space="preserve"> present in oil-rich seeds of the </w:t>
      </w:r>
      <w:r w:rsidRPr="001E7954">
        <w:rPr>
          <w:i/>
          <w:iCs/>
        </w:rPr>
        <w:t>Brassicaceae</w:t>
      </w:r>
      <w:r w:rsidRPr="001E7954">
        <w:t xml:space="preserve"> family of plants, particularly rapeseed and mustar</w:t>
      </w:r>
      <w:r>
        <w:t>d. It is considered a food contaminant of vegetable oils. It has been linked to cardiovascular disease (</w:t>
      </w:r>
      <w:hyperlink r:id="rId1" w:history="1">
        <w:r w:rsidRPr="009A0A04">
          <w:rPr>
            <w:rStyle w:val="Hyperlink"/>
          </w:rPr>
          <w:t>https://www.efsa.europa.eu/en/press/news/161109</w:t>
        </w:r>
      </w:hyperlink>
      <w:r>
        <w:t>).</w:t>
      </w:r>
    </w:p>
  </w:footnote>
  <w:footnote w:id="5">
    <w:p w14:paraId="2A401DD1" w14:textId="77777777" w:rsidR="00786312" w:rsidRDefault="00786312" w:rsidP="00786312">
      <w:pPr>
        <w:pStyle w:val="FootnoteText"/>
      </w:pPr>
      <w:r>
        <w:rPr>
          <w:rStyle w:val="FootnoteReference"/>
        </w:rPr>
        <w:footnoteRef/>
      </w:r>
      <w:r>
        <w:t xml:space="preserve"> </w:t>
      </w:r>
      <w:proofErr w:type="spellStart"/>
      <w:r>
        <w:t>Glucosinolates</w:t>
      </w:r>
      <w:proofErr w:type="spellEnd"/>
      <w:r>
        <w:t xml:space="preserve"> are secondary plant metabolites common in rapeseed, they can have negative effects on higher concentrations if consumed as animal feed (</w:t>
      </w:r>
      <w:hyperlink r:id="rId2" w:history="1">
        <w:r w:rsidRPr="009A0A04">
          <w:rPr>
            <w:rStyle w:val="Hyperlink"/>
          </w:rPr>
          <w:t>https://en.wikipedia.org/wiki/Glucosinolate</w:t>
        </w:r>
      </w:hyperlink>
      <w:r>
        <w:t xml:space="preserve">). </w:t>
      </w:r>
    </w:p>
    <w:p w14:paraId="1452F2C0" w14:textId="78C4AE3E" w:rsidR="00786312" w:rsidRDefault="00786312">
      <w:pPr>
        <w:pStyle w:val="FootnoteText"/>
      </w:pPr>
    </w:p>
  </w:footnote>
  <w:footnote w:id="6">
    <w:p w14:paraId="77CDD310" w14:textId="1DF4CBBB" w:rsidR="00F11AA4" w:rsidRDefault="00F11AA4" w:rsidP="00F11AA4">
      <w:pPr>
        <w:pStyle w:val="FootnoteText"/>
      </w:pPr>
      <w:r>
        <w:rPr>
          <w:rStyle w:val="FootnoteReference"/>
        </w:rPr>
        <w:footnoteRef/>
      </w:r>
      <w:r>
        <w:t xml:space="preserve"> </w:t>
      </w:r>
      <w:r w:rsidR="00CF4E9F">
        <w:t>A</w:t>
      </w:r>
      <w:r w:rsidRPr="006F663B">
        <w:t xml:space="preserve"> product syste</w:t>
      </w:r>
      <w:r w:rsidR="00D476A1">
        <w:t>m</w:t>
      </w:r>
      <w:r w:rsidRPr="006F663B">
        <w:t xml:space="preserve"> is “[the] collection of unit processes with elementary and product flows, performing one or more defined functions, and which models the life cycle of a product</w:t>
      </w:r>
      <w:r>
        <w:t>.</w:t>
      </w:r>
      <w:r w:rsidR="00D476A1">
        <w:t>” (</w:t>
      </w:r>
      <w:r w:rsidR="00D476A1" w:rsidRPr="006F663B">
        <w:t>ISO 14044</w:t>
      </w:r>
      <w:r w:rsidR="00D476A1">
        <w:t xml:space="preserve">, </w:t>
      </w:r>
      <w:r w:rsidR="00D476A1" w:rsidRPr="006F663B">
        <w:t>2006)</w:t>
      </w:r>
    </w:p>
  </w:footnote>
  <w:footnote w:id="7">
    <w:p w14:paraId="62AD20D9" w14:textId="47DFE9D2" w:rsidR="00DE15AD" w:rsidRDefault="00DE15AD" w:rsidP="00DE15AD">
      <w:pPr>
        <w:pStyle w:val="FootnoteText"/>
      </w:pPr>
      <w:r>
        <w:rPr>
          <w:rStyle w:val="FootnoteReference"/>
        </w:rPr>
        <w:footnoteRef/>
      </w:r>
      <w:r>
        <w:t xml:space="preserve"> Biomes are the largest unit of ecological classification that is convenient to recognize below the entire globe. Terrestrial biomes are typically based on dominant vegetation structure (</w:t>
      </w:r>
      <w:proofErr w:type="spellStart"/>
      <w:r>
        <w:t>Galgani</w:t>
      </w:r>
      <w:proofErr w:type="spellEnd"/>
      <w:r>
        <w:t xml:space="preserve"> et al., 2021). Monetization factors are provided for six biomes.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4B9C" w14:textId="77777777" w:rsidR="00F52A57" w:rsidRDefault="00F52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0620E" w14:textId="77777777" w:rsidR="00F52A57" w:rsidRDefault="00F52A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EE2B" w14:textId="77777777" w:rsidR="00F52A57" w:rsidRDefault="00F52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099A"/>
    <w:multiLevelType w:val="hybridMultilevel"/>
    <w:tmpl w:val="228CD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076B6"/>
    <w:multiLevelType w:val="hybridMultilevel"/>
    <w:tmpl w:val="DB968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B1D89"/>
    <w:multiLevelType w:val="hybridMultilevel"/>
    <w:tmpl w:val="DB94718A"/>
    <w:lvl w:ilvl="0" w:tplc="39607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25177"/>
    <w:multiLevelType w:val="hybridMultilevel"/>
    <w:tmpl w:val="F29C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E0807"/>
    <w:multiLevelType w:val="hybridMultilevel"/>
    <w:tmpl w:val="D57A4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03423"/>
    <w:multiLevelType w:val="hybridMultilevel"/>
    <w:tmpl w:val="DB5C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B1"/>
    <w:rsid w:val="000103AF"/>
    <w:rsid w:val="00011DCA"/>
    <w:rsid w:val="000156E6"/>
    <w:rsid w:val="00026751"/>
    <w:rsid w:val="0004033C"/>
    <w:rsid w:val="000420C5"/>
    <w:rsid w:val="00043F41"/>
    <w:rsid w:val="000442C1"/>
    <w:rsid w:val="00053156"/>
    <w:rsid w:val="000560A6"/>
    <w:rsid w:val="000619E8"/>
    <w:rsid w:val="000678A9"/>
    <w:rsid w:val="00067EDD"/>
    <w:rsid w:val="00075283"/>
    <w:rsid w:val="00081068"/>
    <w:rsid w:val="00081ED1"/>
    <w:rsid w:val="00085E99"/>
    <w:rsid w:val="00091B17"/>
    <w:rsid w:val="000A0442"/>
    <w:rsid w:val="000A483C"/>
    <w:rsid w:val="000B55EF"/>
    <w:rsid w:val="000C1ABB"/>
    <w:rsid w:val="000C34D8"/>
    <w:rsid w:val="000C588F"/>
    <w:rsid w:val="000D0244"/>
    <w:rsid w:val="000D443A"/>
    <w:rsid w:val="000D7BC7"/>
    <w:rsid w:val="000E0458"/>
    <w:rsid w:val="000E1C0F"/>
    <w:rsid w:val="000E71CB"/>
    <w:rsid w:val="000E79C9"/>
    <w:rsid w:val="000F1210"/>
    <w:rsid w:val="000F321B"/>
    <w:rsid w:val="000F507F"/>
    <w:rsid w:val="000F50EF"/>
    <w:rsid w:val="0010218A"/>
    <w:rsid w:val="00130548"/>
    <w:rsid w:val="0013250E"/>
    <w:rsid w:val="0013562A"/>
    <w:rsid w:val="001379AD"/>
    <w:rsid w:val="00140B46"/>
    <w:rsid w:val="00144E34"/>
    <w:rsid w:val="001475C4"/>
    <w:rsid w:val="001475E5"/>
    <w:rsid w:val="001553B0"/>
    <w:rsid w:val="001574E8"/>
    <w:rsid w:val="001612CB"/>
    <w:rsid w:val="00161F6D"/>
    <w:rsid w:val="00162EB3"/>
    <w:rsid w:val="00164DEE"/>
    <w:rsid w:val="00171A13"/>
    <w:rsid w:val="0018075F"/>
    <w:rsid w:val="00192045"/>
    <w:rsid w:val="001944C5"/>
    <w:rsid w:val="001A73E6"/>
    <w:rsid w:val="001B14C0"/>
    <w:rsid w:val="001B1B94"/>
    <w:rsid w:val="001B530C"/>
    <w:rsid w:val="001C2D11"/>
    <w:rsid w:val="001C5942"/>
    <w:rsid w:val="001E078B"/>
    <w:rsid w:val="001E381E"/>
    <w:rsid w:val="001E385D"/>
    <w:rsid w:val="001E57E1"/>
    <w:rsid w:val="001E7954"/>
    <w:rsid w:val="001E7A35"/>
    <w:rsid w:val="001F3955"/>
    <w:rsid w:val="001F4C02"/>
    <w:rsid w:val="001F5B52"/>
    <w:rsid w:val="00201AAF"/>
    <w:rsid w:val="002264DC"/>
    <w:rsid w:val="00237178"/>
    <w:rsid w:val="002503D6"/>
    <w:rsid w:val="00251516"/>
    <w:rsid w:val="0025732A"/>
    <w:rsid w:val="00260697"/>
    <w:rsid w:val="002623A4"/>
    <w:rsid w:val="00265884"/>
    <w:rsid w:val="00270082"/>
    <w:rsid w:val="00285E88"/>
    <w:rsid w:val="002A41B6"/>
    <w:rsid w:val="002A70D0"/>
    <w:rsid w:val="002D10F2"/>
    <w:rsid w:val="002D2FBD"/>
    <w:rsid w:val="002E2272"/>
    <w:rsid w:val="002E2452"/>
    <w:rsid w:val="00310985"/>
    <w:rsid w:val="00313D2A"/>
    <w:rsid w:val="00323992"/>
    <w:rsid w:val="003308E2"/>
    <w:rsid w:val="0033178E"/>
    <w:rsid w:val="003514E8"/>
    <w:rsid w:val="00353ACF"/>
    <w:rsid w:val="00354A82"/>
    <w:rsid w:val="00357CC8"/>
    <w:rsid w:val="00361781"/>
    <w:rsid w:val="003632A1"/>
    <w:rsid w:val="00364370"/>
    <w:rsid w:val="00366680"/>
    <w:rsid w:val="00366731"/>
    <w:rsid w:val="00374A78"/>
    <w:rsid w:val="003764F8"/>
    <w:rsid w:val="00380F15"/>
    <w:rsid w:val="00383926"/>
    <w:rsid w:val="00384F3C"/>
    <w:rsid w:val="0038628E"/>
    <w:rsid w:val="003873C6"/>
    <w:rsid w:val="003878F9"/>
    <w:rsid w:val="00390127"/>
    <w:rsid w:val="00390D7C"/>
    <w:rsid w:val="003A0B33"/>
    <w:rsid w:val="003A18F7"/>
    <w:rsid w:val="003A2113"/>
    <w:rsid w:val="003A5CC6"/>
    <w:rsid w:val="003A6C80"/>
    <w:rsid w:val="003B02CD"/>
    <w:rsid w:val="003B0687"/>
    <w:rsid w:val="003C491A"/>
    <w:rsid w:val="003C6D38"/>
    <w:rsid w:val="003C7E5A"/>
    <w:rsid w:val="003E0681"/>
    <w:rsid w:val="004023EF"/>
    <w:rsid w:val="004104AB"/>
    <w:rsid w:val="0041129D"/>
    <w:rsid w:val="0041311B"/>
    <w:rsid w:val="00415D19"/>
    <w:rsid w:val="0042273C"/>
    <w:rsid w:val="00423DC2"/>
    <w:rsid w:val="00425E7A"/>
    <w:rsid w:val="00432313"/>
    <w:rsid w:val="00440A34"/>
    <w:rsid w:val="004419F4"/>
    <w:rsid w:val="00445DF3"/>
    <w:rsid w:val="004501A6"/>
    <w:rsid w:val="0045087A"/>
    <w:rsid w:val="00454410"/>
    <w:rsid w:val="00462868"/>
    <w:rsid w:val="004648F6"/>
    <w:rsid w:val="00480A47"/>
    <w:rsid w:val="00480B02"/>
    <w:rsid w:val="00490D43"/>
    <w:rsid w:val="0049450D"/>
    <w:rsid w:val="0049499E"/>
    <w:rsid w:val="00496757"/>
    <w:rsid w:val="004A6B36"/>
    <w:rsid w:val="004A7DC6"/>
    <w:rsid w:val="004B0076"/>
    <w:rsid w:val="004B30A2"/>
    <w:rsid w:val="004B543A"/>
    <w:rsid w:val="004C1D4D"/>
    <w:rsid w:val="004C6937"/>
    <w:rsid w:val="004D17DC"/>
    <w:rsid w:val="004D215A"/>
    <w:rsid w:val="004D2705"/>
    <w:rsid w:val="004D7736"/>
    <w:rsid w:val="004D7D18"/>
    <w:rsid w:val="004E6EF2"/>
    <w:rsid w:val="004F279C"/>
    <w:rsid w:val="004F3894"/>
    <w:rsid w:val="004F5066"/>
    <w:rsid w:val="004F51E6"/>
    <w:rsid w:val="004F546E"/>
    <w:rsid w:val="004F6663"/>
    <w:rsid w:val="0050115B"/>
    <w:rsid w:val="00511193"/>
    <w:rsid w:val="00516436"/>
    <w:rsid w:val="005326A7"/>
    <w:rsid w:val="005459EE"/>
    <w:rsid w:val="005653B5"/>
    <w:rsid w:val="00571DEF"/>
    <w:rsid w:val="005916DD"/>
    <w:rsid w:val="005919FA"/>
    <w:rsid w:val="00596559"/>
    <w:rsid w:val="005A22EF"/>
    <w:rsid w:val="005A5988"/>
    <w:rsid w:val="005A7853"/>
    <w:rsid w:val="005A7FF0"/>
    <w:rsid w:val="005C05CE"/>
    <w:rsid w:val="005C73FB"/>
    <w:rsid w:val="005E383C"/>
    <w:rsid w:val="005E62DD"/>
    <w:rsid w:val="005E7CCB"/>
    <w:rsid w:val="005F43E0"/>
    <w:rsid w:val="00601EA8"/>
    <w:rsid w:val="00605AB6"/>
    <w:rsid w:val="00605B4C"/>
    <w:rsid w:val="00611796"/>
    <w:rsid w:val="00611B36"/>
    <w:rsid w:val="00612160"/>
    <w:rsid w:val="00623738"/>
    <w:rsid w:val="0062469F"/>
    <w:rsid w:val="00626237"/>
    <w:rsid w:val="00630B6B"/>
    <w:rsid w:val="00630C56"/>
    <w:rsid w:val="0063281D"/>
    <w:rsid w:val="00632BB7"/>
    <w:rsid w:val="006355D5"/>
    <w:rsid w:val="00635ABF"/>
    <w:rsid w:val="00637CA4"/>
    <w:rsid w:val="00647881"/>
    <w:rsid w:val="006514EF"/>
    <w:rsid w:val="0065297F"/>
    <w:rsid w:val="00654C7F"/>
    <w:rsid w:val="00654ED0"/>
    <w:rsid w:val="006554F6"/>
    <w:rsid w:val="00664D7C"/>
    <w:rsid w:val="006741EF"/>
    <w:rsid w:val="0068323A"/>
    <w:rsid w:val="00692ABC"/>
    <w:rsid w:val="00696D6D"/>
    <w:rsid w:val="006A36E6"/>
    <w:rsid w:val="006B00D0"/>
    <w:rsid w:val="006C1331"/>
    <w:rsid w:val="006C1BCA"/>
    <w:rsid w:val="006C4097"/>
    <w:rsid w:val="006D2885"/>
    <w:rsid w:val="006D3CC0"/>
    <w:rsid w:val="006D6CFD"/>
    <w:rsid w:val="006E280B"/>
    <w:rsid w:val="006E3AB7"/>
    <w:rsid w:val="006F2C62"/>
    <w:rsid w:val="006F663B"/>
    <w:rsid w:val="0070004A"/>
    <w:rsid w:val="00702E8E"/>
    <w:rsid w:val="00703240"/>
    <w:rsid w:val="0070396A"/>
    <w:rsid w:val="00706D06"/>
    <w:rsid w:val="00712F50"/>
    <w:rsid w:val="007235D1"/>
    <w:rsid w:val="0072368B"/>
    <w:rsid w:val="007256A3"/>
    <w:rsid w:val="0073041E"/>
    <w:rsid w:val="007319DF"/>
    <w:rsid w:val="00732C57"/>
    <w:rsid w:val="00735E34"/>
    <w:rsid w:val="00735F14"/>
    <w:rsid w:val="00737CF0"/>
    <w:rsid w:val="00752C6F"/>
    <w:rsid w:val="00754564"/>
    <w:rsid w:val="007628D0"/>
    <w:rsid w:val="00763970"/>
    <w:rsid w:val="00770465"/>
    <w:rsid w:val="00772101"/>
    <w:rsid w:val="00786312"/>
    <w:rsid w:val="00790874"/>
    <w:rsid w:val="007909C7"/>
    <w:rsid w:val="00791248"/>
    <w:rsid w:val="007918FB"/>
    <w:rsid w:val="007941DA"/>
    <w:rsid w:val="007A613C"/>
    <w:rsid w:val="007B1C26"/>
    <w:rsid w:val="007B2A48"/>
    <w:rsid w:val="007B59B6"/>
    <w:rsid w:val="007C5F2C"/>
    <w:rsid w:val="007C62D8"/>
    <w:rsid w:val="007C743F"/>
    <w:rsid w:val="007D52F5"/>
    <w:rsid w:val="007E20C3"/>
    <w:rsid w:val="007E7758"/>
    <w:rsid w:val="007F0E4A"/>
    <w:rsid w:val="007F198A"/>
    <w:rsid w:val="007F38B9"/>
    <w:rsid w:val="007F4C28"/>
    <w:rsid w:val="00801DA8"/>
    <w:rsid w:val="00803E63"/>
    <w:rsid w:val="00805755"/>
    <w:rsid w:val="00821B49"/>
    <w:rsid w:val="00821DA9"/>
    <w:rsid w:val="008309BC"/>
    <w:rsid w:val="00831749"/>
    <w:rsid w:val="00836C1D"/>
    <w:rsid w:val="00837B3B"/>
    <w:rsid w:val="008406B2"/>
    <w:rsid w:val="008571B0"/>
    <w:rsid w:val="0086101E"/>
    <w:rsid w:val="00863DD7"/>
    <w:rsid w:val="00865CF0"/>
    <w:rsid w:val="00867113"/>
    <w:rsid w:val="008705E6"/>
    <w:rsid w:val="00872E0F"/>
    <w:rsid w:val="00874D6A"/>
    <w:rsid w:val="008755C3"/>
    <w:rsid w:val="008778E1"/>
    <w:rsid w:val="00882CE1"/>
    <w:rsid w:val="00884240"/>
    <w:rsid w:val="008846A1"/>
    <w:rsid w:val="00885A0F"/>
    <w:rsid w:val="008A0CC6"/>
    <w:rsid w:val="008A488C"/>
    <w:rsid w:val="008B2E3B"/>
    <w:rsid w:val="008C2D4E"/>
    <w:rsid w:val="008C2D96"/>
    <w:rsid w:val="008C6069"/>
    <w:rsid w:val="008D069B"/>
    <w:rsid w:val="008D44D0"/>
    <w:rsid w:val="008E24C6"/>
    <w:rsid w:val="008E3C4C"/>
    <w:rsid w:val="008F2AC5"/>
    <w:rsid w:val="008F2F75"/>
    <w:rsid w:val="008F5985"/>
    <w:rsid w:val="008F5DCA"/>
    <w:rsid w:val="008F7AF6"/>
    <w:rsid w:val="008F7F43"/>
    <w:rsid w:val="00900E59"/>
    <w:rsid w:val="00902361"/>
    <w:rsid w:val="00911D4F"/>
    <w:rsid w:val="0091557E"/>
    <w:rsid w:val="00924D2B"/>
    <w:rsid w:val="009255E0"/>
    <w:rsid w:val="009301F2"/>
    <w:rsid w:val="00933461"/>
    <w:rsid w:val="009356C1"/>
    <w:rsid w:val="009421EA"/>
    <w:rsid w:val="009454C0"/>
    <w:rsid w:val="00982A46"/>
    <w:rsid w:val="00986789"/>
    <w:rsid w:val="0098689A"/>
    <w:rsid w:val="009870C2"/>
    <w:rsid w:val="00993EC2"/>
    <w:rsid w:val="00996C7F"/>
    <w:rsid w:val="009A1C0A"/>
    <w:rsid w:val="009A3A32"/>
    <w:rsid w:val="009A5501"/>
    <w:rsid w:val="009B0043"/>
    <w:rsid w:val="009B2412"/>
    <w:rsid w:val="009C3096"/>
    <w:rsid w:val="009C5AD0"/>
    <w:rsid w:val="009D1E16"/>
    <w:rsid w:val="009E27FD"/>
    <w:rsid w:val="009E3498"/>
    <w:rsid w:val="009E702F"/>
    <w:rsid w:val="009F5D10"/>
    <w:rsid w:val="00A024D7"/>
    <w:rsid w:val="00A0349D"/>
    <w:rsid w:val="00A03560"/>
    <w:rsid w:val="00A0419D"/>
    <w:rsid w:val="00A04486"/>
    <w:rsid w:val="00A2285F"/>
    <w:rsid w:val="00A249A1"/>
    <w:rsid w:val="00A250FB"/>
    <w:rsid w:val="00A371D5"/>
    <w:rsid w:val="00A42849"/>
    <w:rsid w:val="00A4679F"/>
    <w:rsid w:val="00A600B7"/>
    <w:rsid w:val="00A624C1"/>
    <w:rsid w:val="00A62739"/>
    <w:rsid w:val="00A725B4"/>
    <w:rsid w:val="00A81092"/>
    <w:rsid w:val="00A8466A"/>
    <w:rsid w:val="00A90575"/>
    <w:rsid w:val="00A928E6"/>
    <w:rsid w:val="00A946B3"/>
    <w:rsid w:val="00A94790"/>
    <w:rsid w:val="00AA0BF8"/>
    <w:rsid w:val="00AA3845"/>
    <w:rsid w:val="00AB7414"/>
    <w:rsid w:val="00AD29D1"/>
    <w:rsid w:val="00AD2D70"/>
    <w:rsid w:val="00AD3AE1"/>
    <w:rsid w:val="00AE05F4"/>
    <w:rsid w:val="00AE07EF"/>
    <w:rsid w:val="00AE6BAA"/>
    <w:rsid w:val="00AF3F3B"/>
    <w:rsid w:val="00AF3F45"/>
    <w:rsid w:val="00B005CF"/>
    <w:rsid w:val="00B05A77"/>
    <w:rsid w:val="00B06FE8"/>
    <w:rsid w:val="00B11341"/>
    <w:rsid w:val="00B14F82"/>
    <w:rsid w:val="00B15FB9"/>
    <w:rsid w:val="00B178C2"/>
    <w:rsid w:val="00B22084"/>
    <w:rsid w:val="00B318AA"/>
    <w:rsid w:val="00B3691F"/>
    <w:rsid w:val="00B44F29"/>
    <w:rsid w:val="00B543E3"/>
    <w:rsid w:val="00B54DD9"/>
    <w:rsid w:val="00B72C2C"/>
    <w:rsid w:val="00B8139C"/>
    <w:rsid w:val="00B86DBD"/>
    <w:rsid w:val="00B871A1"/>
    <w:rsid w:val="00B91EE8"/>
    <w:rsid w:val="00B9527B"/>
    <w:rsid w:val="00BA1765"/>
    <w:rsid w:val="00BA7BFD"/>
    <w:rsid w:val="00BB2546"/>
    <w:rsid w:val="00BC2839"/>
    <w:rsid w:val="00BD0A45"/>
    <w:rsid w:val="00BD1F1E"/>
    <w:rsid w:val="00BD6801"/>
    <w:rsid w:val="00BE0413"/>
    <w:rsid w:val="00BE0A4B"/>
    <w:rsid w:val="00BE1385"/>
    <w:rsid w:val="00BE3979"/>
    <w:rsid w:val="00BF373C"/>
    <w:rsid w:val="00C00861"/>
    <w:rsid w:val="00C0097D"/>
    <w:rsid w:val="00C143B7"/>
    <w:rsid w:val="00C17391"/>
    <w:rsid w:val="00C24F19"/>
    <w:rsid w:val="00C2583C"/>
    <w:rsid w:val="00C42E53"/>
    <w:rsid w:val="00C4602A"/>
    <w:rsid w:val="00C502C6"/>
    <w:rsid w:val="00C51318"/>
    <w:rsid w:val="00C51328"/>
    <w:rsid w:val="00C608D7"/>
    <w:rsid w:val="00C63AEC"/>
    <w:rsid w:val="00C77593"/>
    <w:rsid w:val="00C84A71"/>
    <w:rsid w:val="00C87164"/>
    <w:rsid w:val="00CA170B"/>
    <w:rsid w:val="00CA4EA5"/>
    <w:rsid w:val="00CA616A"/>
    <w:rsid w:val="00CB5793"/>
    <w:rsid w:val="00CB6E11"/>
    <w:rsid w:val="00CC5934"/>
    <w:rsid w:val="00CC5AF4"/>
    <w:rsid w:val="00CC6089"/>
    <w:rsid w:val="00CD4EF8"/>
    <w:rsid w:val="00CE3645"/>
    <w:rsid w:val="00CE475C"/>
    <w:rsid w:val="00CE47FA"/>
    <w:rsid w:val="00CF2F6C"/>
    <w:rsid w:val="00CF3E5D"/>
    <w:rsid w:val="00CF4E9F"/>
    <w:rsid w:val="00D032D3"/>
    <w:rsid w:val="00D1010D"/>
    <w:rsid w:val="00D10BD3"/>
    <w:rsid w:val="00D1439F"/>
    <w:rsid w:val="00D161AD"/>
    <w:rsid w:val="00D209CB"/>
    <w:rsid w:val="00D25B7C"/>
    <w:rsid w:val="00D30144"/>
    <w:rsid w:val="00D32194"/>
    <w:rsid w:val="00D32D57"/>
    <w:rsid w:val="00D476A1"/>
    <w:rsid w:val="00D51916"/>
    <w:rsid w:val="00D55037"/>
    <w:rsid w:val="00D6014B"/>
    <w:rsid w:val="00D70C20"/>
    <w:rsid w:val="00D760E1"/>
    <w:rsid w:val="00D92B7C"/>
    <w:rsid w:val="00D94CAA"/>
    <w:rsid w:val="00DA0A14"/>
    <w:rsid w:val="00DA4A72"/>
    <w:rsid w:val="00DB2E93"/>
    <w:rsid w:val="00DB6D73"/>
    <w:rsid w:val="00DD3D15"/>
    <w:rsid w:val="00DD4BC9"/>
    <w:rsid w:val="00DD6562"/>
    <w:rsid w:val="00DE15AD"/>
    <w:rsid w:val="00DF31E2"/>
    <w:rsid w:val="00DF549C"/>
    <w:rsid w:val="00E01BF6"/>
    <w:rsid w:val="00E03153"/>
    <w:rsid w:val="00E0323E"/>
    <w:rsid w:val="00E03C16"/>
    <w:rsid w:val="00E04B35"/>
    <w:rsid w:val="00E1212C"/>
    <w:rsid w:val="00E13CA9"/>
    <w:rsid w:val="00E146F4"/>
    <w:rsid w:val="00E170F1"/>
    <w:rsid w:val="00E2418E"/>
    <w:rsid w:val="00E2776D"/>
    <w:rsid w:val="00E33CBD"/>
    <w:rsid w:val="00E36C99"/>
    <w:rsid w:val="00E567E3"/>
    <w:rsid w:val="00E56CDB"/>
    <w:rsid w:val="00E632DD"/>
    <w:rsid w:val="00E67753"/>
    <w:rsid w:val="00E67B30"/>
    <w:rsid w:val="00E74F84"/>
    <w:rsid w:val="00E75A09"/>
    <w:rsid w:val="00E75B6F"/>
    <w:rsid w:val="00E812A3"/>
    <w:rsid w:val="00E90FA7"/>
    <w:rsid w:val="00E91878"/>
    <w:rsid w:val="00E935E6"/>
    <w:rsid w:val="00E97CAE"/>
    <w:rsid w:val="00EB1796"/>
    <w:rsid w:val="00EC7FD0"/>
    <w:rsid w:val="00ED1222"/>
    <w:rsid w:val="00ED2685"/>
    <w:rsid w:val="00ED45D0"/>
    <w:rsid w:val="00ED60E0"/>
    <w:rsid w:val="00ED738B"/>
    <w:rsid w:val="00EE0071"/>
    <w:rsid w:val="00EF208C"/>
    <w:rsid w:val="00EF7713"/>
    <w:rsid w:val="00F0445C"/>
    <w:rsid w:val="00F05152"/>
    <w:rsid w:val="00F11515"/>
    <w:rsid w:val="00F11AA4"/>
    <w:rsid w:val="00F122BE"/>
    <w:rsid w:val="00F17E3C"/>
    <w:rsid w:val="00F21F2F"/>
    <w:rsid w:val="00F33555"/>
    <w:rsid w:val="00F34752"/>
    <w:rsid w:val="00F357EC"/>
    <w:rsid w:val="00F36756"/>
    <w:rsid w:val="00F373A1"/>
    <w:rsid w:val="00F449E2"/>
    <w:rsid w:val="00F52A57"/>
    <w:rsid w:val="00F5555D"/>
    <w:rsid w:val="00F61DE9"/>
    <w:rsid w:val="00F752B1"/>
    <w:rsid w:val="00F7653A"/>
    <w:rsid w:val="00F77AAF"/>
    <w:rsid w:val="00F81219"/>
    <w:rsid w:val="00F8174D"/>
    <w:rsid w:val="00F931C9"/>
    <w:rsid w:val="00F94F4E"/>
    <w:rsid w:val="00F95BD6"/>
    <w:rsid w:val="00FA0036"/>
    <w:rsid w:val="00FA1BE6"/>
    <w:rsid w:val="00FA25C6"/>
    <w:rsid w:val="00FB5794"/>
    <w:rsid w:val="00FC3021"/>
    <w:rsid w:val="00FC4914"/>
    <w:rsid w:val="00FC78AB"/>
    <w:rsid w:val="00FC7FC2"/>
    <w:rsid w:val="00FD1463"/>
    <w:rsid w:val="00FD73FA"/>
    <w:rsid w:val="00FE3FE2"/>
    <w:rsid w:val="00FF1349"/>
    <w:rsid w:val="00FF2916"/>
    <w:rsid w:val="00FF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A32B"/>
  <w15:chartTrackingRefBased/>
  <w15:docId w15:val="{9CA49C79-4B1B-4C93-A780-766A8042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C02"/>
    <w:pPr>
      <w:ind w:left="720"/>
      <w:contextualSpacing/>
    </w:pPr>
  </w:style>
  <w:style w:type="character" w:styleId="Hyperlink">
    <w:name w:val="Hyperlink"/>
    <w:basedOn w:val="DefaultParagraphFont"/>
    <w:uiPriority w:val="99"/>
    <w:unhideWhenUsed/>
    <w:rsid w:val="00EE0071"/>
    <w:rPr>
      <w:color w:val="0563C1" w:themeColor="hyperlink"/>
      <w:u w:val="single"/>
    </w:rPr>
  </w:style>
  <w:style w:type="character" w:styleId="UnresolvedMention">
    <w:name w:val="Unresolved Mention"/>
    <w:basedOn w:val="DefaultParagraphFont"/>
    <w:uiPriority w:val="99"/>
    <w:semiHidden/>
    <w:unhideWhenUsed/>
    <w:rsid w:val="00EE0071"/>
    <w:rPr>
      <w:color w:val="605E5C"/>
      <w:shd w:val="clear" w:color="auto" w:fill="E1DFDD"/>
    </w:rPr>
  </w:style>
  <w:style w:type="paragraph" w:styleId="FootnoteText">
    <w:name w:val="footnote text"/>
    <w:basedOn w:val="Normal"/>
    <w:link w:val="FootnoteTextChar"/>
    <w:uiPriority w:val="99"/>
    <w:semiHidden/>
    <w:unhideWhenUsed/>
    <w:rsid w:val="006F66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63B"/>
    <w:rPr>
      <w:sz w:val="20"/>
      <w:szCs w:val="20"/>
    </w:rPr>
  </w:style>
  <w:style w:type="character" w:styleId="FootnoteReference">
    <w:name w:val="footnote reference"/>
    <w:basedOn w:val="DefaultParagraphFont"/>
    <w:uiPriority w:val="99"/>
    <w:semiHidden/>
    <w:unhideWhenUsed/>
    <w:rsid w:val="006F663B"/>
    <w:rPr>
      <w:vertAlign w:val="superscript"/>
    </w:rPr>
  </w:style>
  <w:style w:type="character" w:customStyle="1" w:styleId="markedcontent">
    <w:name w:val="markedcontent"/>
    <w:basedOn w:val="DefaultParagraphFont"/>
    <w:rsid w:val="000560A6"/>
  </w:style>
  <w:style w:type="character" w:styleId="FollowedHyperlink">
    <w:name w:val="FollowedHyperlink"/>
    <w:basedOn w:val="DefaultParagraphFont"/>
    <w:uiPriority w:val="99"/>
    <w:semiHidden/>
    <w:unhideWhenUsed/>
    <w:rsid w:val="000C1ABB"/>
    <w:rPr>
      <w:color w:val="954F72" w:themeColor="followedHyperlink"/>
      <w:u w:val="single"/>
    </w:rPr>
  </w:style>
  <w:style w:type="character" w:styleId="Strong">
    <w:name w:val="Strong"/>
    <w:basedOn w:val="DefaultParagraphFont"/>
    <w:uiPriority w:val="22"/>
    <w:qFormat/>
    <w:rsid w:val="00F33555"/>
    <w:rPr>
      <w:b/>
      <w:bCs/>
    </w:rPr>
  </w:style>
  <w:style w:type="table" w:styleId="TableGrid">
    <w:name w:val="Table Grid"/>
    <w:basedOn w:val="TableNormal"/>
    <w:uiPriority w:val="39"/>
    <w:rsid w:val="002A7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475C4"/>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90FA7"/>
    <w:rPr>
      <w:sz w:val="16"/>
      <w:szCs w:val="16"/>
    </w:rPr>
  </w:style>
  <w:style w:type="paragraph" w:styleId="CommentText">
    <w:name w:val="annotation text"/>
    <w:basedOn w:val="Normal"/>
    <w:link w:val="CommentTextChar"/>
    <w:uiPriority w:val="99"/>
    <w:unhideWhenUsed/>
    <w:rsid w:val="00E90FA7"/>
    <w:pPr>
      <w:spacing w:line="240" w:lineRule="auto"/>
    </w:pPr>
    <w:rPr>
      <w:sz w:val="20"/>
      <w:szCs w:val="20"/>
    </w:rPr>
  </w:style>
  <w:style w:type="character" w:customStyle="1" w:styleId="CommentTextChar">
    <w:name w:val="Comment Text Char"/>
    <w:basedOn w:val="DefaultParagraphFont"/>
    <w:link w:val="CommentText"/>
    <w:uiPriority w:val="99"/>
    <w:rsid w:val="00E90FA7"/>
    <w:rPr>
      <w:sz w:val="20"/>
      <w:szCs w:val="20"/>
    </w:rPr>
  </w:style>
  <w:style w:type="paragraph" w:styleId="CommentSubject">
    <w:name w:val="annotation subject"/>
    <w:basedOn w:val="CommentText"/>
    <w:next w:val="CommentText"/>
    <w:link w:val="CommentSubjectChar"/>
    <w:uiPriority w:val="99"/>
    <w:semiHidden/>
    <w:unhideWhenUsed/>
    <w:rsid w:val="00E90FA7"/>
    <w:rPr>
      <w:b/>
      <w:bCs/>
    </w:rPr>
  </w:style>
  <w:style w:type="character" w:customStyle="1" w:styleId="CommentSubjectChar">
    <w:name w:val="Comment Subject Char"/>
    <w:basedOn w:val="CommentTextChar"/>
    <w:link w:val="CommentSubject"/>
    <w:uiPriority w:val="99"/>
    <w:semiHidden/>
    <w:rsid w:val="00E90FA7"/>
    <w:rPr>
      <w:b/>
      <w:bCs/>
      <w:sz w:val="20"/>
      <w:szCs w:val="20"/>
    </w:rPr>
  </w:style>
  <w:style w:type="paragraph" w:styleId="Header">
    <w:name w:val="header"/>
    <w:basedOn w:val="Normal"/>
    <w:link w:val="HeaderChar"/>
    <w:uiPriority w:val="99"/>
    <w:unhideWhenUsed/>
    <w:rsid w:val="00F52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A57"/>
  </w:style>
  <w:style w:type="paragraph" w:styleId="Footer">
    <w:name w:val="footer"/>
    <w:basedOn w:val="Normal"/>
    <w:link w:val="FooterChar"/>
    <w:uiPriority w:val="99"/>
    <w:unhideWhenUsed/>
    <w:rsid w:val="00F52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A57"/>
  </w:style>
  <w:style w:type="paragraph" w:styleId="Revision">
    <w:name w:val="Revision"/>
    <w:hidden/>
    <w:uiPriority w:val="99"/>
    <w:semiHidden/>
    <w:rsid w:val="00C513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4782">
      <w:bodyDiv w:val="1"/>
      <w:marLeft w:val="0"/>
      <w:marRight w:val="0"/>
      <w:marTop w:val="0"/>
      <w:marBottom w:val="0"/>
      <w:divBdr>
        <w:top w:val="none" w:sz="0" w:space="0" w:color="auto"/>
        <w:left w:val="none" w:sz="0" w:space="0" w:color="auto"/>
        <w:bottom w:val="none" w:sz="0" w:space="0" w:color="auto"/>
        <w:right w:val="none" w:sz="0" w:space="0" w:color="auto"/>
      </w:divBdr>
    </w:div>
    <w:div w:id="294022301">
      <w:bodyDiv w:val="1"/>
      <w:marLeft w:val="0"/>
      <w:marRight w:val="0"/>
      <w:marTop w:val="0"/>
      <w:marBottom w:val="0"/>
      <w:divBdr>
        <w:top w:val="none" w:sz="0" w:space="0" w:color="auto"/>
        <w:left w:val="none" w:sz="0" w:space="0" w:color="auto"/>
        <w:bottom w:val="none" w:sz="0" w:space="0" w:color="auto"/>
        <w:right w:val="none" w:sz="0" w:space="0" w:color="auto"/>
      </w:divBdr>
    </w:div>
    <w:div w:id="417478950">
      <w:bodyDiv w:val="1"/>
      <w:marLeft w:val="0"/>
      <w:marRight w:val="0"/>
      <w:marTop w:val="0"/>
      <w:marBottom w:val="0"/>
      <w:divBdr>
        <w:top w:val="none" w:sz="0" w:space="0" w:color="auto"/>
        <w:left w:val="none" w:sz="0" w:space="0" w:color="auto"/>
        <w:bottom w:val="none" w:sz="0" w:space="0" w:color="auto"/>
        <w:right w:val="none" w:sz="0" w:space="0" w:color="auto"/>
      </w:divBdr>
    </w:div>
    <w:div w:id="422536358">
      <w:bodyDiv w:val="1"/>
      <w:marLeft w:val="0"/>
      <w:marRight w:val="0"/>
      <w:marTop w:val="0"/>
      <w:marBottom w:val="0"/>
      <w:divBdr>
        <w:top w:val="none" w:sz="0" w:space="0" w:color="auto"/>
        <w:left w:val="none" w:sz="0" w:space="0" w:color="auto"/>
        <w:bottom w:val="none" w:sz="0" w:space="0" w:color="auto"/>
        <w:right w:val="none" w:sz="0" w:space="0" w:color="auto"/>
      </w:divBdr>
    </w:div>
    <w:div w:id="453251834">
      <w:bodyDiv w:val="1"/>
      <w:marLeft w:val="0"/>
      <w:marRight w:val="0"/>
      <w:marTop w:val="0"/>
      <w:marBottom w:val="0"/>
      <w:divBdr>
        <w:top w:val="none" w:sz="0" w:space="0" w:color="auto"/>
        <w:left w:val="none" w:sz="0" w:space="0" w:color="auto"/>
        <w:bottom w:val="none" w:sz="0" w:space="0" w:color="auto"/>
        <w:right w:val="none" w:sz="0" w:space="0" w:color="auto"/>
      </w:divBdr>
      <w:divsChild>
        <w:div w:id="2130587965">
          <w:marLeft w:val="0"/>
          <w:marRight w:val="0"/>
          <w:marTop w:val="0"/>
          <w:marBottom w:val="0"/>
          <w:divBdr>
            <w:top w:val="none" w:sz="0" w:space="0" w:color="auto"/>
            <w:left w:val="none" w:sz="0" w:space="0" w:color="auto"/>
            <w:bottom w:val="none" w:sz="0" w:space="0" w:color="auto"/>
            <w:right w:val="none" w:sz="0" w:space="0" w:color="auto"/>
          </w:divBdr>
        </w:div>
        <w:div w:id="209341800">
          <w:marLeft w:val="0"/>
          <w:marRight w:val="0"/>
          <w:marTop w:val="0"/>
          <w:marBottom w:val="0"/>
          <w:divBdr>
            <w:top w:val="none" w:sz="0" w:space="0" w:color="auto"/>
            <w:left w:val="none" w:sz="0" w:space="0" w:color="auto"/>
            <w:bottom w:val="none" w:sz="0" w:space="0" w:color="auto"/>
            <w:right w:val="none" w:sz="0" w:space="0" w:color="auto"/>
          </w:divBdr>
        </w:div>
      </w:divsChild>
    </w:div>
    <w:div w:id="480393859">
      <w:bodyDiv w:val="1"/>
      <w:marLeft w:val="0"/>
      <w:marRight w:val="0"/>
      <w:marTop w:val="0"/>
      <w:marBottom w:val="0"/>
      <w:divBdr>
        <w:top w:val="none" w:sz="0" w:space="0" w:color="auto"/>
        <w:left w:val="none" w:sz="0" w:space="0" w:color="auto"/>
        <w:bottom w:val="none" w:sz="0" w:space="0" w:color="auto"/>
        <w:right w:val="none" w:sz="0" w:space="0" w:color="auto"/>
      </w:divBdr>
    </w:div>
    <w:div w:id="542182930">
      <w:bodyDiv w:val="1"/>
      <w:marLeft w:val="0"/>
      <w:marRight w:val="0"/>
      <w:marTop w:val="0"/>
      <w:marBottom w:val="0"/>
      <w:divBdr>
        <w:top w:val="none" w:sz="0" w:space="0" w:color="auto"/>
        <w:left w:val="none" w:sz="0" w:space="0" w:color="auto"/>
        <w:bottom w:val="none" w:sz="0" w:space="0" w:color="auto"/>
        <w:right w:val="none" w:sz="0" w:space="0" w:color="auto"/>
      </w:divBdr>
    </w:div>
    <w:div w:id="789860126">
      <w:bodyDiv w:val="1"/>
      <w:marLeft w:val="0"/>
      <w:marRight w:val="0"/>
      <w:marTop w:val="0"/>
      <w:marBottom w:val="0"/>
      <w:divBdr>
        <w:top w:val="none" w:sz="0" w:space="0" w:color="auto"/>
        <w:left w:val="none" w:sz="0" w:space="0" w:color="auto"/>
        <w:bottom w:val="none" w:sz="0" w:space="0" w:color="auto"/>
        <w:right w:val="none" w:sz="0" w:space="0" w:color="auto"/>
      </w:divBdr>
    </w:div>
    <w:div w:id="947853840">
      <w:bodyDiv w:val="1"/>
      <w:marLeft w:val="0"/>
      <w:marRight w:val="0"/>
      <w:marTop w:val="0"/>
      <w:marBottom w:val="0"/>
      <w:divBdr>
        <w:top w:val="none" w:sz="0" w:space="0" w:color="auto"/>
        <w:left w:val="none" w:sz="0" w:space="0" w:color="auto"/>
        <w:bottom w:val="none" w:sz="0" w:space="0" w:color="auto"/>
        <w:right w:val="none" w:sz="0" w:space="0" w:color="auto"/>
      </w:divBdr>
    </w:div>
    <w:div w:id="989019760">
      <w:bodyDiv w:val="1"/>
      <w:marLeft w:val="0"/>
      <w:marRight w:val="0"/>
      <w:marTop w:val="0"/>
      <w:marBottom w:val="0"/>
      <w:divBdr>
        <w:top w:val="none" w:sz="0" w:space="0" w:color="auto"/>
        <w:left w:val="none" w:sz="0" w:space="0" w:color="auto"/>
        <w:bottom w:val="none" w:sz="0" w:space="0" w:color="auto"/>
        <w:right w:val="none" w:sz="0" w:space="0" w:color="auto"/>
      </w:divBdr>
    </w:div>
    <w:div w:id="1040009302">
      <w:bodyDiv w:val="1"/>
      <w:marLeft w:val="0"/>
      <w:marRight w:val="0"/>
      <w:marTop w:val="0"/>
      <w:marBottom w:val="0"/>
      <w:divBdr>
        <w:top w:val="none" w:sz="0" w:space="0" w:color="auto"/>
        <w:left w:val="none" w:sz="0" w:space="0" w:color="auto"/>
        <w:bottom w:val="none" w:sz="0" w:space="0" w:color="auto"/>
        <w:right w:val="none" w:sz="0" w:space="0" w:color="auto"/>
      </w:divBdr>
    </w:div>
    <w:div w:id="1044787982">
      <w:bodyDiv w:val="1"/>
      <w:marLeft w:val="0"/>
      <w:marRight w:val="0"/>
      <w:marTop w:val="0"/>
      <w:marBottom w:val="0"/>
      <w:divBdr>
        <w:top w:val="none" w:sz="0" w:space="0" w:color="auto"/>
        <w:left w:val="none" w:sz="0" w:space="0" w:color="auto"/>
        <w:bottom w:val="none" w:sz="0" w:space="0" w:color="auto"/>
        <w:right w:val="none" w:sz="0" w:space="0" w:color="auto"/>
      </w:divBdr>
    </w:div>
    <w:div w:id="1102607593">
      <w:bodyDiv w:val="1"/>
      <w:marLeft w:val="0"/>
      <w:marRight w:val="0"/>
      <w:marTop w:val="0"/>
      <w:marBottom w:val="0"/>
      <w:divBdr>
        <w:top w:val="none" w:sz="0" w:space="0" w:color="auto"/>
        <w:left w:val="none" w:sz="0" w:space="0" w:color="auto"/>
        <w:bottom w:val="none" w:sz="0" w:space="0" w:color="auto"/>
        <w:right w:val="none" w:sz="0" w:space="0" w:color="auto"/>
      </w:divBdr>
    </w:div>
    <w:div w:id="1134178464">
      <w:bodyDiv w:val="1"/>
      <w:marLeft w:val="0"/>
      <w:marRight w:val="0"/>
      <w:marTop w:val="0"/>
      <w:marBottom w:val="0"/>
      <w:divBdr>
        <w:top w:val="none" w:sz="0" w:space="0" w:color="auto"/>
        <w:left w:val="none" w:sz="0" w:space="0" w:color="auto"/>
        <w:bottom w:val="none" w:sz="0" w:space="0" w:color="auto"/>
        <w:right w:val="none" w:sz="0" w:space="0" w:color="auto"/>
      </w:divBdr>
    </w:div>
    <w:div w:id="1136223219">
      <w:bodyDiv w:val="1"/>
      <w:marLeft w:val="0"/>
      <w:marRight w:val="0"/>
      <w:marTop w:val="0"/>
      <w:marBottom w:val="0"/>
      <w:divBdr>
        <w:top w:val="none" w:sz="0" w:space="0" w:color="auto"/>
        <w:left w:val="none" w:sz="0" w:space="0" w:color="auto"/>
        <w:bottom w:val="none" w:sz="0" w:space="0" w:color="auto"/>
        <w:right w:val="none" w:sz="0" w:space="0" w:color="auto"/>
      </w:divBdr>
    </w:div>
    <w:div w:id="1213998089">
      <w:bodyDiv w:val="1"/>
      <w:marLeft w:val="0"/>
      <w:marRight w:val="0"/>
      <w:marTop w:val="0"/>
      <w:marBottom w:val="0"/>
      <w:divBdr>
        <w:top w:val="none" w:sz="0" w:space="0" w:color="auto"/>
        <w:left w:val="none" w:sz="0" w:space="0" w:color="auto"/>
        <w:bottom w:val="none" w:sz="0" w:space="0" w:color="auto"/>
        <w:right w:val="none" w:sz="0" w:space="0" w:color="auto"/>
      </w:divBdr>
    </w:div>
    <w:div w:id="1300956640">
      <w:bodyDiv w:val="1"/>
      <w:marLeft w:val="0"/>
      <w:marRight w:val="0"/>
      <w:marTop w:val="0"/>
      <w:marBottom w:val="0"/>
      <w:divBdr>
        <w:top w:val="none" w:sz="0" w:space="0" w:color="auto"/>
        <w:left w:val="none" w:sz="0" w:space="0" w:color="auto"/>
        <w:bottom w:val="none" w:sz="0" w:space="0" w:color="auto"/>
        <w:right w:val="none" w:sz="0" w:space="0" w:color="auto"/>
      </w:divBdr>
    </w:div>
    <w:div w:id="1504277500">
      <w:bodyDiv w:val="1"/>
      <w:marLeft w:val="0"/>
      <w:marRight w:val="0"/>
      <w:marTop w:val="0"/>
      <w:marBottom w:val="0"/>
      <w:divBdr>
        <w:top w:val="none" w:sz="0" w:space="0" w:color="auto"/>
        <w:left w:val="none" w:sz="0" w:space="0" w:color="auto"/>
        <w:bottom w:val="none" w:sz="0" w:space="0" w:color="auto"/>
        <w:right w:val="none" w:sz="0" w:space="0" w:color="auto"/>
      </w:divBdr>
    </w:div>
    <w:div w:id="1511066889">
      <w:bodyDiv w:val="1"/>
      <w:marLeft w:val="0"/>
      <w:marRight w:val="0"/>
      <w:marTop w:val="0"/>
      <w:marBottom w:val="0"/>
      <w:divBdr>
        <w:top w:val="none" w:sz="0" w:space="0" w:color="auto"/>
        <w:left w:val="none" w:sz="0" w:space="0" w:color="auto"/>
        <w:bottom w:val="none" w:sz="0" w:space="0" w:color="auto"/>
        <w:right w:val="none" w:sz="0" w:space="0" w:color="auto"/>
      </w:divBdr>
    </w:div>
    <w:div w:id="1523737235">
      <w:bodyDiv w:val="1"/>
      <w:marLeft w:val="0"/>
      <w:marRight w:val="0"/>
      <w:marTop w:val="0"/>
      <w:marBottom w:val="0"/>
      <w:divBdr>
        <w:top w:val="none" w:sz="0" w:space="0" w:color="auto"/>
        <w:left w:val="none" w:sz="0" w:space="0" w:color="auto"/>
        <w:bottom w:val="none" w:sz="0" w:space="0" w:color="auto"/>
        <w:right w:val="none" w:sz="0" w:space="0" w:color="auto"/>
      </w:divBdr>
    </w:div>
    <w:div w:id="211493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5318/3210035201-eng" TargetMode="External"/><Relationship Id="rId18" Type="http://schemas.openxmlformats.org/officeDocument/2006/relationships/image" Target="media/image2.png"/><Relationship Id="rId26" Type="http://schemas.openxmlformats.org/officeDocument/2006/relationships/hyperlink" Target="https://data.worldbank.org/indicator/NY.GDP.DEFL.ZS?end=2021&amp;start=2012" TargetMode="External"/><Relationship Id="rId39" Type="http://schemas.openxmlformats.org/officeDocument/2006/relationships/hyperlink" Target="https://www.iso.org/standard/38498.html" TargetMode="External"/><Relationship Id="rId21" Type="http://schemas.openxmlformats.org/officeDocument/2006/relationships/footer" Target="footer1.xml"/><Relationship Id="rId34" Type="http://schemas.openxmlformats.org/officeDocument/2006/relationships/hyperlink" Target="https://doi.org/10.1016/B978-0-9818936-5-5.50005-X" TargetMode="External"/><Relationship Id="rId42" Type="http://schemas.openxmlformats.org/officeDocument/2006/relationships/hyperlink" Target="https://doi.org/10.1016/j.rser.2015.12.058" TargetMode="External"/><Relationship Id="rId47" Type="http://schemas.openxmlformats.org/officeDocument/2006/relationships/hyperlink" Target="https://doi.org/10.1038/s41893-020-0487-8" TargetMode="External"/><Relationship Id="rId50" Type="http://schemas.openxmlformats.org/officeDocument/2006/relationships/hyperlink" Target="https://doi.org/10.1614/WT-D-10-00164.1"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s://fdc.nal.usda.gov/fdc-app.html" TargetMode="External"/><Relationship Id="rId11" Type="http://schemas.openxmlformats.org/officeDocument/2006/relationships/hyperlink" Target="https://ecoinvent.org/the-ecoinvent-database" TargetMode="External"/><Relationship Id="rId24" Type="http://schemas.openxmlformats.org/officeDocument/2006/relationships/footer" Target="footer3.xml"/><Relationship Id="rId32" Type="http://schemas.openxmlformats.org/officeDocument/2006/relationships/hyperlink" Target="https://doi.org/10.1016/j.afres.2022.100154" TargetMode="External"/><Relationship Id="rId37" Type="http://schemas.openxmlformats.org/officeDocument/2006/relationships/hyperlink" Target="https://www.fao.org/faostat/en/" TargetMode="External"/><Relationship Id="rId40" Type="http://schemas.openxmlformats.org/officeDocument/2006/relationships/hyperlink" Target="https://doi.org/10.1093/ajcn/74.6.714" TargetMode="External"/><Relationship Id="rId45" Type="http://schemas.openxmlformats.org/officeDocument/2006/relationships/hyperlink" Target="https://doi.org/10.1186/s43170-021-00058-3" TargetMode="External"/><Relationship Id="rId53" Type="http://schemas.openxmlformats.org/officeDocument/2006/relationships/hyperlink" Target="https://www.frontiersin.org/articles/10.3389/fpls.2020.01315/full" TargetMode="External"/><Relationship Id="rId5" Type="http://schemas.openxmlformats.org/officeDocument/2006/relationships/webSettings" Target="webSettings.xml"/><Relationship Id="rId10" Type="http://schemas.openxmlformats.org/officeDocument/2006/relationships/hyperlink" Target="https://quantis.com/who-we-guide/our-impact/sustainability-initiatives/wfldb-food/" TargetMode="External"/><Relationship Id="rId19" Type="http://schemas.openxmlformats.org/officeDocument/2006/relationships/header" Target="header1.xml"/><Relationship Id="rId31" Type="http://schemas.openxmlformats.org/officeDocument/2006/relationships/hyperlink" Target="https://www.esvd.info/" TargetMode="External"/><Relationship Id="rId44" Type="http://schemas.openxmlformats.org/officeDocument/2006/relationships/hyperlink" Target="https://doi.org/10.1016/j.fbio.2015.01.003" TargetMode="External"/><Relationship Id="rId52" Type="http://schemas.openxmlformats.org/officeDocument/2006/relationships/hyperlink" Target="https://doi.org/10.3390/su132111679" TargetMode="External"/><Relationship Id="rId4" Type="http://schemas.openxmlformats.org/officeDocument/2006/relationships/settings" Target="settings.xml"/><Relationship Id="rId9" Type="http://schemas.openxmlformats.org/officeDocument/2006/relationships/hyperlink" Target="https://agribalyse.ademe.fr/" TargetMode="External"/><Relationship Id="rId14" Type="http://schemas.openxmlformats.org/officeDocument/2006/relationships/hyperlink" Target="https://www150.statcan.gc.ca/t1/tbl1/en/tv.action?pid=3210035901" TargetMode="External"/><Relationship Id="rId22" Type="http://schemas.openxmlformats.org/officeDocument/2006/relationships/footer" Target="footer2.xml"/><Relationship Id="rId27" Type="http://schemas.openxmlformats.org/officeDocument/2006/relationships/chart" Target="charts/chart1.xml"/><Relationship Id="rId30" Type="http://schemas.openxmlformats.org/officeDocument/2006/relationships/hyperlink" Target="https://fdc.nal.usda.gov/fdc-app.html" TargetMode="External"/><Relationship Id="rId35" Type="http://schemas.openxmlformats.org/officeDocument/2006/relationships/hyperlink" Target="https://doi.org/10.1016/J.ECOSER.2012.07.005" TargetMode="External"/><Relationship Id="rId43" Type="http://schemas.openxmlformats.org/officeDocument/2006/relationships/hyperlink" Target="https://doi.org/10.1016/j.agsy.2016.03.006" TargetMode="External"/><Relationship Id="rId48" Type="http://schemas.openxmlformats.org/officeDocument/2006/relationships/hyperlink" Target="https://doi.org/10.21894/jopr.2022.0036" TargetMode="External"/><Relationship Id="rId8" Type="http://schemas.openxmlformats.org/officeDocument/2006/relationships/hyperlink" Target="https://www.openlca.org/" TargetMode="External"/><Relationship Id="rId51" Type="http://schemas.openxmlformats.org/officeDocument/2006/relationships/hyperlink" Target="https://www150.statcan.gc.ca/t1/tbl1/en/tv.action?pid=3210035901" TargetMode="External"/><Relationship Id="rId3" Type="http://schemas.openxmlformats.org/officeDocument/2006/relationships/styles" Target="styles.xml"/><Relationship Id="rId12" Type="http://schemas.openxmlformats.org/officeDocument/2006/relationships/hyperlink" Target="https://www150.statcan.gc.ca/t1/tbl1/en/tv.action?pid=3210035201" TargetMode="External"/><Relationship Id="rId17" Type="http://schemas.openxmlformats.org/officeDocument/2006/relationships/hyperlink" Target="https://www.globio.info/globioweb" TargetMode="External"/><Relationship Id="rId25" Type="http://schemas.openxmlformats.org/officeDocument/2006/relationships/hyperlink" Target="https://data.worldbank.org/indicator/NY.GDP.DEFL.ZS?end=2021&amp;start=2012" TargetMode="External"/><Relationship Id="rId33" Type="http://schemas.openxmlformats.org/officeDocument/2006/relationships/hyperlink" Target="https://doi.org/10.1177/0148607115595980" TargetMode="External"/><Relationship Id="rId38" Type="http://schemas.openxmlformats.org/officeDocument/2006/relationships/hyperlink" Target="https://gfi.org/marketresearch/" TargetMode="External"/><Relationship Id="rId46" Type="http://schemas.openxmlformats.org/officeDocument/2006/relationships/hyperlink" Target="https://doi.org/10.2137/145960606780061443" TargetMode="External"/><Relationship Id="rId20" Type="http://schemas.openxmlformats.org/officeDocument/2006/relationships/header" Target="header2.xml"/><Relationship Id="rId41" Type="http://schemas.openxmlformats.org/officeDocument/2006/relationships/hyperlink" Target="https://www.consumerreports.org/healthy-eating/do-seed-oils-make-you-sick-a1363483895/"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anolacouncil.org/markets-stats/exports/" TargetMode="External"/><Relationship Id="rId23" Type="http://schemas.openxmlformats.org/officeDocument/2006/relationships/header" Target="header3.xml"/><Relationship Id="rId28" Type="http://schemas.openxmlformats.org/officeDocument/2006/relationships/hyperlink" Target="https://fdc.nal.usda.gov/fdc-app.html" TargetMode="External"/><Relationship Id="rId36" Type="http://schemas.openxmlformats.org/officeDocument/2006/relationships/hyperlink" Target="https://www.fao.org/faostat/en/" TargetMode="External"/><Relationship Id="rId49" Type="http://schemas.openxmlformats.org/officeDocument/2006/relationships/hyperlink" Target="https://doi.org/10.1007/s11367-009-0142-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Glucosinolate" TargetMode="External"/><Relationship Id="rId1" Type="http://schemas.openxmlformats.org/officeDocument/2006/relationships/hyperlink" Target="https://www.efsa.europa.eu/en/press/news/16110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bellonc\Dropbox%20(ASU)\PC\Documents\ASU-Job%20documents\Kaiteki%20project\Final%20comparis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'Monetization Mid-Point H_ha'!$Q$39</c:f>
              <c:strCache>
                <c:ptCount val="1"/>
                <c:pt idx="0">
                  <c:v>External cost no deforestation</c:v>
                </c:pt>
              </c:strCache>
            </c:strRef>
          </c:tx>
          <c:spPr>
            <a:solidFill>
              <a:schemeClr val="accent1"/>
            </a:solidFill>
            <a:ln>
              <a:noFill/>
            </a:ln>
            <a:effectLst/>
          </c:spPr>
          <c:invertIfNegative val="0"/>
          <c:cat>
            <c:numRef>
              <c:f>'Monetization Mid-Point H_ha'!$P$40:$P$44</c:f>
              <c:numCache>
                <c:formatCode>General</c:formatCode>
                <c:ptCount val="5"/>
                <c:pt idx="0">
                  <c:v>100</c:v>
                </c:pt>
                <c:pt idx="1">
                  <c:v>75</c:v>
                </c:pt>
                <c:pt idx="2">
                  <c:v>50</c:v>
                </c:pt>
                <c:pt idx="3">
                  <c:v>25</c:v>
                </c:pt>
                <c:pt idx="4">
                  <c:v>0</c:v>
                </c:pt>
              </c:numCache>
            </c:numRef>
          </c:cat>
          <c:val>
            <c:numRef>
              <c:f>'Monetization Mid-Point H_ha'!$Q$40:$Q$44</c:f>
              <c:numCache>
                <c:formatCode>_(* #,##0_);_(* \(#,##0\);_(* "-"??_);_(@_)</c:formatCode>
                <c:ptCount val="5"/>
                <c:pt idx="0">
                  <c:v>0</c:v>
                </c:pt>
                <c:pt idx="1">
                  <c:v>1365.1105085728532</c:v>
                </c:pt>
                <c:pt idx="2">
                  <c:v>2730.2210171457064</c:v>
                </c:pt>
                <c:pt idx="3">
                  <c:v>4095.3315257185591</c:v>
                </c:pt>
                <c:pt idx="4">
                  <c:v>5460.4420342914127</c:v>
                </c:pt>
              </c:numCache>
            </c:numRef>
          </c:val>
          <c:extLst>
            <c:ext xmlns:c16="http://schemas.microsoft.com/office/drawing/2014/chart" uri="{C3380CC4-5D6E-409C-BE32-E72D297353CC}">
              <c16:uniqueId val="{00000000-868E-4A1E-8A29-0398FB408168}"/>
            </c:ext>
          </c:extLst>
        </c:ser>
        <c:ser>
          <c:idx val="1"/>
          <c:order val="1"/>
          <c:tx>
            <c:strRef>
              <c:f>'Monetization Mid-Point H_ha'!$R$39</c:f>
              <c:strCache>
                <c:ptCount val="1"/>
                <c:pt idx="0">
                  <c:v>External cost deforestation</c:v>
                </c:pt>
              </c:strCache>
            </c:strRef>
          </c:tx>
          <c:spPr>
            <a:solidFill>
              <a:schemeClr val="accent2"/>
            </a:solidFill>
            <a:ln>
              <a:noFill/>
            </a:ln>
            <a:effectLst/>
          </c:spPr>
          <c:invertIfNegative val="0"/>
          <c:cat>
            <c:numRef>
              <c:f>'Monetization Mid-Point H_ha'!$P$40:$P$44</c:f>
              <c:numCache>
                <c:formatCode>General</c:formatCode>
                <c:ptCount val="5"/>
                <c:pt idx="0">
                  <c:v>100</c:v>
                </c:pt>
                <c:pt idx="1">
                  <c:v>75</c:v>
                </c:pt>
                <c:pt idx="2">
                  <c:v>50</c:v>
                </c:pt>
                <c:pt idx="3">
                  <c:v>25</c:v>
                </c:pt>
                <c:pt idx="4">
                  <c:v>0</c:v>
                </c:pt>
              </c:numCache>
            </c:numRef>
          </c:cat>
          <c:val>
            <c:numRef>
              <c:f>'Monetization Mid-Point H_ha'!$R$40:$R$44</c:f>
              <c:numCache>
                <c:formatCode>_(* #,##0_);_(* \(#,##0\);_(* "-"??_);_(@_)</c:formatCode>
                <c:ptCount val="5"/>
                <c:pt idx="0">
                  <c:v>22511.232159726074</c:v>
                </c:pt>
                <c:pt idx="1">
                  <c:v>16883.424119794556</c:v>
                </c:pt>
                <c:pt idx="2">
                  <c:v>11255.616079863037</c:v>
                </c:pt>
                <c:pt idx="3">
                  <c:v>5627.8080399315186</c:v>
                </c:pt>
                <c:pt idx="4">
                  <c:v>0</c:v>
                </c:pt>
              </c:numCache>
            </c:numRef>
          </c:val>
          <c:extLst>
            <c:ext xmlns:c16="http://schemas.microsoft.com/office/drawing/2014/chart" uri="{C3380CC4-5D6E-409C-BE32-E72D297353CC}">
              <c16:uniqueId val="{00000001-868E-4A1E-8A29-0398FB408168}"/>
            </c:ext>
          </c:extLst>
        </c:ser>
        <c:ser>
          <c:idx val="2"/>
          <c:order val="2"/>
          <c:tx>
            <c:strRef>
              <c:f>'Monetization Mid-Point H_ha'!$S$39</c:f>
              <c:strCache>
                <c:ptCount val="1"/>
                <c:pt idx="0">
                  <c:v>Total external costs</c:v>
                </c:pt>
              </c:strCache>
            </c:strRef>
          </c:tx>
          <c:spPr>
            <a:solidFill>
              <a:schemeClr val="accent3"/>
            </a:solidFill>
            <a:ln>
              <a:noFill/>
            </a:ln>
            <a:effectLst/>
          </c:spPr>
          <c:invertIfNegative val="0"/>
          <c:cat>
            <c:numRef>
              <c:f>'Monetization Mid-Point H_ha'!$P$40:$P$44</c:f>
              <c:numCache>
                <c:formatCode>General</c:formatCode>
                <c:ptCount val="5"/>
                <c:pt idx="0">
                  <c:v>100</c:v>
                </c:pt>
                <c:pt idx="1">
                  <c:v>75</c:v>
                </c:pt>
                <c:pt idx="2">
                  <c:v>50</c:v>
                </c:pt>
                <c:pt idx="3">
                  <c:v>25</c:v>
                </c:pt>
                <c:pt idx="4">
                  <c:v>0</c:v>
                </c:pt>
              </c:numCache>
            </c:numRef>
          </c:cat>
          <c:val>
            <c:numRef>
              <c:f>'Monetization Mid-Point H_ha'!$S$40:$S$44</c:f>
              <c:numCache>
                <c:formatCode>_(* #,##0_);_(* \(#,##0\);_(* "-"??_);_(@_)</c:formatCode>
                <c:ptCount val="5"/>
                <c:pt idx="0">
                  <c:v>22511.232159726074</c:v>
                </c:pt>
                <c:pt idx="1">
                  <c:v>18248.534628367408</c:v>
                </c:pt>
                <c:pt idx="2">
                  <c:v>13985.837097008744</c:v>
                </c:pt>
                <c:pt idx="3">
                  <c:v>9723.1395656500772</c:v>
                </c:pt>
                <c:pt idx="4">
                  <c:v>5460.4420342914127</c:v>
                </c:pt>
              </c:numCache>
            </c:numRef>
          </c:val>
          <c:extLst>
            <c:ext xmlns:c16="http://schemas.microsoft.com/office/drawing/2014/chart" uri="{C3380CC4-5D6E-409C-BE32-E72D297353CC}">
              <c16:uniqueId val="{00000002-868E-4A1E-8A29-0398FB408168}"/>
            </c:ext>
          </c:extLst>
        </c:ser>
        <c:dLbls>
          <c:showLegendKey val="0"/>
          <c:showVal val="0"/>
          <c:showCatName val="0"/>
          <c:showSerName val="0"/>
          <c:showPercent val="0"/>
          <c:showBubbleSize val="0"/>
        </c:dLbls>
        <c:gapWidth val="219"/>
        <c:overlap val="-27"/>
        <c:axId val="431549120"/>
        <c:axId val="431571168"/>
      </c:barChart>
      <c:catAx>
        <c:axId val="43154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area deforested to produce palm oil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571168"/>
        <c:crosses val="autoZero"/>
        <c:auto val="1"/>
        <c:lblAlgn val="ctr"/>
        <c:lblOffset val="100"/>
        <c:noMultiLvlLbl val="0"/>
      </c:catAx>
      <c:valAx>
        <c:axId val="43157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54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E8040-19DC-47E0-9B23-C6CD6503C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33</Pages>
  <Words>8716</Words>
  <Characters>49686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58286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Bellon Corrales</dc:creator>
  <cp:keywords/>
  <dc:description/>
  <cp:lastModifiedBy>Mauricio Bellon</cp:lastModifiedBy>
  <cp:revision>23</cp:revision>
  <cp:lastPrinted>2023-03-14T16:38:00Z</cp:lastPrinted>
  <dcterms:created xsi:type="dcterms:W3CDTF">2023-03-13T19:33:00Z</dcterms:created>
  <dcterms:modified xsi:type="dcterms:W3CDTF">2023-03-14T18:52:00Z</dcterms:modified>
</cp:coreProperties>
</file>