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666F2" w:rsidRDefault="007F5BFC" w:rsidP="001F52B4">
      <w:pPr>
        <w:spacing w:after="0" w:line="288" w:lineRule="auto"/>
        <w:jc w:val="center"/>
        <w:rPr>
          <w:b/>
        </w:rPr>
      </w:pPr>
      <w:r>
        <w:rPr>
          <w:b/>
        </w:rPr>
        <w:t>Carbon footprint of high-yielding irrigated alfalfa production in California</w:t>
      </w:r>
    </w:p>
    <w:p w14:paraId="00000002" w14:textId="77777777" w:rsidR="006666F2" w:rsidRDefault="007F5BFC" w:rsidP="001F52B4">
      <w:pPr>
        <w:spacing w:after="0" w:line="288" w:lineRule="auto"/>
        <w:jc w:val="center"/>
      </w:pPr>
      <w:r>
        <w:tab/>
        <w:t>Cameron Pittelkow and Dan Putnam, UC Davis</w:t>
      </w:r>
    </w:p>
    <w:p w14:paraId="227916CF" w14:textId="7E4F05FF" w:rsidR="00F70DB7" w:rsidRDefault="007F5BFC" w:rsidP="001F52B4">
      <w:pPr>
        <w:spacing w:after="0" w:line="288" w:lineRule="auto"/>
        <w:jc w:val="center"/>
      </w:pPr>
      <w:r>
        <w:t>Proposal for U.S. Alfalfa Farmer Research Initiative, National Alfalfa &amp; Forage Allianc</w:t>
      </w:r>
      <w:r w:rsidR="00F70DB7">
        <w:t>e</w:t>
      </w:r>
    </w:p>
    <w:p w14:paraId="00000004" w14:textId="77777777" w:rsidR="006666F2" w:rsidRDefault="007F5BFC" w:rsidP="001F52B4">
      <w:pPr>
        <w:spacing w:after="120" w:line="288" w:lineRule="auto"/>
        <w:jc w:val="center"/>
        <w:rPr>
          <w:b/>
        </w:rPr>
      </w:pPr>
      <w:r>
        <w:t xml:space="preserve"> </w:t>
      </w:r>
    </w:p>
    <w:p w14:paraId="00000005" w14:textId="77777777" w:rsidR="006666F2" w:rsidRDefault="007F5BFC" w:rsidP="001F52B4">
      <w:pPr>
        <w:spacing w:after="120" w:line="288" w:lineRule="auto"/>
        <w:rPr>
          <w:b/>
        </w:rPr>
      </w:pPr>
      <w:r>
        <w:rPr>
          <w:b/>
        </w:rPr>
        <w:t>Justification</w:t>
      </w:r>
    </w:p>
    <w:p w14:paraId="00000007" w14:textId="20CCAC6C" w:rsidR="006666F2" w:rsidRDefault="007F5BFC" w:rsidP="001F52B4">
      <w:pPr>
        <w:spacing w:after="120" w:line="288" w:lineRule="auto"/>
      </w:pPr>
      <w:r>
        <w:t xml:space="preserve">Agriculture is a major contributor to global greenhouse gas (GHG) emissions and climate change. Food systems are estimated to account for more than one-third of total GHG emissions from human activity, which includes all phases of crop and animal production, food processing and transport, and direct and indirect land use change. Across the world, governments and the private sector are developing ambitious plans to decrease the carbon footprint of crop and livestock production systems. For example, the USDA Agricultural Innovation Agenda seeks to cut the environmental footprint of US agriculture in half by 2050 while increasing production by 40%, including a net reduction in current GHG emissions.        </w:t>
      </w:r>
    </w:p>
    <w:p w14:paraId="59B57BF8" w14:textId="71D2C234" w:rsidR="00B5117F" w:rsidRDefault="007F5BFC" w:rsidP="001F52B4">
      <w:pPr>
        <w:spacing w:after="120" w:line="288" w:lineRule="auto"/>
      </w:pPr>
      <w:r>
        <w:t xml:space="preserve">Alfalfa production systems play a critical role in the economic and environmental sustainability of US agriculture. Alfalfa is the most important </w:t>
      </w:r>
      <w:r w:rsidR="006518A4">
        <w:t>high-quality</w:t>
      </w:r>
      <w:r>
        <w:t xml:space="preserve"> forage which supports the dairy and livestock sectors and generates the third or fourth highest </w:t>
      </w:r>
      <w:r w:rsidR="00F9797F">
        <w:t xml:space="preserve">direct </w:t>
      </w:r>
      <w:r>
        <w:t>farm-gate revenue after corn, soybean, and (sometimes) wheat. As a perennial legume, alfalfa also provides multiple ecosystem services related to soil quality, wildlife habitat, pest control, reduced nutrient losses, erosion protection, and lower GHG emissions</w:t>
      </w:r>
      <w:r w:rsidR="00F1159F">
        <w:t xml:space="preserve"> (</w:t>
      </w:r>
      <w:proofErr w:type="spellStart"/>
      <w:r w:rsidR="00F1159F">
        <w:t>Guyader</w:t>
      </w:r>
      <w:proofErr w:type="spellEnd"/>
      <w:r w:rsidR="00F1159F">
        <w:t xml:space="preserve"> et al, 2016)</w:t>
      </w:r>
      <w:r>
        <w:t xml:space="preserve">. However, few studies have </w:t>
      </w:r>
      <w:r w:rsidR="00B5117F">
        <w:t xml:space="preserve">directly </w:t>
      </w:r>
      <w:r>
        <w:t>quantif</w:t>
      </w:r>
      <w:r w:rsidR="008D1A50">
        <w:t>ied</w:t>
      </w:r>
      <w:r>
        <w:t xml:space="preserve"> </w:t>
      </w:r>
      <w:r w:rsidR="00B5117F">
        <w:t>the</w:t>
      </w:r>
      <w:r>
        <w:t xml:space="preserve"> carbon footprin</w:t>
      </w:r>
      <w:r w:rsidR="00F1159F">
        <w:t>t</w:t>
      </w:r>
      <w:r w:rsidR="00B5117F">
        <w:t xml:space="preserve"> of alfalfa production</w:t>
      </w:r>
      <w:r w:rsidR="00F1159F">
        <w:t>. The scope of prior work has</w:t>
      </w:r>
      <w:r w:rsidR="00B5117F">
        <w:t xml:space="preserve"> often</w:t>
      </w:r>
      <w:r w:rsidR="00F1159F">
        <w:t xml:space="preserve"> included </w:t>
      </w:r>
      <w:r w:rsidR="00B5117F">
        <w:t xml:space="preserve">an analysis of </w:t>
      </w:r>
      <w:r w:rsidR="00F1159F">
        <w:t xml:space="preserve">many feed components for dairy or meat production over large regions </w:t>
      </w:r>
      <w:r>
        <w:t>(</w:t>
      </w:r>
      <w:proofErr w:type="spellStart"/>
      <w:r w:rsidR="00F9797F">
        <w:t>Thoma</w:t>
      </w:r>
      <w:proofErr w:type="spellEnd"/>
      <w:r w:rsidR="00F9797F">
        <w:t xml:space="preserve"> et al, 2013; </w:t>
      </w:r>
      <w:proofErr w:type="spellStart"/>
      <w:r w:rsidR="00F9797F">
        <w:t>Adom</w:t>
      </w:r>
      <w:proofErr w:type="spellEnd"/>
      <w:r w:rsidR="00F9797F">
        <w:t xml:space="preserve"> et al, 2012; </w:t>
      </w:r>
      <w:proofErr w:type="spellStart"/>
      <w:r w:rsidR="00F9797F">
        <w:t>Eshel</w:t>
      </w:r>
      <w:proofErr w:type="spellEnd"/>
      <w:r w:rsidR="00F9797F">
        <w:t xml:space="preserve"> et al, 2014; Hawkins et al, 2015; </w:t>
      </w:r>
      <w:proofErr w:type="spellStart"/>
      <w:r w:rsidR="00F9797F">
        <w:t>Veltman</w:t>
      </w:r>
      <w:proofErr w:type="spellEnd"/>
      <w:r w:rsidR="00F9797F">
        <w:t xml:space="preserve"> et al, 2018</w:t>
      </w:r>
      <w:r>
        <w:t>)</w:t>
      </w:r>
      <w:r w:rsidR="00F1159F">
        <w:t xml:space="preserve">, limiting the ability </w:t>
      </w:r>
      <w:r w:rsidR="00F1159F" w:rsidRPr="00F1159F">
        <w:t xml:space="preserve">transfer research findings </w:t>
      </w:r>
      <w:r w:rsidR="00F1159F">
        <w:t>into practical</w:t>
      </w:r>
      <w:r w:rsidR="00F1159F" w:rsidRPr="00F1159F">
        <w:t xml:space="preserve"> use on livestock or forage operations</w:t>
      </w:r>
      <w:r>
        <w:t xml:space="preserve">. </w:t>
      </w:r>
    </w:p>
    <w:p w14:paraId="00000009" w14:textId="5A12C8EA" w:rsidR="006666F2" w:rsidRDefault="007F5BFC" w:rsidP="001F52B4">
      <w:pPr>
        <w:spacing w:after="120" w:line="288" w:lineRule="auto"/>
      </w:pPr>
      <w:r>
        <w:t xml:space="preserve">To help meet new climate-smart agriculture goals for the US, there is an urgent need to understand the </w:t>
      </w:r>
      <w:r w:rsidR="008D1A50">
        <w:t xml:space="preserve">management </w:t>
      </w:r>
      <w:r>
        <w:t>factors</w:t>
      </w:r>
      <w:r w:rsidR="00F1159F">
        <w:t xml:space="preserve"> </w:t>
      </w:r>
      <w:r>
        <w:t xml:space="preserve">contributing to GHG emissions from alfalfa production and how soil carbon storage may offset these emissions. </w:t>
      </w:r>
      <w:r w:rsidR="00B5117F">
        <w:t>Alfalfa has the potential to provide key climate benefits compared to other forage or row crops due to differences in carbon and nitrogen (N) cycling</w:t>
      </w:r>
      <w:r w:rsidR="00880BAA">
        <w:t xml:space="preserve"> (Little et al, 2017)</w:t>
      </w:r>
      <w:r w:rsidR="00B5117F">
        <w:t xml:space="preserve">. </w:t>
      </w:r>
      <w:r>
        <w:t xml:space="preserve">In the long-term, identifying alfalfa’s comparative advantages could help increase revenue for growers through on-farm payments for GHG mitigation, supporting the financial viability of perennial forages which provide important ecosystem services that are currently not valued in livestock value chains. </w:t>
      </w:r>
    </w:p>
    <w:p w14:paraId="0000000B" w14:textId="5500EEA6" w:rsidR="006666F2" w:rsidRDefault="007632F0" w:rsidP="001F52B4">
      <w:pPr>
        <w:spacing w:after="120" w:line="288" w:lineRule="auto"/>
      </w:pPr>
      <w:r>
        <w:t>Alfalfa</w:t>
      </w:r>
      <w:r w:rsidR="007F5BFC">
        <w:t xml:space="preserve"> has</w:t>
      </w:r>
      <w:r w:rsidR="00B5117F">
        <w:t xml:space="preserve"> been shown to have</w:t>
      </w:r>
      <w:r>
        <w:t xml:space="preserve"> </w:t>
      </w:r>
      <w:r w:rsidR="007F5BFC">
        <w:t xml:space="preserve">a lower carbon footprint than grain, silage, or oilseed crops because it greatly reduces nitrogen (N) fertilizer inputs (Camargo et al, 2013). Addition of N fertilizer represents the single greatest contributor to GHG emissions in crop production, reaching up to 64% in maize systems (Kim et al, 2014). Thus, </w:t>
      </w:r>
      <w:r>
        <w:t>decreasing fertilizer use</w:t>
      </w:r>
      <w:r w:rsidR="00880BAA">
        <w:t xml:space="preserve"> not only for </w:t>
      </w:r>
      <w:r>
        <w:t xml:space="preserve">alfalfa but </w:t>
      </w:r>
      <w:r w:rsidR="00880BAA">
        <w:t xml:space="preserve">also the </w:t>
      </w:r>
      <w:r>
        <w:t xml:space="preserve">N requirements for subsequent crops could </w:t>
      </w:r>
      <w:r w:rsidR="00B5117F">
        <w:t>further reduce GHG emissions</w:t>
      </w:r>
      <w:r w:rsidR="007F5BFC">
        <w:t xml:space="preserve">, but this </w:t>
      </w:r>
      <w:r w:rsidR="00880BAA">
        <w:t xml:space="preserve">benefit </w:t>
      </w:r>
      <w:r w:rsidR="007F5BFC">
        <w:t>is often overlooked in previous studies (</w:t>
      </w:r>
      <w:r w:rsidR="00880BAA">
        <w:t>Costa et al, 2020</w:t>
      </w:r>
      <w:r w:rsidR="007F5BFC">
        <w:t>). Another advantage is the combination of reduced tillage and deep rooting systems providing high carbon inputs throughout the year, which can significantly increase soil carbon stocks (Liu et al, 2016). Unlike frequently-planted annuals, alfalfa is likely to build carbon and N reserves over time</w:t>
      </w:r>
      <w:r>
        <w:t xml:space="preserve"> (Putnam, 2016),</w:t>
      </w:r>
      <w:r w:rsidR="007F5BFC">
        <w:t xml:space="preserve"> yet prior work has not always considered this mitigation potential. Hence, </w:t>
      </w:r>
      <w:r w:rsidR="007F5BFC">
        <w:lastRenderedPageBreak/>
        <w:t>new research is required to account for these systems-level effects in a holistic analysis. The net impact of different GHG sources including fuel and energy use, external inputs, and soil nitrous oxide (N</w:t>
      </w:r>
      <w:r w:rsidR="007F5BFC" w:rsidRPr="00780976">
        <w:rPr>
          <w:vertAlign w:val="subscript"/>
        </w:rPr>
        <w:t>2</w:t>
      </w:r>
      <w:r w:rsidR="007F5BFC">
        <w:t xml:space="preserve">O) emissions can be determined using lifecycle analysis (LCA), an increasingly common tool to quantify agricultural sustainability.    </w:t>
      </w:r>
    </w:p>
    <w:p w14:paraId="0000000D" w14:textId="3DA5AB52" w:rsidR="006666F2" w:rsidRDefault="007F5BFC" w:rsidP="001F52B4">
      <w:pPr>
        <w:spacing w:after="120" w:line="288" w:lineRule="auto"/>
      </w:pPr>
      <w:r>
        <w:t>New programs are emerging to financially support farmers for sequestering carbon or avoiding GHG emissions, but these require a foundation of science-based evidence for different cropping systems in different regions. There is a current USDA-funded project to conduct an LCA for primarily rainfed alfalfa production in the US Midwest. However, we are not aware of any work investigating these issues for irrigated systems in the Western US</w:t>
      </w:r>
      <w:r w:rsidR="00880BAA">
        <w:t>, despite</w:t>
      </w:r>
      <w:r w:rsidR="00880BAA" w:rsidRPr="00880BAA">
        <w:t xml:space="preserve"> </w:t>
      </w:r>
      <w:r w:rsidR="00880BAA">
        <w:t>irrigated alfalfa accounting for roughly half of total US production</w:t>
      </w:r>
      <w:r>
        <w:t xml:space="preserve">. Irrigation </w:t>
      </w:r>
      <w:r w:rsidR="00880BAA">
        <w:t xml:space="preserve">has </w:t>
      </w:r>
      <w:r>
        <w:t>strong impacts on carbon footprint because it influences both energy use and crop productivity. For instance, irrigation energy accounted for approximately 42% of total GHG emissions for corn in Nebraska (Grassini and Cassman, 2012). This percentage is likely to differ depending upon whether the irrigation system is pressurized (as in Nebraska) vs. gravity-fed (as in many western systems). Additionally, due to the large yield increases achieved with irrigation, a key question is whether the increased productivity is worth the additional GHG emissions. A recent study for alfalfa in Italy reported net benefits of irrigation, with yields increasing to a greater degree than energy use (</w:t>
      </w:r>
      <w:proofErr w:type="spellStart"/>
      <w:r>
        <w:t>Bacenetti</w:t>
      </w:r>
      <w:proofErr w:type="spellEnd"/>
      <w:r>
        <w:t xml:space="preserve"> et al, 2018). In contrast, irrigation combined with fertilization resulted in higher GHG emissions in an arid region of China, representing a tradeoff with yield (Wang et al, 2021).    </w:t>
      </w:r>
    </w:p>
    <w:p w14:paraId="0000000F" w14:textId="2A44EF72" w:rsidR="006666F2" w:rsidRDefault="007F5BFC" w:rsidP="001F52B4">
      <w:pPr>
        <w:spacing w:after="120" w:line="288" w:lineRule="auto"/>
      </w:pPr>
      <w:r>
        <w:t xml:space="preserve">California consistently ranks among the top states in total forage and total alfalfa production. Alfalfa acreage is almost entirely irrigated, producing among the highest US yields due to favorable soils, climate, management, and genetics. The $7 billion dairy industry is highly dependent upon alfalfa production in the state. However, variation in rainfall and increasing frequency of drought are limiting water availability, causing a decline in alfalfa acreage throughout much of the Western U.S. Meanwhile, production costs for land, labor, and inputs continue to increase, putting pressure on growers to maximize economic returns to available irrigation water. Considering these constraints to on-farm profitability, one opportunity for increasing revenue is to quantify the ecosystem services alfalfa provides and link these to new market opportunities. </w:t>
      </w:r>
    </w:p>
    <w:p w14:paraId="00000011" w14:textId="2D9CF005" w:rsidR="006666F2" w:rsidRDefault="007F5BFC" w:rsidP="001F52B4">
      <w:pPr>
        <w:spacing w:after="120" w:line="288" w:lineRule="auto"/>
      </w:pPr>
      <w:r>
        <w:t xml:space="preserve">California represents the </w:t>
      </w:r>
      <w:r w:rsidR="001F52B4">
        <w:t>best-case</w:t>
      </w:r>
      <w:r>
        <w:t xml:space="preserve"> study for this example because of its strong state-based efforts to decrease GHG emissions</w:t>
      </w:r>
      <w:r w:rsidR="007632F0">
        <w:t xml:space="preserve"> from agriculture and other sectors</w:t>
      </w:r>
      <w:r>
        <w:t>. Under the Healthy Soils Program, California growers can receive an incentive of $100-400 per acre to convert annual cropland to an irrigated forage such as alfalfa to achieve the goal of reducing GHG emissions and increasing soil carbon. Recently, USDA has invested $1 billion to jumpstart the development of markets for climate-smart commodities at the national level, indicating that such programs could be expanded to other regions. Importantly,</w:t>
      </w:r>
      <w:r w:rsidR="007632F0">
        <w:t xml:space="preserve"> alfalfa’s</w:t>
      </w:r>
      <w:r>
        <w:t xml:space="preserve"> potential for soil carbon </w:t>
      </w:r>
      <w:r w:rsidR="007632F0">
        <w:t>storage</w:t>
      </w:r>
      <w:r>
        <w:t xml:space="preserve"> is estimated to be 2-3 times higher than no-till or cover crops, two of the main regenerative agriculture practices </w:t>
      </w:r>
      <w:r w:rsidR="007632F0">
        <w:t>to participate in</w:t>
      </w:r>
      <w:r>
        <w:t xml:space="preserve"> carbon markets </w:t>
      </w:r>
      <w:r w:rsidR="007632F0">
        <w:t>for</w:t>
      </w:r>
      <w:r>
        <w:t xml:space="preserve"> commodity grain crops.    </w:t>
      </w:r>
    </w:p>
    <w:p w14:paraId="00000012" w14:textId="77777777" w:rsidR="006666F2" w:rsidRDefault="007F5BFC" w:rsidP="001F52B4">
      <w:pPr>
        <w:spacing w:after="120" w:line="288" w:lineRule="auto"/>
        <w:rPr>
          <w:b/>
        </w:rPr>
      </w:pPr>
      <w:r>
        <w:rPr>
          <w:b/>
        </w:rPr>
        <w:t>Objectives</w:t>
      </w:r>
    </w:p>
    <w:p w14:paraId="6485ACB6" w14:textId="4C656126" w:rsidR="007632F0" w:rsidRDefault="004F246A" w:rsidP="001F52B4">
      <w:pPr>
        <w:pBdr>
          <w:top w:val="nil"/>
          <w:left w:val="nil"/>
          <w:bottom w:val="nil"/>
          <w:right w:val="nil"/>
          <w:between w:val="nil"/>
        </w:pBdr>
        <w:spacing w:after="120" w:line="288" w:lineRule="auto"/>
        <w:rPr>
          <w:color w:val="000000"/>
        </w:rPr>
      </w:pPr>
      <w:r>
        <w:rPr>
          <w:color w:val="000000"/>
        </w:rPr>
        <w:t xml:space="preserve">This project will conduct an LCA of high-yielding irrigated alfalfa production in California </w:t>
      </w:r>
      <w:r w:rsidR="00FD6F09">
        <w:rPr>
          <w:color w:val="000000"/>
        </w:rPr>
        <w:t>based on</w:t>
      </w:r>
      <w:r>
        <w:rPr>
          <w:color w:val="000000"/>
        </w:rPr>
        <w:t xml:space="preserve"> </w:t>
      </w:r>
      <w:r w:rsidR="007632F0">
        <w:rPr>
          <w:color w:val="000000"/>
        </w:rPr>
        <w:t>representative management practices</w:t>
      </w:r>
      <w:r>
        <w:rPr>
          <w:color w:val="000000"/>
        </w:rPr>
        <w:t>. Different sources of GHG emissions will include</w:t>
      </w:r>
      <w:r w:rsidR="007632F0" w:rsidRPr="007632F0">
        <w:rPr>
          <w:color w:val="000000"/>
        </w:rPr>
        <w:t xml:space="preserve"> energy use for fuel and irrigation, embodied emissions in agrochemicals, importance of biological N</w:t>
      </w:r>
      <w:r w:rsidR="007632F0" w:rsidRPr="00780976">
        <w:rPr>
          <w:color w:val="000000"/>
          <w:vertAlign w:val="subscript"/>
        </w:rPr>
        <w:t>2</w:t>
      </w:r>
      <w:r w:rsidR="007632F0" w:rsidRPr="007632F0">
        <w:rPr>
          <w:color w:val="000000"/>
        </w:rPr>
        <w:t xml:space="preserve"> fixation, estimates of soil N</w:t>
      </w:r>
      <w:r w:rsidR="007632F0" w:rsidRPr="00780976">
        <w:rPr>
          <w:color w:val="000000"/>
          <w:vertAlign w:val="subscript"/>
        </w:rPr>
        <w:t>2</w:t>
      </w:r>
      <w:r w:rsidR="007632F0" w:rsidRPr="007632F0">
        <w:rPr>
          <w:color w:val="000000"/>
        </w:rPr>
        <w:t>O emissions and soil carbon storage, and reduced N fertilizer requirements for the subsequent crop.</w:t>
      </w:r>
      <w:r>
        <w:rPr>
          <w:color w:val="000000"/>
        </w:rPr>
        <w:t xml:space="preserve"> </w:t>
      </w:r>
      <w:r w:rsidR="00FD6F09">
        <w:rPr>
          <w:color w:val="000000"/>
        </w:rPr>
        <w:t>Project a</w:t>
      </w:r>
      <w:r>
        <w:rPr>
          <w:color w:val="000000"/>
        </w:rPr>
        <w:t>ctivities will address the following objectives:</w:t>
      </w:r>
    </w:p>
    <w:p w14:paraId="00000015" w14:textId="3A014DDE" w:rsidR="006666F2" w:rsidRDefault="007F5BFC" w:rsidP="001F52B4">
      <w:pPr>
        <w:pStyle w:val="ListParagraph"/>
        <w:numPr>
          <w:ilvl w:val="0"/>
          <w:numId w:val="4"/>
        </w:numPr>
        <w:pBdr>
          <w:top w:val="nil"/>
          <w:left w:val="nil"/>
          <w:bottom w:val="nil"/>
          <w:right w:val="nil"/>
          <w:between w:val="nil"/>
        </w:pBdr>
        <w:spacing w:after="120" w:line="288" w:lineRule="auto"/>
      </w:pPr>
      <w:r w:rsidRPr="001F52B4">
        <w:rPr>
          <w:color w:val="000000"/>
        </w:rPr>
        <w:t>Quantify</w:t>
      </w:r>
      <w:r>
        <w:t xml:space="preserve"> the carbon</w:t>
      </w:r>
      <w:r w:rsidRPr="001F52B4">
        <w:rPr>
          <w:color w:val="000000"/>
        </w:rPr>
        <w:t xml:space="preserve"> footprint o</w:t>
      </w:r>
      <w:r>
        <w:t>f alfalfa production for three main growing regions in California (Intermountain, Central Valley,</w:t>
      </w:r>
      <w:r w:rsidR="006518A4">
        <w:t xml:space="preserve"> and Low Desert). These represent a 3-4 cut system, 5-9 cut system, and 8-12 cut system with distinct varieties</w:t>
      </w:r>
      <w:r w:rsidR="00895482">
        <w:t>, management practices,</w:t>
      </w:r>
      <w:r w:rsidR="006518A4">
        <w:t xml:space="preserve"> and environments relevant to the much larger regions of Intermountain West and Southwestern US.</w:t>
      </w:r>
    </w:p>
    <w:p w14:paraId="00000016" w14:textId="638E0512" w:rsidR="006666F2" w:rsidRDefault="007F5BFC" w:rsidP="001F52B4">
      <w:pPr>
        <w:pStyle w:val="ListParagraph"/>
        <w:numPr>
          <w:ilvl w:val="0"/>
          <w:numId w:val="4"/>
        </w:numPr>
        <w:pBdr>
          <w:top w:val="nil"/>
          <w:left w:val="nil"/>
          <w:bottom w:val="nil"/>
          <w:right w:val="nil"/>
          <w:between w:val="nil"/>
        </w:pBdr>
        <w:spacing w:after="120" w:line="288" w:lineRule="auto"/>
      </w:pPr>
      <w:r w:rsidRPr="001F52B4">
        <w:rPr>
          <w:color w:val="000000"/>
        </w:rPr>
        <w:t>Identify the major drivers of</w:t>
      </w:r>
      <w:r>
        <w:t xml:space="preserve"> GHG emissions and construct </w:t>
      </w:r>
      <w:r w:rsidRPr="001F52B4">
        <w:rPr>
          <w:color w:val="000000"/>
        </w:rPr>
        <w:t xml:space="preserve">mitigation </w:t>
      </w:r>
      <w:r>
        <w:t xml:space="preserve">scenarios to explore </w:t>
      </w:r>
      <w:r w:rsidRPr="001F52B4">
        <w:rPr>
          <w:color w:val="000000"/>
        </w:rPr>
        <w:t>opportunities for further decreasing carb</w:t>
      </w:r>
      <w:r>
        <w:t>on footprint without</w:t>
      </w:r>
      <w:r w:rsidR="00FD6F09">
        <w:t xml:space="preserve"> lowering</w:t>
      </w:r>
      <w:r>
        <w:t xml:space="preserve"> crop productivity</w:t>
      </w:r>
      <w:r w:rsidR="006518A4">
        <w:t xml:space="preserve">. This could include </w:t>
      </w:r>
      <w:r>
        <w:t>reducing fuel use, increasing irrigation efficien</w:t>
      </w:r>
      <w:r w:rsidR="006518A4">
        <w:t xml:space="preserve">cy, changing cutting systems or varieties, </w:t>
      </w:r>
      <w:r>
        <w:t>or applying</w:t>
      </w:r>
      <w:r w:rsidR="00895482">
        <w:t xml:space="preserve"> soil</w:t>
      </w:r>
      <w:r>
        <w:t xml:space="preserve"> amendments to build soil carbon. Scenarios will leverage results from previous and ongoing field research in California, emphasizing changes in management with the biggest impact.      </w:t>
      </w:r>
    </w:p>
    <w:p w14:paraId="00000017" w14:textId="40B2AE70" w:rsidR="006666F2" w:rsidRDefault="007F5BFC" w:rsidP="001F52B4">
      <w:pPr>
        <w:pStyle w:val="ListParagraph"/>
        <w:numPr>
          <w:ilvl w:val="0"/>
          <w:numId w:val="4"/>
        </w:numPr>
        <w:pBdr>
          <w:top w:val="nil"/>
          <w:left w:val="nil"/>
          <w:bottom w:val="nil"/>
          <w:right w:val="nil"/>
          <w:between w:val="nil"/>
        </w:pBdr>
        <w:spacing w:after="120" w:line="288" w:lineRule="auto"/>
      </w:pPr>
      <w:r>
        <w:t>Perform e</w:t>
      </w:r>
      <w:r w:rsidRPr="001F52B4">
        <w:rPr>
          <w:color w:val="000000"/>
        </w:rPr>
        <w:t>xtension and outreach</w:t>
      </w:r>
      <w:r>
        <w:t xml:space="preserve"> with alfalfa growers and industry to raise awareness about management practices influencing GHG emissions</w:t>
      </w:r>
      <w:r w:rsidR="00895482">
        <w:t xml:space="preserve"> in California</w:t>
      </w:r>
      <w:r>
        <w:t>, and explore the feasibility of participating in ecosystem service markets due to</w:t>
      </w:r>
      <w:r w:rsidR="00895482">
        <w:t xml:space="preserve"> the</w:t>
      </w:r>
      <w:r>
        <w:t xml:space="preserve"> anticipated low carbon footprint. </w:t>
      </w:r>
      <w:r w:rsidRPr="001F52B4">
        <w:rPr>
          <w:color w:val="000000"/>
        </w:rPr>
        <w:t xml:space="preserve"> </w:t>
      </w:r>
    </w:p>
    <w:p w14:paraId="00000019" w14:textId="77777777" w:rsidR="006666F2" w:rsidRDefault="007F5BFC" w:rsidP="001F52B4">
      <w:pPr>
        <w:spacing w:after="120" w:line="288" w:lineRule="auto"/>
      </w:pPr>
      <w:r>
        <w:rPr>
          <w:b/>
        </w:rPr>
        <w:t>Methodology</w:t>
      </w:r>
    </w:p>
    <w:p w14:paraId="0000001B" w14:textId="33E55122" w:rsidR="006666F2" w:rsidRDefault="007F5BFC" w:rsidP="001F52B4">
      <w:pPr>
        <w:spacing w:after="120" w:line="288" w:lineRule="auto"/>
      </w:pPr>
      <w:r>
        <w:t xml:space="preserve">This project will follow recommended international guidelines for implementing LCA in agricultural systems. Guiding frameworks will include the scientific </w:t>
      </w:r>
      <w:r w:rsidR="00895482">
        <w:t>approach</w:t>
      </w:r>
      <w:r>
        <w:t xml:space="preserve"> developed </w:t>
      </w:r>
      <w:r w:rsidR="00895482">
        <w:t>for</w:t>
      </w:r>
      <w:r>
        <w:t xml:space="preserve"> LCA 14044 series standards (</w:t>
      </w:r>
      <w:hyperlink r:id="rId8" w:history="1">
        <w:r w:rsidRPr="004F246A">
          <w:rPr>
            <w:rStyle w:val="Hyperlink"/>
          </w:rPr>
          <w:t>2006</w:t>
        </w:r>
      </w:hyperlink>
      <w:r>
        <w:t>) and UN FAO LEAP (</w:t>
      </w:r>
      <w:hyperlink r:id="rId9" w:history="1">
        <w:r w:rsidRPr="004F246A">
          <w:rPr>
            <w:rStyle w:val="Hyperlink"/>
          </w:rPr>
          <w:t>2017</w:t>
        </w:r>
      </w:hyperlink>
      <w:r>
        <w:t xml:space="preserve">) livestock feed methodology. A key strength of our proposal is that Dr. Joel </w:t>
      </w:r>
      <w:proofErr w:type="spellStart"/>
      <w:r>
        <w:t>Talliksen</w:t>
      </w:r>
      <w:proofErr w:type="spellEnd"/>
      <w:r>
        <w:t xml:space="preserve"> from the University of Minnesota will serve as an advisor in developing our LCA framework and sharing methodologies from his current project in the US Midwest (see </w:t>
      </w:r>
      <w:r w:rsidR="00895482">
        <w:t>l</w:t>
      </w:r>
      <w:r>
        <w:t xml:space="preserve">etter of support for details). This standardization will allow for better comparison of findings </w:t>
      </w:r>
      <w:r w:rsidR="00895482">
        <w:t xml:space="preserve">across studies, </w:t>
      </w:r>
      <w:r>
        <w:t xml:space="preserve">and lay the foundation for a national LCA effort using consistent criteria for different regions. The scope of our project is </w:t>
      </w:r>
      <w:r w:rsidR="00895482">
        <w:t xml:space="preserve">irrigated </w:t>
      </w:r>
      <w:r>
        <w:t xml:space="preserve">alfalfa in California, but this framework can be readily extended to other regions through </w:t>
      </w:r>
      <w:r w:rsidR="00895482">
        <w:t xml:space="preserve">future research and </w:t>
      </w:r>
      <w:r>
        <w:t>NAFA partnerships.</w:t>
      </w:r>
    </w:p>
    <w:p w14:paraId="695E308F" w14:textId="37346000" w:rsidR="00895482" w:rsidRDefault="007F5BFC" w:rsidP="001F52B4">
      <w:pPr>
        <w:spacing w:after="120" w:line="288" w:lineRule="auto"/>
      </w:pPr>
      <w:r>
        <w:t>In nearly all</w:t>
      </w:r>
      <w:r w:rsidR="00895482">
        <w:t xml:space="preserve"> states</w:t>
      </w:r>
      <w:r>
        <w:t xml:space="preserve"> where it is grown, alfalfa is rotated with other crops (corn, wheat, cotton, specialty crops</w:t>
      </w:r>
      <w:r w:rsidR="00895482">
        <w:t>, etc.</w:t>
      </w:r>
      <w:r>
        <w:t xml:space="preserve">). </w:t>
      </w:r>
      <w:r w:rsidR="00895482">
        <w:t>In our study</w:t>
      </w:r>
      <w:r>
        <w:t xml:space="preserve">, a 4- or 5-year alfalfa crop followed by a single year of a rotation crop will be chosen as the model system, after consultation with growers in the three different regions. This way, the carbon and N benefits of alfalfa </w:t>
      </w:r>
      <w:r w:rsidR="00895482">
        <w:t xml:space="preserve">for the full ‘system’ </w:t>
      </w:r>
      <w:r>
        <w:t>can be compared</w:t>
      </w:r>
      <w:r w:rsidR="00895482">
        <w:t xml:space="preserve"> </w:t>
      </w:r>
      <w:r>
        <w:t>over multiple decades under various climate scenarios, including</w:t>
      </w:r>
      <w:r w:rsidR="00895482">
        <w:t xml:space="preserve"> impacts on the </w:t>
      </w:r>
      <w:r>
        <w:t>subsequent rotation crop.</w:t>
      </w:r>
      <w:r w:rsidR="00895482">
        <w:t xml:space="preserve"> </w:t>
      </w:r>
      <w:r>
        <w:t xml:space="preserve">Representative yields will be obtained from historical UC variety trial data (over 200 location years), and county and state records. </w:t>
      </w:r>
    </w:p>
    <w:p w14:paraId="0000001D" w14:textId="77E636A8" w:rsidR="006666F2" w:rsidRDefault="007F5BFC" w:rsidP="001F52B4">
      <w:pPr>
        <w:spacing w:after="120" w:line="288" w:lineRule="auto"/>
      </w:pPr>
      <w:r>
        <w:t xml:space="preserve">Data analysis and LCA modeling will be conducted with the </w:t>
      </w:r>
      <w:proofErr w:type="spellStart"/>
      <w:r>
        <w:t>OpenLCA</w:t>
      </w:r>
      <w:proofErr w:type="spellEnd"/>
      <w:r>
        <w:t xml:space="preserve"> software. </w:t>
      </w:r>
      <w:r w:rsidR="00895482">
        <w:t>M</w:t>
      </w:r>
      <w:r>
        <w:t xml:space="preserve">anagement practices for each growing region will be obtained from existing </w:t>
      </w:r>
      <w:r w:rsidR="00895482">
        <w:t xml:space="preserve">UC Davis </w:t>
      </w:r>
      <w:hyperlink r:id="rId10" w:history="1">
        <w:r w:rsidRPr="00895482">
          <w:rPr>
            <w:rStyle w:val="Hyperlink"/>
          </w:rPr>
          <w:t>Cost of Production studies</w:t>
        </w:r>
      </w:hyperlink>
      <w:r w:rsidR="00895482">
        <w:t xml:space="preserve">. </w:t>
      </w:r>
      <w:r>
        <w:t xml:space="preserve">Potential gaps in data will be filled using results from previous UC field studies or industry input to establish realistic benchmarks. Energy use for different irrigation systems will be estimated using </w:t>
      </w:r>
      <w:hyperlink r:id="rId11" w:history="1">
        <w:r w:rsidRPr="00895482">
          <w:rPr>
            <w:rStyle w:val="Hyperlink"/>
          </w:rPr>
          <w:t>USDA protocols</w:t>
        </w:r>
      </w:hyperlink>
      <w:r>
        <w:t>. Soil N</w:t>
      </w:r>
      <w:r w:rsidRPr="00780976">
        <w:rPr>
          <w:vertAlign w:val="subscript"/>
        </w:rPr>
        <w:t>2</w:t>
      </w:r>
      <w:r>
        <w:t xml:space="preserve">O emissions will be estimated using IPCC emission factors. The carryover benefits of alfalfa for reducing N fertilizer requirements of the subsequent crop (e.g. tomatoes or wheat) will be derived from previous UC field experiments. Soil carbon storage will be estimated using COMET farm, which reports aggregated results for different counties in California based on the process-based biogeochemical model </w:t>
      </w:r>
      <w:proofErr w:type="spellStart"/>
      <w:r>
        <w:t>DayCENT</w:t>
      </w:r>
      <w:proofErr w:type="spellEnd"/>
      <w:r>
        <w:t>. This quantification methodology is currently used by the California Department of Food and Agriculture’s Healthy Soils Program, which provides incentives for management practices that build soil carbon and reduce GHG emissions.</w:t>
      </w:r>
    </w:p>
    <w:p w14:paraId="00000020" w14:textId="27281428" w:rsidR="006666F2" w:rsidRDefault="007F5BFC" w:rsidP="001F52B4">
      <w:pPr>
        <w:spacing w:after="120" w:line="288" w:lineRule="auto"/>
      </w:pPr>
      <w:r>
        <w:t xml:space="preserve">Once the LCA framework has been constructed and the biggest sources of emissions identified, we will create different scenarios for further minimizing emissions. These scenarios will target management factors that constitute the biggest share of carbon footprint, such as </w:t>
      </w:r>
      <w:r w:rsidR="000F02F3">
        <w:t xml:space="preserve">irrigation </w:t>
      </w:r>
      <w:r>
        <w:t xml:space="preserve">energy use or fuel </w:t>
      </w:r>
      <w:r w:rsidR="000F02F3">
        <w:t>consumption</w:t>
      </w:r>
      <w:r>
        <w:t xml:space="preserve"> for harvesting, etc. We will also conduct a sensitivity analysis to test the robustness of results based on different assumptions required for LCA modeling.  </w:t>
      </w:r>
    </w:p>
    <w:p w14:paraId="00000022" w14:textId="4C71325D" w:rsidR="006666F2" w:rsidRDefault="007F5BFC" w:rsidP="001F52B4">
      <w:pPr>
        <w:spacing w:after="120" w:line="288" w:lineRule="auto"/>
      </w:pPr>
      <w:r>
        <w:t xml:space="preserve">This project has strong industry support from the California Alfalfa &amp; Forage Association, a NAFA member (see attached letter). Results from the LCA, when near completion, will be offered to representative farmers for review and ground-truthing in terms of the impacts of </w:t>
      </w:r>
      <w:r w:rsidR="000F02F3">
        <w:t xml:space="preserve">different </w:t>
      </w:r>
      <w:r>
        <w:t xml:space="preserve">common practices. Our findings will </w:t>
      </w:r>
      <w:r w:rsidR="000F02F3">
        <w:t xml:space="preserve">be </w:t>
      </w:r>
      <w:r>
        <w:t xml:space="preserve">shared with the farming community at regularly occurring UC Davis field days and extension events, the Western Alfalfa &amp; Forage Symposium, our </w:t>
      </w:r>
      <w:hyperlink r:id="rId12" w:history="1">
        <w:r w:rsidRPr="000F02F3">
          <w:rPr>
            <w:rStyle w:val="Hyperlink"/>
          </w:rPr>
          <w:t>Alfalfa Website</w:t>
        </w:r>
      </w:hyperlink>
      <w:r w:rsidR="000F02F3">
        <w:t xml:space="preserve">, </w:t>
      </w:r>
      <w:r>
        <w:t xml:space="preserve">and through the Alfalfa &amp; Forage </w:t>
      </w:r>
      <w:hyperlink r:id="rId13" w:history="1">
        <w:r w:rsidRPr="000F02F3">
          <w:rPr>
            <w:rStyle w:val="Hyperlink"/>
          </w:rPr>
          <w:t>News Blog</w:t>
        </w:r>
      </w:hyperlink>
      <w:r>
        <w:t xml:space="preserve">. Results will also be published in peer-reviewed journals.     </w:t>
      </w:r>
    </w:p>
    <w:p w14:paraId="00000023" w14:textId="77777777" w:rsidR="006666F2" w:rsidRDefault="007F5BFC" w:rsidP="001F52B4">
      <w:pPr>
        <w:spacing w:after="120" w:line="288" w:lineRule="auto"/>
        <w:rPr>
          <w:b/>
        </w:rPr>
      </w:pPr>
      <w:r>
        <w:rPr>
          <w:b/>
        </w:rPr>
        <w:t>USAFRI Research Priority addressed</w:t>
      </w:r>
    </w:p>
    <w:p w14:paraId="00000024" w14:textId="7E5DD072" w:rsidR="006666F2" w:rsidRDefault="007F5BFC" w:rsidP="001F52B4">
      <w:pPr>
        <w:spacing w:after="120" w:line="288" w:lineRule="auto"/>
      </w:pPr>
      <w:r>
        <w:t xml:space="preserve">The priority </w:t>
      </w:r>
      <w:r w:rsidR="000F02F3">
        <w:t xml:space="preserve">addressed in </w:t>
      </w:r>
      <w:r>
        <w:t xml:space="preserve">this proposal is </w:t>
      </w:r>
      <w:r>
        <w:rPr>
          <w:u w:val="single"/>
        </w:rPr>
        <w:t>New Uses and Market Development</w:t>
      </w:r>
      <w:r>
        <w:t>.</w:t>
      </w:r>
      <w:r w:rsidR="000F02F3">
        <w:t xml:space="preserve"> Throughout the country, there is rapid growth in </w:t>
      </w:r>
      <w:r>
        <w:t xml:space="preserve">programs </w:t>
      </w:r>
      <w:r w:rsidR="000F02F3">
        <w:t xml:space="preserve">from the </w:t>
      </w:r>
      <w:r>
        <w:t xml:space="preserve">government and private sector </w:t>
      </w:r>
      <w:r w:rsidR="000F02F3">
        <w:t xml:space="preserve">which </w:t>
      </w:r>
      <w:r>
        <w:t>provid</w:t>
      </w:r>
      <w:r w:rsidR="000F02F3">
        <w:t>e</w:t>
      </w:r>
      <w:r>
        <w:t xml:space="preserve"> economic incentives for reducing GHG emissions from commodity crop and livestock production. While alfalfa currently provides soil, water, and climate benefits, these sustainability advantages are </w:t>
      </w:r>
      <w:r w:rsidR="000F02F3">
        <w:t xml:space="preserve">generally </w:t>
      </w:r>
      <w:r>
        <w:t xml:space="preserve">not recognized or accounted for in the current marketplace. Quantifying the carbon footprint (whether positive or negative) of alfalfa through rigorous research is an important step in developing links with </w:t>
      </w:r>
      <w:r w:rsidR="000F02F3">
        <w:t xml:space="preserve">different </w:t>
      </w:r>
      <w:r>
        <w:t xml:space="preserve">environmental markets currently being developed. </w:t>
      </w:r>
    </w:p>
    <w:p w14:paraId="00000026" w14:textId="48C776CD" w:rsidR="006666F2" w:rsidRDefault="007F5BFC" w:rsidP="001F52B4">
      <w:pPr>
        <w:spacing w:after="120" w:line="288" w:lineRule="auto"/>
      </w:pPr>
      <w:r>
        <w:t xml:space="preserve">One example is </w:t>
      </w:r>
      <w:hyperlink r:id="rId14">
        <w:r>
          <w:rPr>
            <w:color w:val="1155CC"/>
            <w:u w:val="single"/>
          </w:rPr>
          <w:t>soil carbon markets</w:t>
        </w:r>
      </w:hyperlink>
      <w:r>
        <w:t xml:space="preserve"> where there is an incredible amount of investment. Ecosystem service markets such as </w:t>
      </w:r>
      <w:hyperlink r:id="rId15">
        <w:r>
          <w:rPr>
            <w:color w:val="1155CC"/>
            <w:u w:val="single"/>
          </w:rPr>
          <w:t>Eco-Harvest</w:t>
        </w:r>
      </w:hyperlink>
      <w:r>
        <w:t xml:space="preserve"> have </w:t>
      </w:r>
      <w:r w:rsidR="000F02F3">
        <w:t xml:space="preserve">also </w:t>
      </w:r>
      <w:r>
        <w:t xml:space="preserve">recently been announced for commodity crop production. Similarly, industry efforts like the </w:t>
      </w:r>
      <w:hyperlink r:id="rId16">
        <w:r>
          <w:rPr>
            <w:color w:val="1155CC"/>
            <w:u w:val="single"/>
          </w:rPr>
          <w:t>U.S. Dairy net zero initiative</w:t>
        </w:r>
      </w:hyperlink>
      <w:r>
        <w:t xml:space="preserve"> are working to achieve net GHG neutrality with the goal of “establishing new markets and revenue opportunities and transforming the way farms of all sizes can improve their environmental footprint and benefit from untapped revenue potential on farm.”</w:t>
      </w:r>
      <w:r w:rsidR="00895482">
        <w:t xml:space="preserve"> Major commodity crops such as corn, soybean, and wheat as well as specialty crops (especially almond) have embarked on detailed research documenting carbon storage with the same goal. </w:t>
      </w:r>
      <w:r w:rsidR="000F02F3">
        <w:t>T</w:t>
      </w:r>
      <w:r w:rsidR="006518A4" w:rsidRPr="006518A4">
        <w:t xml:space="preserve">his proposal </w:t>
      </w:r>
      <w:r w:rsidR="000F02F3">
        <w:t>will help</w:t>
      </w:r>
      <w:r w:rsidR="006518A4" w:rsidRPr="006518A4">
        <w:t xml:space="preserve"> document the environmental benefits of alfalfa production systems using quantitative LCA methodology, helping support the long-term objective of increasing on-farm income and profitability through ecosystem service payments for building soil carbon and reducing GHG emissions.</w:t>
      </w:r>
    </w:p>
    <w:p w14:paraId="00000028" w14:textId="77777777" w:rsidR="006666F2" w:rsidRDefault="007F5BFC" w:rsidP="001F52B4">
      <w:pPr>
        <w:spacing w:after="120" w:line="288" w:lineRule="auto"/>
        <w:rPr>
          <w:b/>
        </w:rPr>
      </w:pPr>
      <w:r>
        <w:rPr>
          <w:b/>
        </w:rPr>
        <w:t>Timeline</w:t>
      </w:r>
    </w:p>
    <w:p w14:paraId="0000002A" w14:textId="64B2737E" w:rsidR="006666F2" w:rsidRDefault="007F5BFC" w:rsidP="001F52B4">
      <w:pPr>
        <w:spacing w:after="120" w:line="288" w:lineRule="auto"/>
      </w:pPr>
      <w:r>
        <w:t xml:space="preserve">This is a </w:t>
      </w:r>
      <w:r w:rsidR="000F02F3">
        <w:t>two-year</w:t>
      </w:r>
      <w:r>
        <w:t xml:space="preserve"> project with a start date of Sep 1, 2022 and end date of Aug 31, 2024. Data collection for alfalfa management in California and development of an LCA framework will occur in year 1. Methods and preliminary results will be shared with growers and agricultural stakeholders during the second half of year </w:t>
      </w:r>
      <w:r w:rsidR="000F02F3">
        <w:t>1</w:t>
      </w:r>
      <w:r>
        <w:t xml:space="preserve"> and throughout year </w:t>
      </w:r>
      <w:r w:rsidR="000F02F3">
        <w:t>2</w:t>
      </w:r>
      <w:r>
        <w:t xml:space="preserve"> via</w:t>
      </w:r>
      <w:r w:rsidR="000F02F3">
        <w:t xml:space="preserve"> the extension activities described above</w:t>
      </w:r>
      <w:r>
        <w:t xml:space="preserve">. Analysis and writing of 1-2 manuscripts for peer-reviewed publication will occur during year 2.    </w:t>
      </w:r>
    </w:p>
    <w:p w14:paraId="0000002B" w14:textId="77777777" w:rsidR="006666F2" w:rsidRDefault="007F5BFC" w:rsidP="001F52B4">
      <w:pPr>
        <w:spacing w:after="120" w:line="288" w:lineRule="auto"/>
        <w:rPr>
          <w:b/>
        </w:rPr>
      </w:pPr>
      <w:r>
        <w:rPr>
          <w:b/>
        </w:rPr>
        <w:t>Budget and budget justification</w:t>
      </w:r>
    </w:p>
    <w:p w14:paraId="0F8CF3C5" w14:textId="77777777" w:rsidR="00780976" w:rsidRDefault="007F5BFC" w:rsidP="001F52B4">
      <w:pPr>
        <w:spacing w:after="120" w:line="288" w:lineRule="auto"/>
      </w:pPr>
      <w:r>
        <w:t>The total budget request for this project is $9</w:t>
      </w:r>
      <w:r w:rsidR="004F246A">
        <w:t>8</w:t>
      </w:r>
      <w:r>
        <w:t>,2</w:t>
      </w:r>
      <w:r w:rsidR="004F246A">
        <w:t>00</w:t>
      </w:r>
      <w:r>
        <w:t xml:space="preserve"> over two years. The majority of funds will support a postdoctoral scholar at 60% time working under the supervision of Cameron Pittelkow and Dan Putnam. This postdoc will lead all project activities, including developing the LCA framework based on the template provided from the US Midwest project, collecting representative management data for alfalfa production in California, analyzing GHG components to identify biggest drivers, constructing mitigation scenarios to leverage insights from previous field studies, conducting a sensitivity analysis of results, and developing presentations and writing manuscripts for peer-reviewed publication. </w:t>
      </w:r>
    </w:p>
    <w:p w14:paraId="5245BCA3" w14:textId="066C193F" w:rsidR="00780976" w:rsidRDefault="007F5BFC" w:rsidP="001F52B4">
      <w:pPr>
        <w:spacing w:after="120" w:line="288" w:lineRule="auto"/>
      </w:pPr>
      <w:r>
        <w:t xml:space="preserve">The postdoc and both PIs will collectively present findings to industry and agricultural stakeholders to meet the extension objectives of this project. Travel funds are requested to present at NAFA meetings and the international ASA-CSSA-SSSA conference during year 2. Purchasing a background LCA database subscription is required each year to gain access to inventory data and standardized coefficients for carbon footprint analysis. Funds are also requested to publish results in an open-access journal so they can be shared widely with the international agricultural community.     </w:t>
      </w:r>
    </w:p>
    <w:tbl>
      <w:tblPr>
        <w:tblStyle w:val="GridTable4-Accent1"/>
        <w:tblW w:w="9216" w:type="dxa"/>
        <w:tblCellMar>
          <w:left w:w="115" w:type="dxa"/>
          <w:right w:w="115" w:type="dxa"/>
        </w:tblCellMar>
        <w:tblLook w:val="04A0" w:firstRow="1" w:lastRow="0" w:firstColumn="1" w:lastColumn="0" w:noHBand="0" w:noVBand="1"/>
      </w:tblPr>
      <w:tblGrid>
        <w:gridCol w:w="2880"/>
        <w:gridCol w:w="2880"/>
        <w:gridCol w:w="1152"/>
        <w:gridCol w:w="1152"/>
        <w:gridCol w:w="1152"/>
      </w:tblGrid>
      <w:tr w:rsidR="0013360A" w14:paraId="5AB6DEE4" w14:textId="77777777" w:rsidTr="001F52B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CEEDB5C" w14:textId="349A70BE" w:rsidR="000F02F3" w:rsidRDefault="000F02F3" w:rsidP="001F52B4">
            <w:pPr>
              <w:spacing w:after="120" w:line="264" w:lineRule="auto"/>
            </w:pPr>
            <w:r w:rsidRPr="00BD6381">
              <w:t>Category</w:t>
            </w:r>
          </w:p>
        </w:tc>
        <w:tc>
          <w:tcPr>
            <w:tcW w:w="2880" w:type="dxa"/>
            <w:vAlign w:val="center"/>
          </w:tcPr>
          <w:p w14:paraId="22624AB1" w14:textId="4FAC30CB" w:rsidR="000F02F3" w:rsidRDefault="001F52B4" w:rsidP="001F52B4">
            <w:pPr>
              <w:spacing w:after="120" w:line="264" w:lineRule="auto"/>
              <w:cnfStyle w:val="100000000000" w:firstRow="1" w:lastRow="0" w:firstColumn="0" w:lastColumn="0" w:oddVBand="0" w:evenVBand="0" w:oddHBand="0" w:evenHBand="0" w:firstRowFirstColumn="0" w:firstRowLastColumn="0" w:lastRowFirstColumn="0" w:lastRowLastColumn="0"/>
            </w:pPr>
            <w:r>
              <w:t>I</w:t>
            </w:r>
            <w:r w:rsidR="0013360A">
              <w:t>tem/activity</w:t>
            </w:r>
          </w:p>
        </w:tc>
        <w:tc>
          <w:tcPr>
            <w:tcW w:w="1152" w:type="dxa"/>
            <w:vAlign w:val="center"/>
          </w:tcPr>
          <w:p w14:paraId="2FD81BED" w14:textId="7AB3C7F5" w:rsidR="000F02F3" w:rsidRDefault="000F02F3" w:rsidP="001F52B4">
            <w:pPr>
              <w:spacing w:after="120" w:line="264" w:lineRule="auto"/>
              <w:jc w:val="center"/>
              <w:cnfStyle w:val="100000000000" w:firstRow="1" w:lastRow="0" w:firstColumn="0" w:lastColumn="0" w:oddVBand="0" w:evenVBand="0" w:oddHBand="0" w:evenHBand="0" w:firstRowFirstColumn="0" w:firstRowLastColumn="0" w:lastRowFirstColumn="0" w:lastRowLastColumn="0"/>
            </w:pPr>
            <w:r w:rsidRPr="00BD6381">
              <w:t>Year 1</w:t>
            </w:r>
          </w:p>
        </w:tc>
        <w:tc>
          <w:tcPr>
            <w:tcW w:w="1152" w:type="dxa"/>
            <w:vAlign w:val="center"/>
          </w:tcPr>
          <w:p w14:paraId="10B432B6" w14:textId="5E0AFEC2" w:rsidR="000F02F3" w:rsidRDefault="000F02F3" w:rsidP="001F52B4">
            <w:pPr>
              <w:spacing w:after="120" w:line="264" w:lineRule="auto"/>
              <w:jc w:val="center"/>
              <w:cnfStyle w:val="100000000000" w:firstRow="1" w:lastRow="0" w:firstColumn="0" w:lastColumn="0" w:oddVBand="0" w:evenVBand="0" w:oddHBand="0" w:evenHBand="0" w:firstRowFirstColumn="0" w:firstRowLastColumn="0" w:lastRowFirstColumn="0" w:lastRowLastColumn="0"/>
            </w:pPr>
            <w:r w:rsidRPr="00BD6381">
              <w:t>Year 2</w:t>
            </w:r>
          </w:p>
        </w:tc>
        <w:tc>
          <w:tcPr>
            <w:tcW w:w="1152" w:type="dxa"/>
            <w:vAlign w:val="center"/>
          </w:tcPr>
          <w:p w14:paraId="6C0A1AE6" w14:textId="66DC42F3" w:rsidR="000F02F3" w:rsidRDefault="000F02F3" w:rsidP="001F52B4">
            <w:pPr>
              <w:spacing w:after="120" w:line="264" w:lineRule="auto"/>
              <w:jc w:val="center"/>
              <w:cnfStyle w:val="100000000000" w:firstRow="1" w:lastRow="0" w:firstColumn="0" w:lastColumn="0" w:oddVBand="0" w:evenVBand="0" w:oddHBand="0" w:evenHBand="0" w:firstRowFirstColumn="0" w:firstRowLastColumn="0" w:lastRowFirstColumn="0" w:lastRowLastColumn="0"/>
            </w:pPr>
            <w:r w:rsidRPr="00BD6381">
              <w:t>Total</w:t>
            </w:r>
          </w:p>
        </w:tc>
      </w:tr>
      <w:tr w:rsidR="0013360A" w14:paraId="09732B9C" w14:textId="77777777" w:rsidTr="001F52B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491BC0D" w14:textId="2B014264" w:rsidR="000F02F3" w:rsidRDefault="000F02F3" w:rsidP="001F52B4">
            <w:pPr>
              <w:spacing w:after="120" w:line="264" w:lineRule="auto"/>
            </w:pPr>
            <w:r w:rsidRPr="00BD6381">
              <w:t>Personnel</w:t>
            </w:r>
          </w:p>
        </w:tc>
        <w:tc>
          <w:tcPr>
            <w:tcW w:w="2880" w:type="dxa"/>
            <w:vAlign w:val="center"/>
          </w:tcPr>
          <w:p w14:paraId="55E815CA" w14:textId="5624E053" w:rsidR="000F02F3" w:rsidRDefault="0013360A" w:rsidP="001F52B4">
            <w:pPr>
              <w:spacing w:after="120" w:line="264" w:lineRule="auto"/>
              <w:cnfStyle w:val="000000100000" w:firstRow="0" w:lastRow="0" w:firstColumn="0" w:lastColumn="0" w:oddVBand="0" w:evenVBand="0" w:oddHBand="1" w:evenHBand="0" w:firstRowFirstColumn="0" w:firstRowLastColumn="0" w:lastRowFirstColumn="0" w:lastRowLastColumn="0"/>
            </w:pPr>
            <w:r>
              <w:t>Postdoc salary</w:t>
            </w:r>
          </w:p>
        </w:tc>
        <w:tc>
          <w:tcPr>
            <w:tcW w:w="1152" w:type="dxa"/>
            <w:vAlign w:val="center"/>
          </w:tcPr>
          <w:p w14:paraId="4398C2C5" w14:textId="00BA0C33" w:rsidR="000F02F3" w:rsidRDefault="000F02F3" w:rsidP="001F52B4">
            <w:pPr>
              <w:spacing w:after="120" w:line="264" w:lineRule="auto"/>
              <w:jc w:val="center"/>
              <w:cnfStyle w:val="000000100000" w:firstRow="0" w:lastRow="0" w:firstColumn="0" w:lastColumn="0" w:oddVBand="0" w:evenVBand="0" w:oddHBand="1" w:evenHBand="0" w:firstRowFirstColumn="0" w:firstRowLastColumn="0" w:lastRowFirstColumn="0" w:lastRowLastColumn="0"/>
            </w:pPr>
            <w:r w:rsidRPr="00BD6381">
              <w:t>35,870</w:t>
            </w:r>
          </w:p>
        </w:tc>
        <w:tc>
          <w:tcPr>
            <w:tcW w:w="1152" w:type="dxa"/>
            <w:vAlign w:val="center"/>
          </w:tcPr>
          <w:p w14:paraId="5674D7FB" w14:textId="7C72BDBE" w:rsidR="000F02F3" w:rsidRDefault="000F02F3" w:rsidP="001F52B4">
            <w:pPr>
              <w:spacing w:after="120" w:line="264" w:lineRule="auto"/>
              <w:jc w:val="center"/>
              <w:cnfStyle w:val="000000100000" w:firstRow="0" w:lastRow="0" w:firstColumn="0" w:lastColumn="0" w:oddVBand="0" w:evenVBand="0" w:oddHBand="1" w:evenHBand="0" w:firstRowFirstColumn="0" w:firstRowLastColumn="0" w:lastRowFirstColumn="0" w:lastRowLastColumn="0"/>
            </w:pPr>
            <w:r w:rsidRPr="00BD6381">
              <w:t>36,947</w:t>
            </w:r>
          </w:p>
        </w:tc>
        <w:tc>
          <w:tcPr>
            <w:tcW w:w="1152" w:type="dxa"/>
            <w:vAlign w:val="center"/>
          </w:tcPr>
          <w:p w14:paraId="5B8E9EE9" w14:textId="58E60B39" w:rsidR="000F02F3" w:rsidRDefault="000F02F3" w:rsidP="001F52B4">
            <w:pPr>
              <w:spacing w:after="120" w:line="264" w:lineRule="auto"/>
              <w:jc w:val="center"/>
              <w:cnfStyle w:val="000000100000" w:firstRow="0" w:lastRow="0" w:firstColumn="0" w:lastColumn="0" w:oddVBand="0" w:evenVBand="0" w:oddHBand="1" w:evenHBand="0" w:firstRowFirstColumn="0" w:firstRowLastColumn="0" w:lastRowFirstColumn="0" w:lastRowLastColumn="0"/>
            </w:pPr>
            <w:r w:rsidRPr="00BD6381">
              <w:t>72,817</w:t>
            </w:r>
          </w:p>
        </w:tc>
      </w:tr>
      <w:tr w:rsidR="0013360A" w14:paraId="433A30AC" w14:textId="77777777" w:rsidTr="001F52B4">
        <w:trPr>
          <w:trHeight w:val="144"/>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25CC6C8" w14:textId="77777777" w:rsidR="000F02F3" w:rsidRDefault="000F02F3" w:rsidP="001F52B4">
            <w:pPr>
              <w:spacing w:after="120" w:line="264" w:lineRule="auto"/>
            </w:pPr>
          </w:p>
        </w:tc>
        <w:tc>
          <w:tcPr>
            <w:tcW w:w="2880" w:type="dxa"/>
            <w:vAlign w:val="center"/>
          </w:tcPr>
          <w:p w14:paraId="5C42A897" w14:textId="3224787B" w:rsidR="000F02F3" w:rsidRDefault="0013360A" w:rsidP="001F52B4">
            <w:pPr>
              <w:spacing w:after="120" w:line="264" w:lineRule="auto"/>
              <w:cnfStyle w:val="000000000000" w:firstRow="0" w:lastRow="0" w:firstColumn="0" w:lastColumn="0" w:oddVBand="0" w:evenVBand="0" w:oddHBand="0" w:evenHBand="0" w:firstRowFirstColumn="0" w:firstRowLastColumn="0" w:lastRowFirstColumn="0" w:lastRowLastColumn="0"/>
            </w:pPr>
            <w:r>
              <w:t>Benefits</w:t>
            </w:r>
          </w:p>
        </w:tc>
        <w:tc>
          <w:tcPr>
            <w:tcW w:w="1152" w:type="dxa"/>
            <w:vAlign w:val="center"/>
          </w:tcPr>
          <w:p w14:paraId="044AA311" w14:textId="5A21D14F" w:rsidR="000F02F3" w:rsidRDefault="000F02F3" w:rsidP="001F52B4">
            <w:pPr>
              <w:spacing w:after="120" w:line="264" w:lineRule="auto"/>
              <w:jc w:val="center"/>
              <w:cnfStyle w:val="000000000000" w:firstRow="0" w:lastRow="0" w:firstColumn="0" w:lastColumn="0" w:oddVBand="0" w:evenVBand="0" w:oddHBand="0" w:evenHBand="0" w:firstRowFirstColumn="0" w:firstRowLastColumn="0" w:lastRowFirstColumn="0" w:lastRowLastColumn="0"/>
            </w:pPr>
            <w:r w:rsidRPr="00BD6381">
              <w:t>7,</w:t>
            </w:r>
            <w:r w:rsidR="004F246A">
              <w:t>712</w:t>
            </w:r>
          </w:p>
        </w:tc>
        <w:tc>
          <w:tcPr>
            <w:tcW w:w="1152" w:type="dxa"/>
            <w:vAlign w:val="center"/>
          </w:tcPr>
          <w:p w14:paraId="3E5E8078" w14:textId="43802440" w:rsidR="000F02F3" w:rsidRDefault="004F246A" w:rsidP="001F52B4">
            <w:pPr>
              <w:spacing w:after="120" w:line="264" w:lineRule="auto"/>
              <w:jc w:val="center"/>
              <w:cnfStyle w:val="000000000000" w:firstRow="0" w:lastRow="0" w:firstColumn="0" w:lastColumn="0" w:oddVBand="0" w:evenVBand="0" w:oddHBand="0" w:evenHBand="0" w:firstRowFirstColumn="0" w:firstRowLastColumn="0" w:lastRowFirstColumn="0" w:lastRowLastColumn="0"/>
            </w:pPr>
            <w:r>
              <w:t>8,171</w:t>
            </w:r>
          </w:p>
        </w:tc>
        <w:tc>
          <w:tcPr>
            <w:tcW w:w="1152" w:type="dxa"/>
            <w:vAlign w:val="center"/>
          </w:tcPr>
          <w:p w14:paraId="4A734566" w14:textId="55DB04B9" w:rsidR="000F02F3" w:rsidRDefault="000F02F3" w:rsidP="001F52B4">
            <w:pPr>
              <w:spacing w:after="120" w:line="264" w:lineRule="auto"/>
              <w:jc w:val="center"/>
              <w:cnfStyle w:val="000000000000" w:firstRow="0" w:lastRow="0" w:firstColumn="0" w:lastColumn="0" w:oddVBand="0" w:evenVBand="0" w:oddHBand="0" w:evenHBand="0" w:firstRowFirstColumn="0" w:firstRowLastColumn="0" w:lastRowFirstColumn="0" w:lastRowLastColumn="0"/>
            </w:pPr>
            <w:r w:rsidRPr="00BD6381">
              <w:t>1</w:t>
            </w:r>
            <w:r w:rsidR="004F246A">
              <w:t>5,883</w:t>
            </w:r>
          </w:p>
        </w:tc>
      </w:tr>
      <w:tr w:rsidR="0013360A" w14:paraId="4C28E2F7" w14:textId="77777777" w:rsidTr="001F52B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A6A0F6D" w14:textId="29418F12" w:rsidR="000F02F3" w:rsidRDefault="000F02F3" w:rsidP="001F52B4">
            <w:pPr>
              <w:spacing w:after="120" w:line="264" w:lineRule="auto"/>
            </w:pPr>
            <w:r w:rsidRPr="00BD6381">
              <w:t>Travel</w:t>
            </w:r>
          </w:p>
        </w:tc>
        <w:tc>
          <w:tcPr>
            <w:tcW w:w="2880" w:type="dxa"/>
            <w:vAlign w:val="center"/>
          </w:tcPr>
          <w:p w14:paraId="41DE9360" w14:textId="531A6F1E" w:rsidR="000F02F3" w:rsidRDefault="000F02F3" w:rsidP="001F52B4">
            <w:pPr>
              <w:spacing w:after="120" w:line="264" w:lineRule="auto"/>
              <w:cnfStyle w:val="000000100000" w:firstRow="0" w:lastRow="0" w:firstColumn="0" w:lastColumn="0" w:oddVBand="0" w:evenVBand="0" w:oddHBand="1" w:evenHBand="0" w:firstRowFirstColumn="0" w:firstRowLastColumn="0" w:lastRowFirstColumn="0" w:lastRowLastColumn="0"/>
            </w:pPr>
            <w:r w:rsidRPr="00BD6381">
              <w:t>NAFA meeting</w:t>
            </w:r>
          </w:p>
        </w:tc>
        <w:tc>
          <w:tcPr>
            <w:tcW w:w="1152" w:type="dxa"/>
            <w:vAlign w:val="center"/>
          </w:tcPr>
          <w:p w14:paraId="12C8AE5B" w14:textId="3825B9FA" w:rsidR="000F02F3" w:rsidRDefault="000F02F3" w:rsidP="001F52B4">
            <w:pPr>
              <w:spacing w:after="120" w:line="264" w:lineRule="auto"/>
              <w:jc w:val="center"/>
              <w:cnfStyle w:val="000000100000" w:firstRow="0" w:lastRow="0" w:firstColumn="0" w:lastColumn="0" w:oddVBand="0" w:evenVBand="0" w:oddHBand="1" w:evenHBand="0" w:firstRowFirstColumn="0" w:firstRowLastColumn="0" w:lastRowFirstColumn="0" w:lastRowLastColumn="0"/>
            </w:pPr>
            <w:r w:rsidRPr="00BD6381">
              <w:t>1,000</w:t>
            </w:r>
          </w:p>
        </w:tc>
        <w:tc>
          <w:tcPr>
            <w:tcW w:w="1152" w:type="dxa"/>
            <w:vAlign w:val="center"/>
          </w:tcPr>
          <w:p w14:paraId="37D5A2CA" w14:textId="1A5C6AC3" w:rsidR="000F02F3" w:rsidRDefault="000F02F3" w:rsidP="001F52B4">
            <w:pPr>
              <w:spacing w:after="120" w:line="264" w:lineRule="auto"/>
              <w:jc w:val="center"/>
              <w:cnfStyle w:val="000000100000" w:firstRow="0" w:lastRow="0" w:firstColumn="0" w:lastColumn="0" w:oddVBand="0" w:evenVBand="0" w:oddHBand="1" w:evenHBand="0" w:firstRowFirstColumn="0" w:firstRowLastColumn="0" w:lastRowFirstColumn="0" w:lastRowLastColumn="0"/>
            </w:pPr>
            <w:r w:rsidRPr="00BD6381">
              <w:t>1,000</w:t>
            </w:r>
          </w:p>
        </w:tc>
        <w:tc>
          <w:tcPr>
            <w:tcW w:w="1152" w:type="dxa"/>
            <w:vAlign w:val="center"/>
          </w:tcPr>
          <w:p w14:paraId="19D2EF09" w14:textId="6678847E" w:rsidR="000F02F3" w:rsidRDefault="000F02F3" w:rsidP="001F52B4">
            <w:pPr>
              <w:spacing w:after="120" w:line="264" w:lineRule="auto"/>
              <w:jc w:val="center"/>
              <w:cnfStyle w:val="000000100000" w:firstRow="0" w:lastRow="0" w:firstColumn="0" w:lastColumn="0" w:oddVBand="0" w:evenVBand="0" w:oddHBand="1" w:evenHBand="0" w:firstRowFirstColumn="0" w:firstRowLastColumn="0" w:lastRowFirstColumn="0" w:lastRowLastColumn="0"/>
            </w:pPr>
            <w:r w:rsidRPr="00BD6381">
              <w:t>2,000</w:t>
            </w:r>
          </w:p>
        </w:tc>
      </w:tr>
      <w:tr w:rsidR="0013360A" w14:paraId="5E99C26E" w14:textId="77777777" w:rsidTr="001F52B4">
        <w:trPr>
          <w:trHeight w:val="144"/>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7980E7F" w14:textId="77777777" w:rsidR="000F02F3" w:rsidRDefault="000F02F3" w:rsidP="001F52B4">
            <w:pPr>
              <w:spacing w:after="120" w:line="264" w:lineRule="auto"/>
            </w:pPr>
          </w:p>
        </w:tc>
        <w:tc>
          <w:tcPr>
            <w:tcW w:w="2880" w:type="dxa"/>
            <w:vAlign w:val="center"/>
          </w:tcPr>
          <w:p w14:paraId="7F710622" w14:textId="387FC4D1" w:rsidR="000F02F3" w:rsidRDefault="000F02F3" w:rsidP="001F52B4">
            <w:pPr>
              <w:spacing w:after="120" w:line="264" w:lineRule="auto"/>
              <w:cnfStyle w:val="000000000000" w:firstRow="0" w:lastRow="0" w:firstColumn="0" w:lastColumn="0" w:oddVBand="0" w:evenVBand="0" w:oddHBand="0" w:evenHBand="0" w:firstRowFirstColumn="0" w:firstRowLastColumn="0" w:lastRowFirstColumn="0" w:lastRowLastColumn="0"/>
            </w:pPr>
            <w:r w:rsidRPr="00BD6381">
              <w:t>ASA-CSSA-SSSA conference</w:t>
            </w:r>
          </w:p>
        </w:tc>
        <w:tc>
          <w:tcPr>
            <w:tcW w:w="1152" w:type="dxa"/>
            <w:vAlign w:val="center"/>
          </w:tcPr>
          <w:p w14:paraId="2E054B0D" w14:textId="77777777" w:rsidR="000F02F3" w:rsidRDefault="000F02F3" w:rsidP="001F52B4">
            <w:pPr>
              <w:spacing w:after="120" w:line="264" w:lineRule="auto"/>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C1CFF93" w14:textId="18AE671C" w:rsidR="000F02F3" w:rsidRDefault="000F02F3" w:rsidP="001F52B4">
            <w:pPr>
              <w:spacing w:after="120" w:line="264" w:lineRule="auto"/>
              <w:jc w:val="center"/>
              <w:cnfStyle w:val="000000000000" w:firstRow="0" w:lastRow="0" w:firstColumn="0" w:lastColumn="0" w:oddVBand="0" w:evenVBand="0" w:oddHBand="0" w:evenHBand="0" w:firstRowFirstColumn="0" w:firstRowLastColumn="0" w:lastRowFirstColumn="0" w:lastRowLastColumn="0"/>
            </w:pPr>
            <w:r w:rsidRPr="00BD6381">
              <w:t>1,500</w:t>
            </w:r>
          </w:p>
        </w:tc>
        <w:tc>
          <w:tcPr>
            <w:tcW w:w="1152" w:type="dxa"/>
            <w:vAlign w:val="center"/>
          </w:tcPr>
          <w:p w14:paraId="1F8579AE" w14:textId="75B66733" w:rsidR="000F02F3" w:rsidRDefault="000F02F3" w:rsidP="001F52B4">
            <w:pPr>
              <w:spacing w:after="120" w:line="264" w:lineRule="auto"/>
              <w:jc w:val="center"/>
              <w:cnfStyle w:val="000000000000" w:firstRow="0" w:lastRow="0" w:firstColumn="0" w:lastColumn="0" w:oddVBand="0" w:evenVBand="0" w:oddHBand="0" w:evenHBand="0" w:firstRowFirstColumn="0" w:firstRowLastColumn="0" w:lastRowFirstColumn="0" w:lastRowLastColumn="0"/>
            </w:pPr>
            <w:r w:rsidRPr="00BD6381">
              <w:t>1,500</w:t>
            </w:r>
          </w:p>
        </w:tc>
      </w:tr>
      <w:tr w:rsidR="0013360A" w14:paraId="5910EA55" w14:textId="77777777" w:rsidTr="001F52B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4BC4D4F8" w14:textId="71A1FB0C" w:rsidR="000F02F3" w:rsidRDefault="000F02F3" w:rsidP="001F52B4">
            <w:pPr>
              <w:spacing w:after="120" w:line="264" w:lineRule="auto"/>
            </w:pPr>
            <w:r w:rsidRPr="00BD6381">
              <w:t>Materials and supplies</w:t>
            </w:r>
          </w:p>
        </w:tc>
        <w:tc>
          <w:tcPr>
            <w:tcW w:w="2880" w:type="dxa"/>
            <w:vAlign w:val="center"/>
          </w:tcPr>
          <w:p w14:paraId="592B1438" w14:textId="6E28EE5F" w:rsidR="000F02F3" w:rsidRDefault="000F02F3" w:rsidP="001F52B4">
            <w:pPr>
              <w:spacing w:after="120" w:line="264" w:lineRule="auto"/>
              <w:cnfStyle w:val="000000100000" w:firstRow="0" w:lastRow="0" w:firstColumn="0" w:lastColumn="0" w:oddVBand="0" w:evenVBand="0" w:oddHBand="1" w:evenHBand="0" w:firstRowFirstColumn="0" w:firstRowLastColumn="0" w:lastRowFirstColumn="0" w:lastRowLastColumn="0"/>
            </w:pPr>
            <w:r w:rsidRPr="00BD6381">
              <w:t>LCA background database</w:t>
            </w:r>
          </w:p>
        </w:tc>
        <w:tc>
          <w:tcPr>
            <w:tcW w:w="1152" w:type="dxa"/>
            <w:vAlign w:val="center"/>
          </w:tcPr>
          <w:p w14:paraId="64B39849" w14:textId="334DABD2" w:rsidR="000F02F3" w:rsidRDefault="000F02F3" w:rsidP="001F52B4">
            <w:pPr>
              <w:spacing w:after="120" w:line="264" w:lineRule="auto"/>
              <w:jc w:val="center"/>
              <w:cnfStyle w:val="000000100000" w:firstRow="0" w:lastRow="0" w:firstColumn="0" w:lastColumn="0" w:oddVBand="0" w:evenVBand="0" w:oddHBand="1" w:evenHBand="0" w:firstRowFirstColumn="0" w:firstRowLastColumn="0" w:lastRowFirstColumn="0" w:lastRowLastColumn="0"/>
            </w:pPr>
            <w:r w:rsidRPr="00BD6381">
              <w:t>2,000</w:t>
            </w:r>
          </w:p>
        </w:tc>
        <w:tc>
          <w:tcPr>
            <w:tcW w:w="1152" w:type="dxa"/>
            <w:vAlign w:val="center"/>
          </w:tcPr>
          <w:p w14:paraId="58E61098" w14:textId="45C57420" w:rsidR="000F02F3" w:rsidRDefault="000F02F3" w:rsidP="001F52B4">
            <w:pPr>
              <w:spacing w:after="120" w:line="264" w:lineRule="auto"/>
              <w:jc w:val="center"/>
              <w:cnfStyle w:val="000000100000" w:firstRow="0" w:lastRow="0" w:firstColumn="0" w:lastColumn="0" w:oddVBand="0" w:evenVBand="0" w:oddHBand="1" w:evenHBand="0" w:firstRowFirstColumn="0" w:firstRowLastColumn="0" w:lastRowFirstColumn="0" w:lastRowLastColumn="0"/>
            </w:pPr>
            <w:r w:rsidRPr="00BD6381">
              <w:t>2,000</w:t>
            </w:r>
          </w:p>
        </w:tc>
        <w:tc>
          <w:tcPr>
            <w:tcW w:w="1152" w:type="dxa"/>
            <w:vAlign w:val="center"/>
          </w:tcPr>
          <w:p w14:paraId="0D177C86" w14:textId="4304CB7D" w:rsidR="000F02F3" w:rsidRDefault="000F02F3" w:rsidP="001F52B4">
            <w:pPr>
              <w:spacing w:after="120" w:line="264" w:lineRule="auto"/>
              <w:jc w:val="center"/>
              <w:cnfStyle w:val="000000100000" w:firstRow="0" w:lastRow="0" w:firstColumn="0" w:lastColumn="0" w:oddVBand="0" w:evenVBand="0" w:oddHBand="1" w:evenHBand="0" w:firstRowFirstColumn="0" w:firstRowLastColumn="0" w:lastRowFirstColumn="0" w:lastRowLastColumn="0"/>
            </w:pPr>
            <w:r w:rsidRPr="00BD6381">
              <w:t>4,000</w:t>
            </w:r>
          </w:p>
        </w:tc>
      </w:tr>
      <w:tr w:rsidR="0013360A" w14:paraId="76EABE12" w14:textId="77777777" w:rsidTr="001F52B4">
        <w:trPr>
          <w:trHeight w:val="144"/>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78FAADEB" w14:textId="77777777" w:rsidR="000F02F3" w:rsidRDefault="000F02F3" w:rsidP="001F52B4">
            <w:pPr>
              <w:spacing w:after="120" w:line="264" w:lineRule="auto"/>
            </w:pPr>
          </w:p>
        </w:tc>
        <w:tc>
          <w:tcPr>
            <w:tcW w:w="2880" w:type="dxa"/>
            <w:vAlign w:val="center"/>
          </w:tcPr>
          <w:p w14:paraId="43EF17EB" w14:textId="29FF486A" w:rsidR="000F02F3" w:rsidRDefault="000F02F3" w:rsidP="001F52B4">
            <w:pPr>
              <w:spacing w:after="120" w:line="264" w:lineRule="auto"/>
              <w:cnfStyle w:val="000000000000" w:firstRow="0" w:lastRow="0" w:firstColumn="0" w:lastColumn="0" w:oddVBand="0" w:evenVBand="0" w:oddHBand="0" w:evenHBand="0" w:firstRowFirstColumn="0" w:firstRowLastColumn="0" w:lastRowFirstColumn="0" w:lastRowLastColumn="0"/>
            </w:pPr>
            <w:r w:rsidRPr="00BD6381">
              <w:t>Open-access publication</w:t>
            </w:r>
          </w:p>
        </w:tc>
        <w:tc>
          <w:tcPr>
            <w:tcW w:w="1152" w:type="dxa"/>
            <w:vAlign w:val="center"/>
          </w:tcPr>
          <w:p w14:paraId="46755C7A" w14:textId="77777777" w:rsidR="000F02F3" w:rsidRDefault="000F02F3" w:rsidP="001F52B4">
            <w:pPr>
              <w:spacing w:after="120" w:line="264" w:lineRule="auto"/>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F698073" w14:textId="4189C15B" w:rsidR="000F02F3" w:rsidRDefault="000F02F3" w:rsidP="001F52B4">
            <w:pPr>
              <w:spacing w:after="120" w:line="264" w:lineRule="auto"/>
              <w:jc w:val="center"/>
              <w:cnfStyle w:val="000000000000" w:firstRow="0" w:lastRow="0" w:firstColumn="0" w:lastColumn="0" w:oddVBand="0" w:evenVBand="0" w:oddHBand="0" w:evenHBand="0" w:firstRowFirstColumn="0" w:firstRowLastColumn="0" w:lastRowFirstColumn="0" w:lastRowLastColumn="0"/>
            </w:pPr>
            <w:r w:rsidRPr="00BD6381">
              <w:t>2,000</w:t>
            </w:r>
          </w:p>
        </w:tc>
        <w:tc>
          <w:tcPr>
            <w:tcW w:w="1152" w:type="dxa"/>
            <w:vAlign w:val="center"/>
          </w:tcPr>
          <w:p w14:paraId="2D71843C" w14:textId="5CCB9866" w:rsidR="000F02F3" w:rsidRDefault="000F02F3" w:rsidP="001F52B4">
            <w:pPr>
              <w:spacing w:after="120" w:line="264" w:lineRule="auto"/>
              <w:jc w:val="center"/>
              <w:cnfStyle w:val="000000000000" w:firstRow="0" w:lastRow="0" w:firstColumn="0" w:lastColumn="0" w:oddVBand="0" w:evenVBand="0" w:oddHBand="0" w:evenHBand="0" w:firstRowFirstColumn="0" w:firstRowLastColumn="0" w:lastRowFirstColumn="0" w:lastRowLastColumn="0"/>
            </w:pPr>
            <w:r w:rsidRPr="00BD6381">
              <w:t>2,000</w:t>
            </w:r>
          </w:p>
        </w:tc>
      </w:tr>
      <w:tr w:rsidR="0013360A" w14:paraId="3ED956BA" w14:textId="77777777" w:rsidTr="001F52B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68AB54C" w14:textId="09A260D1" w:rsidR="000F02F3" w:rsidRDefault="000F02F3" w:rsidP="001F52B4">
            <w:pPr>
              <w:spacing w:after="120" w:line="264" w:lineRule="auto"/>
            </w:pPr>
            <w:r w:rsidRPr="00BD6381">
              <w:t>TOTAL*</w:t>
            </w:r>
          </w:p>
        </w:tc>
        <w:tc>
          <w:tcPr>
            <w:tcW w:w="2880" w:type="dxa"/>
            <w:vAlign w:val="center"/>
          </w:tcPr>
          <w:p w14:paraId="3259E8B8" w14:textId="77777777" w:rsidR="000F02F3" w:rsidRDefault="000F02F3" w:rsidP="001F52B4">
            <w:pPr>
              <w:spacing w:after="120" w:line="264" w:lineRule="auto"/>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E41B8F4" w14:textId="77777777" w:rsidR="000F02F3" w:rsidRDefault="000F02F3" w:rsidP="001F52B4">
            <w:pPr>
              <w:spacing w:after="120" w:line="264" w:lineRule="auto"/>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A6147DF" w14:textId="77777777" w:rsidR="000F02F3" w:rsidRDefault="000F02F3" w:rsidP="001F52B4">
            <w:pPr>
              <w:spacing w:after="120" w:line="264" w:lineRule="auto"/>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10F310C" w14:textId="43C985C1" w:rsidR="000F02F3" w:rsidRDefault="000F02F3" w:rsidP="001F52B4">
            <w:pPr>
              <w:spacing w:after="120" w:line="264" w:lineRule="auto"/>
              <w:jc w:val="center"/>
              <w:cnfStyle w:val="000000100000" w:firstRow="0" w:lastRow="0" w:firstColumn="0" w:lastColumn="0" w:oddVBand="0" w:evenVBand="0" w:oddHBand="1" w:evenHBand="0" w:firstRowFirstColumn="0" w:firstRowLastColumn="0" w:lastRowFirstColumn="0" w:lastRowLastColumn="0"/>
            </w:pPr>
            <w:r w:rsidRPr="00BD6381">
              <w:t>9</w:t>
            </w:r>
            <w:r w:rsidR="004F246A">
              <w:t>8,200</w:t>
            </w:r>
          </w:p>
        </w:tc>
      </w:tr>
    </w:tbl>
    <w:p w14:paraId="00000056" w14:textId="77777777" w:rsidR="006666F2" w:rsidRDefault="007F5BFC" w:rsidP="006518A4">
      <w:pPr>
        <w:spacing w:after="120" w:line="264" w:lineRule="auto"/>
      </w:pPr>
      <w:r>
        <w:t xml:space="preserve">*UC Davis Sponsored Programs will review the final budget proposal and values may adjust slightly. </w:t>
      </w:r>
    </w:p>
    <w:p w14:paraId="39ECAC50" w14:textId="77777777" w:rsidR="001F52B4" w:rsidRDefault="001F52B4" w:rsidP="006518A4">
      <w:pPr>
        <w:spacing w:after="120" w:line="264" w:lineRule="auto"/>
        <w:rPr>
          <w:b/>
        </w:rPr>
      </w:pPr>
    </w:p>
    <w:p w14:paraId="00000058" w14:textId="7C112CB2" w:rsidR="006666F2" w:rsidRDefault="007F5BFC" w:rsidP="006518A4">
      <w:pPr>
        <w:spacing w:after="120" w:line="264" w:lineRule="auto"/>
        <w:rPr>
          <w:b/>
        </w:rPr>
      </w:pPr>
      <w:r>
        <w:rPr>
          <w:b/>
        </w:rPr>
        <w:t>Contact information for PI and co-PIs</w:t>
      </w:r>
    </w:p>
    <w:p w14:paraId="00000059" w14:textId="77777777" w:rsidR="006666F2" w:rsidRDefault="007F5BFC" w:rsidP="00F9797F">
      <w:pPr>
        <w:spacing w:after="0" w:line="264" w:lineRule="auto"/>
      </w:pPr>
      <w:r>
        <w:t>PI: Cameron Pittelkow</w:t>
      </w:r>
      <w:r>
        <w:tab/>
      </w:r>
      <w:r>
        <w:tab/>
        <w:t>530-752-0433</w:t>
      </w:r>
      <w:r>
        <w:tab/>
      </w:r>
      <w:r>
        <w:tab/>
      </w:r>
      <w:hyperlink r:id="rId17">
        <w:r>
          <w:rPr>
            <w:color w:val="1155CC"/>
            <w:u w:val="single"/>
          </w:rPr>
          <w:t>cpittelkow@ucdavis.edu</w:t>
        </w:r>
      </w:hyperlink>
    </w:p>
    <w:p w14:paraId="0000005A" w14:textId="77777777" w:rsidR="006666F2" w:rsidRDefault="007F5BFC" w:rsidP="00F9797F">
      <w:pPr>
        <w:spacing w:after="0" w:line="264" w:lineRule="auto"/>
      </w:pPr>
      <w:r>
        <w:t>Co-PI: Dan Putnam</w:t>
      </w:r>
      <w:r>
        <w:tab/>
      </w:r>
      <w:r>
        <w:tab/>
        <w:t>530-752-8982</w:t>
      </w:r>
      <w:r>
        <w:tab/>
      </w:r>
      <w:r>
        <w:tab/>
      </w:r>
      <w:hyperlink r:id="rId18">
        <w:r>
          <w:rPr>
            <w:color w:val="1155CC"/>
            <w:u w:val="single"/>
          </w:rPr>
          <w:t>dhputnam@ucdavis.edu</w:t>
        </w:r>
      </w:hyperlink>
    </w:p>
    <w:p w14:paraId="0000005B" w14:textId="77777777" w:rsidR="006666F2" w:rsidRDefault="007F5BFC" w:rsidP="00F9797F">
      <w:pPr>
        <w:spacing w:after="0" w:line="264" w:lineRule="auto"/>
      </w:pPr>
      <w:r>
        <w:t>Department of Plant Sciences, UC Davis</w:t>
      </w:r>
    </w:p>
    <w:p w14:paraId="0000005C" w14:textId="77777777" w:rsidR="006666F2" w:rsidRDefault="007F5BFC" w:rsidP="00F9797F">
      <w:pPr>
        <w:spacing w:after="0" w:line="264" w:lineRule="auto"/>
      </w:pPr>
      <w:r>
        <w:t>PES Building, One Shields Ave, Davis, CA 95616</w:t>
      </w:r>
    </w:p>
    <w:p w14:paraId="0000005D" w14:textId="77777777" w:rsidR="006666F2" w:rsidRDefault="006666F2" w:rsidP="006518A4">
      <w:pPr>
        <w:spacing w:after="120" w:line="264" w:lineRule="auto"/>
      </w:pPr>
    </w:p>
    <w:p w14:paraId="0000005E" w14:textId="77777777" w:rsidR="006666F2" w:rsidRDefault="007F5BFC" w:rsidP="006518A4">
      <w:pPr>
        <w:spacing w:after="120" w:line="264" w:lineRule="auto"/>
        <w:rPr>
          <w:b/>
        </w:rPr>
      </w:pPr>
      <w:bookmarkStart w:id="0" w:name="_heading=h.gjdgxs" w:colFirst="0" w:colLast="0"/>
      <w:bookmarkEnd w:id="0"/>
      <w:r>
        <w:rPr>
          <w:b/>
        </w:rPr>
        <w:t>Key personnel vitae</w:t>
      </w:r>
    </w:p>
    <w:p w14:paraId="0000005F" w14:textId="77777777" w:rsidR="006666F2" w:rsidRDefault="007F5BFC" w:rsidP="006518A4">
      <w:pPr>
        <w:spacing w:after="120" w:line="264" w:lineRule="auto"/>
      </w:pPr>
      <w:r>
        <w:t>Attached below</w:t>
      </w:r>
    </w:p>
    <w:p w14:paraId="00000061" w14:textId="77777777" w:rsidR="006666F2" w:rsidRDefault="007F5BFC" w:rsidP="006518A4">
      <w:pPr>
        <w:spacing w:after="120" w:line="264" w:lineRule="auto"/>
        <w:rPr>
          <w:b/>
        </w:rPr>
      </w:pPr>
      <w:r>
        <w:rPr>
          <w:b/>
        </w:rPr>
        <w:t>References</w:t>
      </w:r>
      <w:bookmarkStart w:id="1" w:name="_GoBack"/>
      <w:bookmarkEnd w:id="1"/>
    </w:p>
    <w:p w14:paraId="547712EB" w14:textId="77777777" w:rsidR="00F57824" w:rsidRPr="00C133A1" w:rsidRDefault="00F57824" w:rsidP="00F57824">
      <w:pPr>
        <w:spacing w:after="120" w:line="264" w:lineRule="auto"/>
        <w:rPr>
          <w:sz w:val="20"/>
          <w:szCs w:val="20"/>
        </w:rPr>
      </w:pPr>
      <w:proofErr w:type="spellStart"/>
      <w:r w:rsidRPr="00C133A1">
        <w:rPr>
          <w:sz w:val="20"/>
          <w:szCs w:val="20"/>
        </w:rPr>
        <w:t>Adom</w:t>
      </w:r>
      <w:proofErr w:type="spellEnd"/>
      <w:r w:rsidRPr="00C133A1">
        <w:rPr>
          <w:sz w:val="20"/>
          <w:szCs w:val="20"/>
        </w:rPr>
        <w:t xml:space="preserve"> F, </w:t>
      </w:r>
      <w:proofErr w:type="spellStart"/>
      <w:r w:rsidRPr="00C133A1">
        <w:rPr>
          <w:sz w:val="20"/>
          <w:szCs w:val="20"/>
        </w:rPr>
        <w:t>Maes</w:t>
      </w:r>
      <w:proofErr w:type="spellEnd"/>
      <w:r w:rsidRPr="00C133A1">
        <w:rPr>
          <w:sz w:val="20"/>
          <w:szCs w:val="20"/>
        </w:rPr>
        <w:t xml:space="preserve"> A, Workman C. </w:t>
      </w:r>
      <w:r w:rsidRPr="00C133A1">
        <w:rPr>
          <w:i/>
          <w:iCs/>
          <w:sz w:val="20"/>
          <w:szCs w:val="20"/>
        </w:rPr>
        <w:t>et al.</w:t>
      </w:r>
      <w:r w:rsidRPr="00C133A1">
        <w:rPr>
          <w:sz w:val="20"/>
          <w:szCs w:val="20"/>
        </w:rPr>
        <w:t> 2012. Regional carbon footprint analysis of dairy feeds for milk production in the USA. </w:t>
      </w:r>
      <w:r w:rsidRPr="00C133A1">
        <w:rPr>
          <w:i/>
          <w:iCs/>
          <w:sz w:val="20"/>
          <w:szCs w:val="20"/>
        </w:rPr>
        <w:t>Int J Life Cycle Assess</w:t>
      </w:r>
      <w:r w:rsidRPr="00C133A1">
        <w:rPr>
          <w:sz w:val="20"/>
          <w:szCs w:val="20"/>
        </w:rPr>
        <w:t> </w:t>
      </w:r>
      <w:r w:rsidRPr="00C133A1">
        <w:rPr>
          <w:b/>
          <w:bCs/>
          <w:sz w:val="20"/>
          <w:szCs w:val="20"/>
        </w:rPr>
        <w:t>17, </w:t>
      </w:r>
      <w:r w:rsidRPr="00C133A1">
        <w:rPr>
          <w:sz w:val="20"/>
          <w:szCs w:val="20"/>
        </w:rPr>
        <w:t xml:space="preserve">520–534. </w:t>
      </w:r>
      <w:hyperlink r:id="rId19" w:history="1">
        <w:r w:rsidRPr="00C133A1">
          <w:rPr>
            <w:rStyle w:val="Hyperlink"/>
            <w:sz w:val="20"/>
            <w:szCs w:val="20"/>
          </w:rPr>
          <w:t>https://doi.org/10.1007/s11367-012-0386-y</w:t>
        </w:r>
      </w:hyperlink>
    </w:p>
    <w:p w14:paraId="6B4901C6" w14:textId="2503943E" w:rsidR="007C35A1" w:rsidRPr="00C133A1" w:rsidRDefault="007C35A1" w:rsidP="007C35A1">
      <w:pPr>
        <w:spacing w:after="120" w:line="264" w:lineRule="auto"/>
        <w:rPr>
          <w:sz w:val="20"/>
          <w:szCs w:val="20"/>
        </w:rPr>
      </w:pPr>
      <w:proofErr w:type="spellStart"/>
      <w:r w:rsidRPr="00C133A1">
        <w:rPr>
          <w:sz w:val="20"/>
          <w:szCs w:val="20"/>
        </w:rPr>
        <w:t>Bacenetti</w:t>
      </w:r>
      <w:proofErr w:type="spellEnd"/>
      <w:r w:rsidRPr="00C133A1">
        <w:rPr>
          <w:sz w:val="20"/>
          <w:szCs w:val="20"/>
        </w:rPr>
        <w:t xml:space="preserve"> J, </w:t>
      </w:r>
      <w:proofErr w:type="spellStart"/>
      <w:r w:rsidRPr="00C133A1">
        <w:rPr>
          <w:sz w:val="20"/>
          <w:szCs w:val="20"/>
        </w:rPr>
        <w:t>Lovarelli</w:t>
      </w:r>
      <w:proofErr w:type="spellEnd"/>
      <w:r w:rsidRPr="00C133A1">
        <w:rPr>
          <w:sz w:val="20"/>
          <w:szCs w:val="20"/>
        </w:rPr>
        <w:t xml:space="preserve"> D, Tedesco D, </w:t>
      </w:r>
      <w:proofErr w:type="spellStart"/>
      <w:r w:rsidRPr="00C133A1">
        <w:rPr>
          <w:sz w:val="20"/>
          <w:szCs w:val="20"/>
        </w:rPr>
        <w:t>Pretolani</w:t>
      </w:r>
      <w:proofErr w:type="spellEnd"/>
      <w:r w:rsidRPr="00C133A1">
        <w:rPr>
          <w:sz w:val="20"/>
          <w:szCs w:val="20"/>
        </w:rPr>
        <w:t xml:space="preserve"> R, Ferrante V</w:t>
      </w:r>
      <w:r w:rsidR="00C133A1" w:rsidRPr="00C133A1">
        <w:rPr>
          <w:sz w:val="20"/>
          <w:szCs w:val="20"/>
        </w:rPr>
        <w:t>.</w:t>
      </w:r>
      <w:r w:rsidRPr="00C133A1">
        <w:rPr>
          <w:sz w:val="20"/>
          <w:szCs w:val="20"/>
        </w:rPr>
        <w:t xml:space="preserve"> 2018. Environmental impact assessment of alfalfa (Medicago sativa L.) hay production, </w:t>
      </w:r>
      <w:r w:rsidRPr="00C133A1">
        <w:rPr>
          <w:i/>
          <w:sz w:val="20"/>
          <w:szCs w:val="20"/>
        </w:rPr>
        <w:t>Science of The Total Environment</w:t>
      </w:r>
      <w:r w:rsidRPr="00C133A1">
        <w:rPr>
          <w:sz w:val="20"/>
          <w:szCs w:val="20"/>
        </w:rPr>
        <w:t>,</w:t>
      </w:r>
      <w:r w:rsidR="00F57824" w:rsidRPr="00C133A1">
        <w:rPr>
          <w:sz w:val="20"/>
          <w:szCs w:val="20"/>
        </w:rPr>
        <w:t xml:space="preserve"> 635: 551-558</w:t>
      </w:r>
      <w:r w:rsidR="00C133A1" w:rsidRPr="00C133A1">
        <w:rPr>
          <w:sz w:val="20"/>
          <w:szCs w:val="20"/>
        </w:rPr>
        <w:t>.</w:t>
      </w:r>
      <w:r w:rsidR="00F57824" w:rsidRPr="00C133A1">
        <w:rPr>
          <w:sz w:val="20"/>
          <w:szCs w:val="20"/>
        </w:rPr>
        <w:t xml:space="preserve"> </w:t>
      </w:r>
      <w:hyperlink r:id="rId20" w:history="1">
        <w:r w:rsidR="00F57824" w:rsidRPr="00C133A1">
          <w:rPr>
            <w:rStyle w:val="Hyperlink"/>
            <w:sz w:val="20"/>
            <w:szCs w:val="20"/>
          </w:rPr>
          <w:t>https://doi.org/10.1016/j.scitotenv.2018.04.161</w:t>
        </w:r>
      </w:hyperlink>
      <w:r w:rsidRPr="00C133A1">
        <w:rPr>
          <w:sz w:val="20"/>
          <w:szCs w:val="20"/>
        </w:rPr>
        <w:t>.</w:t>
      </w:r>
    </w:p>
    <w:p w14:paraId="07980A09" w14:textId="77777777" w:rsidR="00F57824" w:rsidRPr="00C133A1" w:rsidRDefault="00F57824" w:rsidP="00F57824">
      <w:pPr>
        <w:spacing w:after="120" w:line="264" w:lineRule="auto"/>
        <w:rPr>
          <w:sz w:val="20"/>
          <w:szCs w:val="20"/>
        </w:rPr>
      </w:pPr>
      <w:r w:rsidRPr="00C133A1">
        <w:rPr>
          <w:sz w:val="20"/>
          <w:szCs w:val="20"/>
        </w:rPr>
        <w:t>Camargo G, Ryan M, Richard TL. 2013. Energy Use and Greenhouse Gas Emissions from Crop Production Using the Farm Energy Analysis Tool, </w:t>
      </w:r>
      <w:proofErr w:type="spellStart"/>
      <w:r w:rsidRPr="00C133A1">
        <w:rPr>
          <w:i/>
          <w:iCs/>
          <w:sz w:val="20"/>
          <w:szCs w:val="20"/>
        </w:rPr>
        <w:t>BioScience</w:t>
      </w:r>
      <w:proofErr w:type="spellEnd"/>
      <w:r w:rsidRPr="00C133A1">
        <w:rPr>
          <w:sz w:val="20"/>
          <w:szCs w:val="20"/>
        </w:rPr>
        <w:t>, 63: 263–273. </w:t>
      </w:r>
      <w:hyperlink r:id="rId21" w:history="1">
        <w:r w:rsidRPr="00C133A1">
          <w:rPr>
            <w:rStyle w:val="Hyperlink"/>
            <w:sz w:val="20"/>
            <w:szCs w:val="20"/>
          </w:rPr>
          <w:t>https://doi.org/10.1525/bio.2013.63.4.6</w:t>
        </w:r>
      </w:hyperlink>
    </w:p>
    <w:p w14:paraId="2AB0C43C" w14:textId="005C2D78" w:rsidR="00007A80" w:rsidRPr="00C133A1" w:rsidRDefault="00007A80" w:rsidP="00007A80">
      <w:pPr>
        <w:spacing w:after="120" w:line="264" w:lineRule="auto"/>
        <w:rPr>
          <w:sz w:val="20"/>
          <w:szCs w:val="20"/>
        </w:rPr>
      </w:pPr>
      <w:r w:rsidRPr="00C133A1">
        <w:rPr>
          <w:sz w:val="20"/>
          <w:szCs w:val="20"/>
        </w:rPr>
        <w:t xml:space="preserve">Costa, M.P., Chadwick, D., </w:t>
      </w:r>
      <w:proofErr w:type="spellStart"/>
      <w:r w:rsidRPr="00C133A1">
        <w:rPr>
          <w:sz w:val="20"/>
          <w:szCs w:val="20"/>
        </w:rPr>
        <w:t>Saget</w:t>
      </w:r>
      <w:proofErr w:type="spellEnd"/>
      <w:r w:rsidRPr="00C133A1">
        <w:rPr>
          <w:sz w:val="20"/>
          <w:szCs w:val="20"/>
        </w:rPr>
        <w:t>, S. </w:t>
      </w:r>
      <w:r w:rsidRPr="00C133A1">
        <w:rPr>
          <w:i/>
          <w:iCs/>
          <w:sz w:val="20"/>
          <w:szCs w:val="20"/>
        </w:rPr>
        <w:t>et al.</w:t>
      </w:r>
      <w:r w:rsidRPr="00C133A1">
        <w:rPr>
          <w:sz w:val="20"/>
          <w:szCs w:val="20"/>
        </w:rPr>
        <w:t> 2020. Representing crop rotations in life cycle assessment: a review of legume LCA studies. </w:t>
      </w:r>
      <w:r w:rsidRPr="00C133A1">
        <w:rPr>
          <w:i/>
          <w:iCs/>
          <w:sz w:val="20"/>
          <w:szCs w:val="20"/>
        </w:rPr>
        <w:t>Int J Life Cycle Assess</w:t>
      </w:r>
      <w:r w:rsidRPr="00C133A1">
        <w:rPr>
          <w:sz w:val="20"/>
          <w:szCs w:val="20"/>
        </w:rPr>
        <w:t> </w:t>
      </w:r>
      <w:r w:rsidRPr="00C133A1">
        <w:rPr>
          <w:b/>
          <w:bCs/>
          <w:sz w:val="20"/>
          <w:szCs w:val="20"/>
        </w:rPr>
        <w:t>25, </w:t>
      </w:r>
      <w:r w:rsidRPr="00C133A1">
        <w:rPr>
          <w:sz w:val="20"/>
          <w:szCs w:val="20"/>
        </w:rPr>
        <w:t xml:space="preserve">1942–1956. </w:t>
      </w:r>
      <w:hyperlink r:id="rId22" w:history="1">
        <w:r w:rsidRPr="00C133A1">
          <w:rPr>
            <w:rStyle w:val="Hyperlink"/>
            <w:sz w:val="20"/>
            <w:szCs w:val="20"/>
          </w:rPr>
          <w:t>https://doi.org/10.1007/s11367-020-01812-x</w:t>
        </w:r>
      </w:hyperlink>
    </w:p>
    <w:p w14:paraId="381CEC37" w14:textId="6652BEA3" w:rsidR="00F57824" w:rsidRPr="00C133A1" w:rsidRDefault="00F57824" w:rsidP="00F57824">
      <w:pPr>
        <w:spacing w:after="120" w:line="264" w:lineRule="auto"/>
        <w:rPr>
          <w:sz w:val="20"/>
          <w:szCs w:val="20"/>
        </w:rPr>
      </w:pPr>
      <w:proofErr w:type="spellStart"/>
      <w:r w:rsidRPr="00C133A1">
        <w:rPr>
          <w:sz w:val="20"/>
          <w:szCs w:val="20"/>
        </w:rPr>
        <w:t>Eshel</w:t>
      </w:r>
      <w:proofErr w:type="spellEnd"/>
      <w:r w:rsidRPr="00C133A1">
        <w:rPr>
          <w:sz w:val="20"/>
          <w:szCs w:val="20"/>
        </w:rPr>
        <w:t xml:space="preserve"> G, </w:t>
      </w:r>
      <w:proofErr w:type="spellStart"/>
      <w:r w:rsidRPr="00C133A1">
        <w:rPr>
          <w:sz w:val="20"/>
          <w:szCs w:val="20"/>
        </w:rPr>
        <w:t>Shepon</w:t>
      </w:r>
      <w:proofErr w:type="spellEnd"/>
      <w:r w:rsidR="00C133A1" w:rsidRPr="00C133A1">
        <w:rPr>
          <w:sz w:val="20"/>
          <w:szCs w:val="20"/>
        </w:rPr>
        <w:t xml:space="preserve"> A,</w:t>
      </w:r>
      <w:r w:rsidRPr="00C133A1">
        <w:rPr>
          <w:sz w:val="20"/>
          <w:szCs w:val="20"/>
        </w:rPr>
        <w:t xml:space="preserve"> T </w:t>
      </w:r>
      <w:proofErr w:type="spellStart"/>
      <w:r w:rsidRPr="00C133A1">
        <w:rPr>
          <w:sz w:val="20"/>
          <w:szCs w:val="20"/>
        </w:rPr>
        <w:t>Makov</w:t>
      </w:r>
      <w:proofErr w:type="spellEnd"/>
      <w:r w:rsidRPr="00C133A1">
        <w:rPr>
          <w:sz w:val="20"/>
          <w:szCs w:val="20"/>
        </w:rPr>
        <w:t>, R Milo. 2014. Land, irrigation water, greenhouse gas, and reactive nitrogen burdens of meat, eggs, and dairy production in the United States. </w:t>
      </w:r>
      <w:r w:rsidRPr="00C133A1">
        <w:rPr>
          <w:i/>
          <w:iCs/>
          <w:sz w:val="20"/>
          <w:szCs w:val="20"/>
        </w:rPr>
        <w:t xml:space="preserve">Proc Natl </w:t>
      </w:r>
      <w:proofErr w:type="spellStart"/>
      <w:r w:rsidRPr="00C133A1">
        <w:rPr>
          <w:i/>
          <w:iCs/>
          <w:sz w:val="20"/>
          <w:szCs w:val="20"/>
        </w:rPr>
        <w:t>Acad</w:t>
      </w:r>
      <w:proofErr w:type="spellEnd"/>
      <w:r w:rsidRPr="00C133A1">
        <w:rPr>
          <w:i/>
          <w:iCs/>
          <w:sz w:val="20"/>
          <w:szCs w:val="20"/>
        </w:rPr>
        <w:t xml:space="preserve"> Sci USA</w:t>
      </w:r>
      <w:r w:rsidRPr="00C133A1">
        <w:rPr>
          <w:sz w:val="20"/>
          <w:szCs w:val="20"/>
        </w:rPr>
        <w:t> </w:t>
      </w:r>
      <w:r w:rsidRPr="00C133A1">
        <w:rPr>
          <w:b/>
          <w:bCs/>
          <w:sz w:val="20"/>
          <w:szCs w:val="20"/>
        </w:rPr>
        <w:t>111</w:t>
      </w:r>
      <w:r w:rsidRPr="00C133A1">
        <w:rPr>
          <w:sz w:val="20"/>
          <w:szCs w:val="20"/>
        </w:rPr>
        <w:t xml:space="preserve">, 11996–12001. </w:t>
      </w:r>
      <w:hyperlink r:id="rId23" w:history="1">
        <w:r w:rsidRPr="00C133A1">
          <w:rPr>
            <w:rStyle w:val="Hyperlink"/>
            <w:sz w:val="20"/>
            <w:szCs w:val="20"/>
          </w:rPr>
          <w:t>https://www.pnas.org/doi/full/10.1073/pnas.1402183111</w:t>
        </w:r>
      </w:hyperlink>
    </w:p>
    <w:p w14:paraId="75A13928" w14:textId="3BF2EBB2" w:rsidR="00F57824" w:rsidRPr="00C133A1" w:rsidRDefault="00F57824" w:rsidP="00F57824">
      <w:pPr>
        <w:spacing w:after="120" w:line="264" w:lineRule="auto"/>
        <w:rPr>
          <w:sz w:val="20"/>
          <w:szCs w:val="20"/>
        </w:rPr>
      </w:pPr>
      <w:r w:rsidRPr="00C133A1">
        <w:rPr>
          <w:sz w:val="20"/>
          <w:szCs w:val="20"/>
        </w:rPr>
        <w:t>Grassini P, Cassman KG. 2012. High-yield maize with large net energy yield and small global warming intensity. </w:t>
      </w:r>
      <w:r w:rsidR="00C133A1" w:rsidRPr="00C133A1">
        <w:rPr>
          <w:i/>
          <w:iCs/>
          <w:sz w:val="20"/>
          <w:szCs w:val="20"/>
        </w:rPr>
        <w:t xml:space="preserve">Proc Natl </w:t>
      </w:r>
      <w:proofErr w:type="spellStart"/>
      <w:r w:rsidR="00C133A1" w:rsidRPr="00C133A1">
        <w:rPr>
          <w:i/>
          <w:iCs/>
          <w:sz w:val="20"/>
          <w:szCs w:val="20"/>
        </w:rPr>
        <w:t>Acad</w:t>
      </w:r>
      <w:proofErr w:type="spellEnd"/>
      <w:r w:rsidR="00C133A1" w:rsidRPr="00C133A1">
        <w:rPr>
          <w:i/>
          <w:iCs/>
          <w:sz w:val="20"/>
          <w:szCs w:val="20"/>
        </w:rPr>
        <w:t xml:space="preserve"> Sci USA</w:t>
      </w:r>
      <w:r w:rsidRPr="00C133A1">
        <w:rPr>
          <w:sz w:val="20"/>
          <w:szCs w:val="20"/>
        </w:rPr>
        <w:t>, </w:t>
      </w:r>
      <w:r w:rsidRPr="00C133A1">
        <w:rPr>
          <w:iCs/>
          <w:sz w:val="20"/>
          <w:szCs w:val="20"/>
        </w:rPr>
        <w:t>109</w:t>
      </w:r>
      <w:r w:rsidRPr="00C133A1">
        <w:rPr>
          <w:sz w:val="20"/>
          <w:szCs w:val="20"/>
        </w:rPr>
        <w:t xml:space="preserve">: 1074–1079. </w:t>
      </w:r>
      <w:hyperlink r:id="rId24" w:history="1">
        <w:r w:rsidRPr="00C133A1">
          <w:rPr>
            <w:rStyle w:val="Hyperlink"/>
            <w:sz w:val="20"/>
            <w:szCs w:val="20"/>
          </w:rPr>
          <w:t>https://doi.org/10.1073/pnas.1116364109</w:t>
        </w:r>
      </w:hyperlink>
    </w:p>
    <w:p w14:paraId="1F8A23F1" w14:textId="5EBA128A" w:rsidR="00007A80" w:rsidRPr="00C133A1" w:rsidRDefault="00007A80" w:rsidP="00007A80">
      <w:pPr>
        <w:spacing w:after="120" w:line="264" w:lineRule="auto"/>
        <w:rPr>
          <w:sz w:val="20"/>
          <w:szCs w:val="20"/>
        </w:rPr>
      </w:pPr>
      <w:proofErr w:type="spellStart"/>
      <w:r w:rsidRPr="00C133A1">
        <w:rPr>
          <w:sz w:val="20"/>
          <w:szCs w:val="20"/>
        </w:rPr>
        <w:t>Guyader</w:t>
      </w:r>
      <w:proofErr w:type="spellEnd"/>
      <w:r w:rsidRPr="00C133A1">
        <w:rPr>
          <w:sz w:val="20"/>
          <w:szCs w:val="20"/>
        </w:rPr>
        <w:t xml:space="preserve"> J, Janzen HH, </w:t>
      </w:r>
      <w:proofErr w:type="spellStart"/>
      <w:r w:rsidRPr="00C133A1">
        <w:rPr>
          <w:sz w:val="20"/>
          <w:szCs w:val="20"/>
        </w:rPr>
        <w:t>Kroebel</w:t>
      </w:r>
      <w:proofErr w:type="spellEnd"/>
      <w:r w:rsidRPr="00C133A1">
        <w:rPr>
          <w:sz w:val="20"/>
          <w:szCs w:val="20"/>
        </w:rPr>
        <w:t xml:space="preserve"> R, </w:t>
      </w:r>
      <w:proofErr w:type="spellStart"/>
      <w:r w:rsidRPr="00C133A1">
        <w:rPr>
          <w:sz w:val="20"/>
          <w:szCs w:val="20"/>
        </w:rPr>
        <w:t>Beauchemin</w:t>
      </w:r>
      <w:proofErr w:type="spellEnd"/>
      <w:r w:rsidRPr="00C133A1">
        <w:rPr>
          <w:sz w:val="20"/>
          <w:szCs w:val="20"/>
        </w:rPr>
        <w:t xml:space="preserve"> KA. 2016. Forage use to improve environmental sustainability of ruminant production, </w:t>
      </w:r>
      <w:r w:rsidRPr="00C133A1">
        <w:rPr>
          <w:i/>
          <w:iCs/>
          <w:sz w:val="20"/>
          <w:szCs w:val="20"/>
        </w:rPr>
        <w:t>Journal of Animal Science</w:t>
      </w:r>
      <w:r w:rsidRPr="00C133A1">
        <w:rPr>
          <w:sz w:val="20"/>
          <w:szCs w:val="20"/>
        </w:rPr>
        <w:t>, 94:</w:t>
      </w:r>
      <w:r w:rsidR="001127D5" w:rsidRPr="00C133A1">
        <w:rPr>
          <w:sz w:val="20"/>
          <w:szCs w:val="20"/>
        </w:rPr>
        <w:t xml:space="preserve"> </w:t>
      </w:r>
      <w:r w:rsidRPr="00C133A1">
        <w:rPr>
          <w:sz w:val="20"/>
          <w:szCs w:val="20"/>
        </w:rPr>
        <w:t>3147</w:t>
      </w:r>
      <w:r w:rsidR="001127D5" w:rsidRPr="00C133A1">
        <w:rPr>
          <w:sz w:val="20"/>
          <w:szCs w:val="20"/>
        </w:rPr>
        <w:t>-</w:t>
      </w:r>
      <w:r w:rsidRPr="00C133A1">
        <w:rPr>
          <w:sz w:val="20"/>
          <w:szCs w:val="20"/>
        </w:rPr>
        <w:t>3158</w:t>
      </w:r>
      <w:r w:rsidR="001127D5" w:rsidRPr="00C133A1">
        <w:rPr>
          <w:sz w:val="20"/>
          <w:szCs w:val="20"/>
        </w:rPr>
        <w:t xml:space="preserve">. </w:t>
      </w:r>
      <w:hyperlink r:id="rId25" w:history="1">
        <w:r w:rsidR="001127D5" w:rsidRPr="00C133A1">
          <w:rPr>
            <w:rStyle w:val="Hyperlink"/>
            <w:sz w:val="20"/>
            <w:szCs w:val="20"/>
          </w:rPr>
          <w:t>https://doi.org/10.2527/jas.2015-0141</w:t>
        </w:r>
      </w:hyperlink>
    </w:p>
    <w:p w14:paraId="38DD6892" w14:textId="77777777" w:rsidR="00F57824" w:rsidRPr="00C133A1" w:rsidRDefault="00F57824" w:rsidP="00F57824">
      <w:pPr>
        <w:spacing w:after="120" w:line="264" w:lineRule="auto"/>
        <w:rPr>
          <w:sz w:val="20"/>
          <w:szCs w:val="20"/>
        </w:rPr>
      </w:pPr>
      <w:r w:rsidRPr="00C133A1">
        <w:rPr>
          <w:sz w:val="20"/>
          <w:szCs w:val="20"/>
        </w:rPr>
        <w:t xml:space="preserve">Hawkins J, </w:t>
      </w:r>
      <w:proofErr w:type="spellStart"/>
      <w:r w:rsidRPr="00C133A1">
        <w:rPr>
          <w:sz w:val="20"/>
          <w:szCs w:val="20"/>
        </w:rPr>
        <w:t>Weersink</w:t>
      </w:r>
      <w:proofErr w:type="spellEnd"/>
      <w:r w:rsidRPr="00C133A1">
        <w:rPr>
          <w:sz w:val="20"/>
          <w:szCs w:val="20"/>
        </w:rPr>
        <w:t xml:space="preserve"> A, Wagner-Riddle C, Fox G. 2015. Optimizing ration formulation as a strategy for greenhouse gas mitigation in intensive dairy production systems. </w:t>
      </w:r>
      <w:r w:rsidRPr="00C133A1">
        <w:rPr>
          <w:i/>
          <w:sz w:val="20"/>
          <w:szCs w:val="20"/>
        </w:rPr>
        <w:t>Agricultural Systems</w:t>
      </w:r>
      <w:r w:rsidRPr="00C133A1">
        <w:rPr>
          <w:sz w:val="20"/>
          <w:szCs w:val="20"/>
        </w:rPr>
        <w:t xml:space="preserve">, 137: 1-11. </w:t>
      </w:r>
      <w:hyperlink r:id="rId26" w:history="1">
        <w:r w:rsidRPr="00C133A1">
          <w:rPr>
            <w:rStyle w:val="Hyperlink"/>
            <w:sz w:val="20"/>
            <w:szCs w:val="20"/>
          </w:rPr>
          <w:t>https://doi.org/10.1016/j.agsy.2015.03.007</w:t>
        </w:r>
      </w:hyperlink>
      <w:r w:rsidRPr="00C133A1">
        <w:rPr>
          <w:sz w:val="20"/>
          <w:szCs w:val="20"/>
        </w:rPr>
        <w:t>.</w:t>
      </w:r>
    </w:p>
    <w:p w14:paraId="3D68AC54" w14:textId="77777777" w:rsidR="00F57824" w:rsidRPr="00C133A1" w:rsidRDefault="00F57824" w:rsidP="00F57824">
      <w:pPr>
        <w:spacing w:after="120" w:line="264" w:lineRule="auto"/>
        <w:rPr>
          <w:sz w:val="20"/>
          <w:szCs w:val="20"/>
        </w:rPr>
      </w:pPr>
      <w:r w:rsidRPr="00C133A1">
        <w:rPr>
          <w:sz w:val="20"/>
          <w:szCs w:val="20"/>
        </w:rPr>
        <w:t>Kim S, Dale BE, Keck P. 2014. Energy Requirements and Greenhouse Gas Emissions of Maize Production in the USA. </w:t>
      </w:r>
      <w:proofErr w:type="spellStart"/>
      <w:r w:rsidRPr="00C133A1">
        <w:rPr>
          <w:i/>
          <w:iCs/>
          <w:sz w:val="20"/>
          <w:szCs w:val="20"/>
        </w:rPr>
        <w:t>Bioenerg</w:t>
      </w:r>
      <w:proofErr w:type="spellEnd"/>
      <w:r w:rsidRPr="00C133A1">
        <w:rPr>
          <w:i/>
          <w:iCs/>
          <w:sz w:val="20"/>
          <w:szCs w:val="20"/>
        </w:rPr>
        <w:t>. Res.</w:t>
      </w:r>
      <w:r w:rsidRPr="00C133A1">
        <w:rPr>
          <w:sz w:val="20"/>
          <w:szCs w:val="20"/>
        </w:rPr>
        <w:t> </w:t>
      </w:r>
      <w:r w:rsidRPr="00C133A1">
        <w:rPr>
          <w:bCs/>
          <w:sz w:val="20"/>
          <w:szCs w:val="20"/>
        </w:rPr>
        <w:t>7, </w:t>
      </w:r>
      <w:r w:rsidRPr="00C133A1">
        <w:rPr>
          <w:sz w:val="20"/>
          <w:szCs w:val="20"/>
        </w:rPr>
        <w:t xml:space="preserve">753–764. </w:t>
      </w:r>
      <w:hyperlink r:id="rId27" w:history="1">
        <w:r w:rsidRPr="00C133A1">
          <w:rPr>
            <w:rStyle w:val="Hyperlink"/>
            <w:sz w:val="20"/>
            <w:szCs w:val="20"/>
          </w:rPr>
          <w:t>https://doi.org/10.1007/s12155-013-9399-z</w:t>
        </w:r>
      </w:hyperlink>
    </w:p>
    <w:p w14:paraId="79A7F81A" w14:textId="77777777" w:rsidR="00F57824" w:rsidRPr="00C133A1" w:rsidRDefault="00F57824" w:rsidP="00F57824">
      <w:pPr>
        <w:spacing w:after="120" w:line="264" w:lineRule="auto"/>
        <w:rPr>
          <w:sz w:val="20"/>
          <w:szCs w:val="20"/>
        </w:rPr>
      </w:pPr>
      <w:r w:rsidRPr="00C133A1">
        <w:rPr>
          <w:sz w:val="20"/>
          <w:szCs w:val="20"/>
        </w:rPr>
        <w:t xml:space="preserve">Little SM, </w:t>
      </w:r>
      <w:proofErr w:type="spellStart"/>
      <w:r w:rsidRPr="00C133A1">
        <w:rPr>
          <w:sz w:val="20"/>
          <w:szCs w:val="20"/>
        </w:rPr>
        <w:t>Benchaar</w:t>
      </w:r>
      <w:proofErr w:type="spellEnd"/>
      <w:r w:rsidRPr="00C133A1">
        <w:rPr>
          <w:sz w:val="20"/>
          <w:szCs w:val="20"/>
        </w:rPr>
        <w:t xml:space="preserve"> C, Janzen HH, </w:t>
      </w:r>
      <w:proofErr w:type="spellStart"/>
      <w:r w:rsidRPr="00C133A1">
        <w:rPr>
          <w:sz w:val="20"/>
          <w:szCs w:val="20"/>
        </w:rPr>
        <w:t>Kröbel</w:t>
      </w:r>
      <w:proofErr w:type="spellEnd"/>
      <w:r w:rsidRPr="00C133A1">
        <w:rPr>
          <w:sz w:val="20"/>
          <w:szCs w:val="20"/>
        </w:rPr>
        <w:t xml:space="preserve"> R, McGeough EJ, </w:t>
      </w:r>
      <w:proofErr w:type="spellStart"/>
      <w:r w:rsidRPr="00C133A1">
        <w:rPr>
          <w:sz w:val="20"/>
          <w:szCs w:val="20"/>
        </w:rPr>
        <w:t>Beauchemin</w:t>
      </w:r>
      <w:proofErr w:type="spellEnd"/>
      <w:r w:rsidRPr="00C133A1">
        <w:rPr>
          <w:sz w:val="20"/>
          <w:szCs w:val="20"/>
        </w:rPr>
        <w:t xml:space="preserve"> KA. 2017. Demonstrating the Effect of Forage Source on the Carbon Footprint of a Canadian Dairy Farm Using Whole-Systems Analysis and the </w:t>
      </w:r>
      <w:proofErr w:type="spellStart"/>
      <w:r w:rsidRPr="00C133A1">
        <w:rPr>
          <w:sz w:val="20"/>
          <w:szCs w:val="20"/>
        </w:rPr>
        <w:t>Holos</w:t>
      </w:r>
      <w:proofErr w:type="spellEnd"/>
      <w:r w:rsidRPr="00C133A1">
        <w:rPr>
          <w:sz w:val="20"/>
          <w:szCs w:val="20"/>
        </w:rPr>
        <w:t xml:space="preserve"> Model: Alfalfa Silage vs. Corn Silage. </w:t>
      </w:r>
      <w:r w:rsidRPr="00C133A1">
        <w:rPr>
          <w:i/>
          <w:iCs/>
          <w:sz w:val="20"/>
          <w:szCs w:val="20"/>
        </w:rPr>
        <w:t>Climate</w:t>
      </w:r>
      <w:r w:rsidRPr="00C133A1">
        <w:rPr>
          <w:sz w:val="20"/>
          <w:szCs w:val="20"/>
        </w:rPr>
        <w:t xml:space="preserve">, 5:87. </w:t>
      </w:r>
      <w:hyperlink r:id="rId28" w:history="1">
        <w:r w:rsidRPr="00C133A1">
          <w:rPr>
            <w:rStyle w:val="Hyperlink"/>
            <w:sz w:val="20"/>
            <w:szCs w:val="20"/>
          </w:rPr>
          <w:t>https://doi.org/10.3390/cli5040087</w:t>
        </w:r>
      </w:hyperlink>
    </w:p>
    <w:p w14:paraId="3887FC12" w14:textId="77777777" w:rsidR="00F57824" w:rsidRPr="00C133A1" w:rsidRDefault="00F57824" w:rsidP="00F57824">
      <w:pPr>
        <w:spacing w:after="120" w:line="264" w:lineRule="auto"/>
        <w:rPr>
          <w:sz w:val="20"/>
          <w:szCs w:val="20"/>
        </w:rPr>
      </w:pPr>
      <w:r w:rsidRPr="00C133A1">
        <w:rPr>
          <w:sz w:val="20"/>
          <w:szCs w:val="20"/>
        </w:rPr>
        <w:t xml:space="preserve">Liu C, </w:t>
      </w:r>
      <w:proofErr w:type="spellStart"/>
      <w:r w:rsidRPr="00C133A1">
        <w:rPr>
          <w:sz w:val="20"/>
          <w:szCs w:val="20"/>
        </w:rPr>
        <w:t>Cutforth</w:t>
      </w:r>
      <w:proofErr w:type="spellEnd"/>
      <w:r w:rsidRPr="00C133A1">
        <w:rPr>
          <w:sz w:val="20"/>
          <w:szCs w:val="20"/>
        </w:rPr>
        <w:t xml:space="preserve"> H, Chai Q. </w:t>
      </w:r>
      <w:r w:rsidRPr="00C133A1">
        <w:rPr>
          <w:i/>
          <w:iCs/>
          <w:sz w:val="20"/>
          <w:szCs w:val="20"/>
        </w:rPr>
        <w:t>et al.</w:t>
      </w:r>
      <w:r w:rsidRPr="00C133A1">
        <w:rPr>
          <w:sz w:val="20"/>
          <w:szCs w:val="20"/>
        </w:rPr>
        <w:t> 2016. Farming tactics to reduce the carbon footprint of crop cultivation in semiarid areas. A review. </w:t>
      </w:r>
      <w:proofErr w:type="spellStart"/>
      <w:r w:rsidRPr="00C133A1">
        <w:rPr>
          <w:i/>
          <w:iCs/>
          <w:sz w:val="20"/>
          <w:szCs w:val="20"/>
        </w:rPr>
        <w:t>Agron</w:t>
      </w:r>
      <w:proofErr w:type="spellEnd"/>
      <w:r w:rsidRPr="00C133A1">
        <w:rPr>
          <w:i/>
          <w:iCs/>
          <w:sz w:val="20"/>
          <w:szCs w:val="20"/>
        </w:rPr>
        <w:t>. Sustain. Dev.</w:t>
      </w:r>
      <w:r w:rsidRPr="00C133A1">
        <w:rPr>
          <w:sz w:val="20"/>
          <w:szCs w:val="20"/>
        </w:rPr>
        <w:t> </w:t>
      </w:r>
      <w:r w:rsidRPr="00C133A1">
        <w:rPr>
          <w:bCs/>
          <w:sz w:val="20"/>
          <w:szCs w:val="20"/>
        </w:rPr>
        <w:t>36, </w:t>
      </w:r>
      <w:r w:rsidRPr="00C133A1">
        <w:rPr>
          <w:sz w:val="20"/>
          <w:szCs w:val="20"/>
        </w:rPr>
        <w:t xml:space="preserve">69. </w:t>
      </w:r>
      <w:hyperlink r:id="rId29" w:history="1">
        <w:r w:rsidRPr="00C133A1">
          <w:rPr>
            <w:rStyle w:val="Hyperlink"/>
            <w:sz w:val="20"/>
            <w:szCs w:val="20"/>
          </w:rPr>
          <w:t>https://doi.org/10.1007/s13593-016-0404-8</w:t>
        </w:r>
      </w:hyperlink>
    </w:p>
    <w:p w14:paraId="36F77B4C" w14:textId="77777777" w:rsidR="00F57824" w:rsidRPr="00C133A1" w:rsidRDefault="00F57824" w:rsidP="00F57824">
      <w:pPr>
        <w:spacing w:after="120" w:line="264" w:lineRule="auto"/>
        <w:rPr>
          <w:sz w:val="20"/>
          <w:szCs w:val="20"/>
        </w:rPr>
      </w:pPr>
      <w:r w:rsidRPr="00C133A1">
        <w:rPr>
          <w:sz w:val="20"/>
          <w:szCs w:val="20"/>
        </w:rPr>
        <w:t>Putnam D. 2016. Nitrogen Dynamics in Cropping Systems – Why Alfalfa Is Important. California Plant and Soil Conference. February 2-3, 2016, Visalia, California.</w:t>
      </w:r>
    </w:p>
    <w:p w14:paraId="533D6708" w14:textId="77777777" w:rsidR="00F57824" w:rsidRPr="00C133A1" w:rsidRDefault="00F57824" w:rsidP="00F57824">
      <w:pPr>
        <w:spacing w:after="120" w:line="264" w:lineRule="auto"/>
        <w:rPr>
          <w:rStyle w:val="Hyperlink"/>
          <w:sz w:val="20"/>
          <w:szCs w:val="20"/>
        </w:rPr>
      </w:pPr>
      <w:proofErr w:type="spellStart"/>
      <w:r w:rsidRPr="00C133A1">
        <w:rPr>
          <w:sz w:val="20"/>
          <w:szCs w:val="20"/>
        </w:rPr>
        <w:t>Thoma</w:t>
      </w:r>
      <w:proofErr w:type="spellEnd"/>
      <w:r w:rsidRPr="00C133A1">
        <w:rPr>
          <w:sz w:val="20"/>
          <w:szCs w:val="20"/>
        </w:rPr>
        <w:t xml:space="preserve"> G, et al. 2013. Regional analysis of greenhouse gas emissions from USA dairy farms: A cradle to farm-gate assessment of the American dairy industry circa 2008. </w:t>
      </w:r>
      <w:r w:rsidRPr="00C133A1">
        <w:rPr>
          <w:i/>
          <w:sz w:val="20"/>
          <w:szCs w:val="20"/>
        </w:rPr>
        <w:t xml:space="preserve">International Dairy Journal </w:t>
      </w:r>
      <w:r w:rsidRPr="00C133A1">
        <w:rPr>
          <w:sz w:val="20"/>
          <w:szCs w:val="20"/>
        </w:rPr>
        <w:t xml:space="preserve">31: S29-S40. </w:t>
      </w:r>
      <w:hyperlink r:id="rId30" w:tgtFrame="_blank" w:history="1">
        <w:r w:rsidRPr="00C133A1">
          <w:rPr>
            <w:rStyle w:val="Hyperlink"/>
            <w:sz w:val="20"/>
            <w:szCs w:val="20"/>
          </w:rPr>
          <w:t>10.1016/j.idairyj.2012.09.010</w:t>
        </w:r>
      </w:hyperlink>
    </w:p>
    <w:p w14:paraId="1C741457" w14:textId="3041F363" w:rsidR="00007A80" w:rsidRPr="00C133A1" w:rsidRDefault="001127D5" w:rsidP="001127D5">
      <w:pPr>
        <w:spacing w:after="120" w:line="264" w:lineRule="auto"/>
        <w:rPr>
          <w:sz w:val="20"/>
          <w:szCs w:val="20"/>
        </w:rPr>
      </w:pPr>
      <w:proofErr w:type="spellStart"/>
      <w:r w:rsidRPr="00C133A1">
        <w:rPr>
          <w:sz w:val="20"/>
          <w:szCs w:val="20"/>
        </w:rPr>
        <w:t>Veltman</w:t>
      </w:r>
      <w:proofErr w:type="spellEnd"/>
      <w:r w:rsidRPr="00C133A1">
        <w:rPr>
          <w:sz w:val="20"/>
          <w:szCs w:val="20"/>
        </w:rPr>
        <w:t xml:space="preserve"> K, </w:t>
      </w:r>
      <w:proofErr w:type="spellStart"/>
      <w:r w:rsidRPr="00C133A1">
        <w:rPr>
          <w:sz w:val="20"/>
          <w:szCs w:val="20"/>
        </w:rPr>
        <w:t>Rotz</w:t>
      </w:r>
      <w:proofErr w:type="spellEnd"/>
      <w:r w:rsidRPr="00C133A1">
        <w:rPr>
          <w:sz w:val="20"/>
          <w:szCs w:val="20"/>
        </w:rPr>
        <w:t xml:space="preserve"> CA, Chase L, Cooper J, Ingraham P, </w:t>
      </w:r>
      <w:proofErr w:type="spellStart"/>
      <w:r w:rsidRPr="00C133A1">
        <w:rPr>
          <w:sz w:val="20"/>
          <w:szCs w:val="20"/>
        </w:rPr>
        <w:t>Izaurralde</w:t>
      </w:r>
      <w:proofErr w:type="spellEnd"/>
      <w:r w:rsidRPr="00C133A1">
        <w:rPr>
          <w:sz w:val="20"/>
          <w:szCs w:val="20"/>
        </w:rPr>
        <w:t xml:space="preserve"> RC, Jones CD, Gaillard R, Larson RA, </w:t>
      </w:r>
      <w:proofErr w:type="spellStart"/>
      <w:r w:rsidRPr="00C133A1">
        <w:rPr>
          <w:sz w:val="20"/>
          <w:szCs w:val="20"/>
        </w:rPr>
        <w:t>Ruark</w:t>
      </w:r>
      <w:proofErr w:type="spellEnd"/>
      <w:r w:rsidRPr="00C133A1">
        <w:rPr>
          <w:sz w:val="20"/>
          <w:szCs w:val="20"/>
        </w:rPr>
        <w:t xml:space="preserve"> M, Salas W, </w:t>
      </w:r>
      <w:proofErr w:type="spellStart"/>
      <w:r w:rsidRPr="00C133A1">
        <w:rPr>
          <w:sz w:val="20"/>
          <w:szCs w:val="20"/>
        </w:rPr>
        <w:t>Thoma</w:t>
      </w:r>
      <w:proofErr w:type="spellEnd"/>
      <w:r w:rsidRPr="00C133A1">
        <w:rPr>
          <w:sz w:val="20"/>
          <w:szCs w:val="20"/>
        </w:rPr>
        <w:t xml:space="preserve"> G, Jolliet O. 2018. A quantitative assessment of Beneficial Management Practices to reduce carbon and reactive nitrogen footprints and phosphorus losses on dairy farms in the US Great Lakes region. </w:t>
      </w:r>
      <w:r w:rsidRPr="00C133A1">
        <w:rPr>
          <w:i/>
          <w:sz w:val="20"/>
          <w:szCs w:val="20"/>
        </w:rPr>
        <w:t>Agricultural Systems</w:t>
      </w:r>
      <w:r w:rsidRPr="00C133A1">
        <w:rPr>
          <w:sz w:val="20"/>
          <w:szCs w:val="20"/>
        </w:rPr>
        <w:t xml:space="preserve">, 166: 10-25. </w:t>
      </w:r>
      <w:hyperlink r:id="rId31" w:history="1">
        <w:r w:rsidRPr="00C133A1">
          <w:rPr>
            <w:rStyle w:val="Hyperlink"/>
            <w:sz w:val="20"/>
            <w:szCs w:val="20"/>
          </w:rPr>
          <w:t>https://doi.org/10.1016/j.agsy.2018.07.005</w:t>
        </w:r>
      </w:hyperlink>
      <w:r w:rsidRPr="00C133A1">
        <w:rPr>
          <w:sz w:val="20"/>
          <w:szCs w:val="20"/>
        </w:rPr>
        <w:t>.</w:t>
      </w:r>
    </w:p>
    <w:p w14:paraId="23BA0E61" w14:textId="7E6954C6" w:rsidR="007C35A1" w:rsidRPr="00C133A1" w:rsidRDefault="007C35A1" w:rsidP="007C35A1">
      <w:pPr>
        <w:spacing w:after="120" w:line="264" w:lineRule="auto"/>
        <w:rPr>
          <w:sz w:val="20"/>
          <w:szCs w:val="20"/>
        </w:rPr>
      </w:pPr>
      <w:r w:rsidRPr="00C133A1">
        <w:rPr>
          <w:sz w:val="20"/>
          <w:szCs w:val="20"/>
        </w:rPr>
        <w:t>W</w:t>
      </w:r>
      <w:r w:rsidR="00F57824" w:rsidRPr="00C133A1">
        <w:rPr>
          <w:sz w:val="20"/>
          <w:szCs w:val="20"/>
        </w:rPr>
        <w:t>ang X</w:t>
      </w:r>
      <w:r w:rsidRPr="00C133A1">
        <w:rPr>
          <w:sz w:val="20"/>
          <w:szCs w:val="20"/>
        </w:rPr>
        <w:t xml:space="preserve">, </w:t>
      </w:r>
      <w:proofErr w:type="spellStart"/>
      <w:r w:rsidRPr="00C133A1">
        <w:rPr>
          <w:sz w:val="20"/>
          <w:szCs w:val="20"/>
        </w:rPr>
        <w:t>L</w:t>
      </w:r>
      <w:r w:rsidR="00F57824" w:rsidRPr="00C133A1">
        <w:rPr>
          <w:sz w:val="20"/>
          <w:szCs w:val="20"/>
        </w:rPr>
        <w:t>edgard</w:t>
      </w:r>
      <w:proofErr w:type="spellEnd"/>
      <w:r w:rsidR="00F57824" w:rsidRPr="00C133A1">
        <w:rPr>
          <w:sz w:val="20"/>
          <w:szCs w:val="20"/>
        </w:rPr>
        <w:t xml:space="preserve"> S</w:t>
      </w:r>
      <w:r w:rsidRPr="00C133A1">
        <w:rPr>
          <w:sz w:val="20"/>
          <w:szCs w:val="20"/>
        </w:rPr>
        <w:t>, Luo</w:t>
      </w:r>
      <w:r w:rsidR="00F57824" w:rsidRPr="00C133A1">
        <w:rPr>
          <w:sz w:val="20"/>
          <w:szCs w:val="20"/>
        </w:rPr>
        <w:t xml:space="preserve"> J</w:t>
      </w:r>
      <w:r w:rsidRPr="00C133A1">
        <w:rPr>
          <w:sz w:val="20"/>
          <w:szCs w:val="20"/>
        </w:rPr>
        <w:t>, Chen</w:t>
      </w:r>
      <w:r w:rsidR="00F57824" w:rsidRPr="00C133A1">
        <w:rPr>
          <w:sz w:val="20"/>
          <w:szCs w:val="20"/>
        </w:rPr>
        <w:t xml:space="preserve"> Y</w:t>
      </w:r>
      <w:r w:rsidRPr="00C133A1">
        <w:rPr>
          <w:sz w:val="20"/>
          <w:szCs w:val="20"/>
        </w:rPr>
        <w:t>, Tian</w:t>
      </w:r>
      <w:r w:rsidR="00F57824" w:rsidRPr="00C133A1">
        <w:rPr>
          <w:sz w:val="20"/>
          <w:szCs w:val="20"/>
        </w:rPr>
        <w:t xml:space="preserve"> Y</w:t>
      </w:r>
      <w:r w:rsidRPr="00C133A1">
        <w:rPr>
          <w:sz w:val="20"/>
          <w:szCs w:val="20"/>
        </w:rPr>
        <w:t>, Wei</w:t>
      </w:r>
      <w:r w:rsidR="00F57824" w:rsidRPr="00C133A1">
        <w:rPr>
          <w:sz w:val="20"/>
          <w:szCs w:val="20"/>
        </w:rPr>
        <w:t xml:space="preserve"> Z</w:t>
      </w:r>
      <w:r w:rsidRPr="00C133A1">
        <w:rPr>
          <w:sz w:val="20"/>
          <w:szCs w:val="20"/>
        </w:rPr>
        <w:t>, Liang</w:t>
      </w:r>
      <w:r w:rsidR="00F57824" w:rsidRPr="00C133A1">
        <w:rPr>
          <w:sz w:val="20"/>
          <w:szCs w:val="20"/>
        </w:rPr>
        <w:t xml:space="preserve"> D</w:t>
      </w:r>
      <w:r w:rsidRPr="00C133A1">
        <w:rPr>
          <w:sz w:val="20"/>
          <w:szCs w:val="20"/>
        </w:rPr>
        <w:t>, Ma</w:t>
      </w:r>
      <w:r w:rsidR="00F57824" w:rsidRPr="00C133A1">
        <w:rPr>
          <w:sz w:val="20"/>
          <w:szCs w:val="20"/>
        </w:rPr>
        <w:t xml:space="preserve"> L</w:t>
      </w:r>
      <w:r w:rsidRPr="00C133A1">
        <w:rPr>
          <w:sz w:val="20"/>
          <w:szCs w:val="20"/>
        </w:rPr>
        <w:t xml:space="preserve">. 2021. Life cycle assessment of alfalfa production and potential environmental improvement measures in Northwest China. </w:t>
      </w:r>
      <w:r w:rsidRPr="00C133A1">
        <w:rPr>
          <w:i/>
          <w:sz w:val="20"/>
          <w:szCs w:val="20"/>
        </w:rPr>
        <w:t>Journal of Cleaner Production</w:t>
      </w:r>
      <w:r w:rsidRPr="00C133A1">
        <w:rPr>
          <w:sz w:val="20"/>
          <w:szCs w:val="20"/>
        </w:rPr>
        <w:t xml:space="preserve">, 304: 127025. </w:t>
      </w:r>
      <w:hyperlink r:id="rId32" w:history="1">
        <w:r w:rsidRPr="00C133A1">
          <w:rPr>
            <w:rStyle w:val="Hyperlink"/>
            <w:sz w:val="20"/>
            <w:szCs w:val="20"/>
          </w:rPr>
          <w:t>https://doi.org/10.1016/j.jclepro.2021.127025</w:t>
        </w:r>
      </w:hyperlink>
      <w:r w:rsidRPr="00C133A1">
        <w:rPr>
          <w:sz w:val="20"/>
          <w:szCs w:val="20"/>
        </w:rPr>
        <w:t>.</w:t>
      </w:r>
    </w:p>
    <w:sectPr w:rsidR="007C35A1" w:rsidRPr="00C133A1" w:rsidSect="0013360A">
      <w:footerReference w:type="default" r:id="rId3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F01C4" w14:textId="77777777" w:rsidR="00F426C4" w:rsidRDefault="00F426C4">
      <w:pPr>
        <w:spacing w:after="0" w:line="240" w:lineRule="auto"/>
      </w:pPr>
      <w:r>
        <w:separator/>
      </w:r>
    </w:p>
  </w:endnote>
  <w:endnote w:type="continuationSeparator" w:id="0">
    <w:p w14:paraId="750CD3BB" w14:textId="77777777" w:rsidR="00F426C4" w:rsidRDefault="00F42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6" w14:textId="78CB238B" w:rsidR="006666F2" w:rsidRDefault="007F5BFC">
    <w:pPr>
      <w:jc w:val="right"/>
    </w:pPr>
    <w:r>
      <w:fldChar w:fldCharType="begin"/>
    </w:r>
    <w:r>
      <w:instrText>PAGE</w:instrText>
    </w:r>
    <w:r>
      <w:fldChar w:fldCharType="separate"/>
    </w:r>
    <w:r w:rsidR="006518A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E38B0" w14:textId="77777777" w:rsidR="00F426C4" w:rsidRDefault="00F426C4">
      <w:pPr>
        <w:spacing w:after="0" w:line="240" w:lineRule="auto"/>
      </w:pPr>
      <w:r>
        <w:separator/>
      </w:r>
    </w:p>
  </w:footnote>
  <w:footnote w:type="continuationSeparator" w:id="0">
    <w:p w14:paraId="3779755D" w14:textId="77777777" w:rsidR="00F426C4" w:rsidRDefault="00F426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5A59"/>
    <w:multiLevelType w:val="multilevel"/>
    <w:tmpl w:val="C62AF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F14447A"/>
    <w:multiLevelType w:val="hybridMultilevel"/>
    <w:tmpl w:val="1C96EF30"/>
    <w:lvl w:ilvl="0" w:tplc="BE2648D8">
      <w:start w:val="1"/>
      <w:numFmt w:val="decimal"/>
      <w:lvlText w:val="%1."/>
      <w:lvlJc w:val="left"/>
      <w:pPr>
        <w:ind w:left="648" w:hanging="360"/>
      </w:pPr>
      <w:rPr>
        <w:rFonts w:hint="default"/>
        <w:color w:val="00000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73E853E8"/>
    <w:multiLevelType w:val="hybridMultilevel"/>
    <w:tmpl w:val="8948FE9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75DD60D0"/>
    <w:multiLevelType w:val="multilevel"/>
    <w:tmpl w:val="BC2802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F2"/>
    <w:rsid w:val="00007A80"/>
    <w:rsid w:val="000F02F3"/>
    <w:rsid w:val="001127D5"/>
    <w:rsid w:val="0013360A"/>
    <w:rsid w:val="001F52B4"/>
    <w:rsid w:val="00210462"/>
    <w:rsid w:val="004F246A"/>
    <w:rsid w:val="006518A4"/>
    <w:rsid w:val="006666F2"/>
    <w:rsid w:val="007632F0"/>
    <w:rsid w:val="00780976"/>
    <w:rsid w:val="007C35A1"/>
    <w:rsid w:val="007F5BFC"/>
    <w:rsid w:val="00880BAA"/>
    <w:rsid w:val="00895482"/>
    <w:rsid w:val="008D1A50"/>
    <w:rsid w:val="008F458F"/>
    <w:rsid w:val="00B5117F"/>
    <w:rsid w:val="00C133A1"/>
    <w:rsid w:val="00F1159F"/>
    <w:rsid w:val="00F426C4"/>
    <w:rsid w:val="00F57824"/>
    <w:rsid w:val="00F70DB7"/>
    <w:rsid w:val="00F9797F"/>
    <w:rsid w:val="00FA0671"/>
    <w:rsid w:val="00FD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BFAD"/>
  <w15:docId w15:val="{0BF7B804-358F-491E-A3F0-72403BC0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A356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18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8A4"/>
    <w:rPr>
      <w:rFonts w:ascii="Segoe UI" w:hAnsi="Segoe UI" w:cs="Segoe UI"/>
      <w:sz w:val="18"/>
      <w:szCs w:val="18"/>
    </w:rPr>
  </w:style>
  <w:style w:type="character" w:styleId="Hyperlink">
    <w:name w:val="Hyperlink"/>
    <w:basedOn w:val="DefaultParagraphFont"/>
    <w:uiPriority w:val="99"/>
    <w:unhideWhenUsed/>
    <w:rsid w:val="00895482"/>
    <w:rPr>
      <w:color w:val="0563C1" w:themeColor="hyperlink"/>
      <w:u w:val="single"/>
    </w:rPr>
  </w:style>
  <w:style w:type="character" w:styleId="UnresolvedMention">
    <w:name w:val="Unresolved Mention"/>
    <w:basedOn w:val="DefaultParagraphFont"/>
    <w:uiPriority w:val="99"/>
    <w:semiHidden/>
    <w:unhideWhenUsed/>
    <w:rsid w:val="00895482"/>
    <w:rPr>
      <w:color w:val="605E5C"/>
      <w:shd w:val="clear" w:color="auto" w:fill="E1DFDD"/>
    </w:rPr>
  </w:style>
  <w:style w:type="table" w:styleId="TableGrid">
    <w:name w:val="Table Grid"/>
    <w:basedOn w:val="TableNormal"/>
    <w:uiPriority w:val="39"/>
    <w:rsid w:val="000F02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F02F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16338">
      <w:bodyDiv w:val="1"/>
      <w:marLeft w:val="0"/>
      <w:marRight w:val="0"/>
      <w:marTop w:val="0"/>
      <w:marBottom w:val="0"/>
      <w:divBdr>
        <w:top w:val="none" w:sz="0" w:space="0" w:color="auto"/>
        <w:left w:val="none" w:sz="0" w:space="0" w:color="auto"/>
        <w:bottom w:val="none" w:sz="0" w:space="0" w:color="auto"/>
        <w:right w:val="none" w:sz="0" w:space="0" w:color="auto"/>
      </w:divBdr>
    </w:div>
    <w:div w:id="904219803">
      <w:bodyDiv w:val="1"/>
      <w:marLeft w:val="0"/>
      <w:marRight w:val="0"/>
      <w:marTop w:val="0"/>
      <w:marBottom w:val="0"/>
      <w:divBdr>
        <w:top w:val="none" w:sz="0" w:space="0" w:color="auto"/>
        <w:left w:val="none" w:sz="0" w:space="0" w:color="auto"/>
        <w:bottom w:val="none" w:sz="0" w:space="0" w:color="auto"/>
        <w:right w:val="none" w:sz="0" w:space="0" w:color="auto"/>
      </w:divBdr>
    </w:div>
    <w:div w:id="1098714611">
      <w:bodyDiv w:val="1"/>
      <w:marLeft w:val="0"/>
      <w:marRight w:val="0"/>
      <w:marTop w:val="0"/>
      <w:marBottom w:val="0"/>
      <w:divBdr>
        <w:top w:val="none" w:sz="0" w:space="0" w:color="auto"/>
        <w:left w:val="none" w:sz="0" w:space="0" w:color="auto"/>
        <w:bottom w:val="none" w:sz="0" w:space="0" w:color="auto"/>
        <w:right w:val="none" w:sz="0" w:space="0" w:color="auto"/>
      </w:divBdr>
    </w:div>
    <w:div w:id="1790779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38498.html" TargetMode="External"/><Relationship Id="rId13" Type="http://schemas.openxmlformats.org/officeDocument/2006/relationships/hyperlink" Target="https://ucanr.edu/blogs/Alfalfa/" TargetMode="External"/><Relationship Id="rId18" Type="http://schemas.openxmlformats.org/officeDocument/2006/relationships/hyperlink" Target="mailto:dhputnam@ucdavis.edu" TargetMode="External"/><Relationship Id="rId26" Type="http://schemas.openxmlformats.org/officeDocument/2006/relationships/hyperlink" Target="https://doi.org/10.1016/j.agsy.2015.03.007" TargetMode="External"/><Relationship Id="rId3" Type="http://schemas.openxmlformats.org/officeDocument/2006/relationships/styles" Target="styles.xml"/><Relationship Id="rId21" Type="http://schemas.openxmlformats.org/officeDocument/2006/relationships/hyperlink" Target="https://doi.org/10.1525/bio.2013.63.4.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alfalfa.ucdavis.edu" TargetMode="External"/><Relationship Id="rId17" Type="http://schemas.openxmlformats.org/officeDocument/2006/relationships/hyperlink" Target="mailto:cpittelkow@ucdavis.edu" TargetMode="External"/><Relationship Id="rId25" Type="http://schemas.openxmlformats.org/officeDocument/2006/relationships/hyperlink" Target="https://doi.org/10.2527/jas.2015-0141"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usdairy.com/sustainability/environmental-sustainability" TargetMode="External"/><Relationship Id="rId20" Type="http://schemas.openxmlformats.org/officeDocument/2006/relationships/hyperlink" Target="https://doi.org/10.1016/j.scitotenv.2018.04.161" TargetMode="External"/><Relationship Id="rId29" Type="http://schemas.openxmlformats.org/officeDocument/2006/relationships/hyperlink" Target="https://doi.org/10.1007/s13593-016-040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pat.sc.egov.usda.gov/Default.aspx" TargetMode="External"/><Relationship Id="rId24" Type="http://schemas.openxmlformats.org/officeDocument/2006/relationships/hyperlink" Target="https://doi.org/10.1073/pnas.1116364109" TargetMode="External"/><Relationship Id="rId32" Type="http://schemas.openxmlformats.org/officeDocument/2006/relationships/hyperlink" Target="https://doi.org/10.1016/j.jclepro.2021.127025" TargetMode="External"/><Relationship Id="rId5" Type="http://schemas.openxmlformats.org/officeDocument/2006/relationships/webSettings" Target="webSettings.xml"/><Relationship Id="rId15" Type="http://schemas.openxmlformats.org/officeDocument/2006/relationships/hyperlink" Target="https://ecosystemservicesmarket.org/eco-harvest/" TargetMode="External"/><Relationship Id="rId23" Type="http://schemas.openxmlformats.org/officeDocument/2006/relationships/hyperlink" Target="https://www.pnas.org/doi/full/10.1073/pnas.1402183111" TargetMode="External"/><Relationship Id="rId28" Type="http://schemas.openxmlformats.org/officeDocument/2006/relationships/hyperlink" Target="https://doi.org/10.3390/cli5040087" TargetMode="External"/><Relationship Id="rId10" Type="http://schemas.openxmlformats.org/officeDocument/2006/relationships/hyperlink" Target="https://coststudies.ucdavis.edu/en/current/" TargetMode="External"/><Relationship Id="rId19" Type="http://schemas.openxmlformats.org/officeDocument/2006/relationships/hyperlink" Target="https://doi.org/10.1007/s11367-012-0386-y" TargetMode="External"/><Relationship Id="rId31" Type="http://schemas.openxmlformats.org/officeDocument/2006/relationships/hyperlink" Target="https://doi.org/10.1016/j.agsy.2018.07.005" TargetMode="External"/><Relationship Id="rId4" Type="http://schemas.openxmlformats.org/officeDocument/2006/relationships/settings" Target="settings.xml"/><Relationship Id="rId9" Type="http://schemas.openxmlformats.org/officeDocument/2006/relationships/hyperlink" Target="https://www.fao.org/partnerships/leap/database/ghg-crops/en/" TargetMode="External"/><Relationship Id="rId14" Type="http://schemas.openxmlformats.org/officeDocument/2006/relationships/hyperlink" Target="https://www.science.org/doi/10.1126/science.abl7991" TargetMode="External"/><Relationship Id="rId22" Type="http://schemas.openxmlformats.org/officeDocument/2006/relationships/hyperlink" Target="https://doi.org/10.1007/s11367-020-01812-x" TargetMode="External"/><Relationship Id="rId27" Type="http://schemas.openxmlformats.org/officeDocument/2006/relationships/hyperlink" Target="https://doi.org/10.1007/s12155-013-9399-z" TargetMode="External"/><Relationship Id="rId30" Type="http://schemas.openxmlformats.org/officeDocument/2006/relationships/hyperlink" Target="https://doi.org/10.1016/j.idairyj.2012.09.010"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qc5bm/fFTFAOmIHYljYS+1NHJA==">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Pittelkow</dc:creator>
  <cp:lastModifiedBy>Cameron Pittelkow</cp:lastModifiedBy>
  <cp:revision>10</cp:revision>
  <dcterms:created xsi:type="dcterms:W3CDTF">2022-06-14T17:09:00Z</dcterms:created>
  <dcterms:modified xsi:type="dcterms:W3CDTF">2022-06-15T04:19:00Z</dcterms:modified>
</cp:coreProperties>
</file>