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2D2DC5C8"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0E7436">
        <w:rPr>
          <w:rFonts w:ascii="Calibri" w:hAnsi="Calibri" w:cs="Calibri"/>
          <w:b/>
          <w:bCs/>
          <w:lang w:val="en-US"/>
        </w:rPr>
        <w:t>ple 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0E7436">
        <w:rPr>
          <w:rFonts w:ascii="Calibri" w:hAnsi="Calibri" w:cs="Calibri"/>
          <w:b/>
          <w:bCs/>
          <w:lang w:val="en-US"/>
        </w:rPr>
        <w:t xml:space="preserve">highlights tradeoffs in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782F03">
        <w:rPr>
          <w:rFonts w:ascii="Calibri" w:hAnsi="Calibri" w:cs="Calibri"/>
          <w:b/>
          <w:bCs/>
          <w:lang w:val="en-US"/>
        </w:rPr>
        <w:t>residue</w:t>
      </w:r>
      <w:r w:rsidR="00782F03" w:rsidRPr="00B730C3">
        <w:rPr>
          <w:rFonts w:ascii="Calibri" w:hAnsi="Calibri" w:cs="Calibri"/>
          <w:b/>
          <w:bCs/>
          <w:lang w:val="en-US"/>
        </w:rPr>
        <w:t xml:space="preserve"> management</w:t>
      </w:r>
      <w:r w:rsidR="000E7436">
        <w:rPr>
          <w:rFonts w:ascii="Calibri" w:hAnsi="Calibri" w:cs="Calibri"/>
          <w:b/>
          <w:bCs/>
          <w:lang w:val="en-US"/>
        </w:rPr>
        <w:t xml:space="preserve"> systems</w:t>
      </w:r>
    </w:p>
    <w:p w14:paraId="4B503908" w14:textId="77777777" w:rsidR="0053182E" w:rsidRPr="00782F03" w:rsidRDefault="0053182E" w:rsidP="00045088">
      <w:pPr>
        <w:spacing w:line="360" w:lineRule="auto"/>
        <w:rPr>
          <w:lang w:val="fr-CA"/>
        </w:rPr>
      </w:pPr>
    </w:p>
    <w:p w14:paraId="5FA8BC59" w14:textId="1E85DFE4"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Emma Randahl-Beltran</w:t>
      </w:r>
      <w:r w:rsidRPr="00806BB5">
        <w:rPr>
          <w:b/>
          <w:bCs/>
          <w:vertAlign w:val="superscript"/>
          <w:lang w:val="fr-CA"/>
        </w:rPr>
        <w:t>1</w:t>
      </w:r>
      <w:r w:rsidRPr="00806BB5">
        <w:rPr>
          <w:b/>
          <w:bCs/>
          <w:lang w:val="fr-CA"/>
        </w:rPr>
        <w:t xml:space="preserve"> 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50D140CB" w:rsidR="008141BB" w:rsidRPr="00806BB5" w:rsidRDefault="008141BB" w:rsidP="00045088">
      <w:pPr>
        <w:spacing w:line="360" w:lineRule="auto"/>
        <w:rPr>
          <w:lang w:val="fr-CA"/>
        </w:rPr>
      </w:pPr>
      <w:r w:rsidRPr="00806BB5">
        <w:rPr>
          <w:lang w:val="fr-CA"/>
        </w:rPr>
        <w:t>Correspondence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6FD048AC" w14:textId="412D01E3" w:rsidR="009432A7" w:rsidRDefault="009432A7" w:rsidP="00045088">
      <w:pPr>
        <w:spacing w:line="360" w:lineRule="auto"/>
        <w:rPr>
          <w:lang w:val="en-US"/>
        </w:rPr>
      </w:pPr>
      <w:r>
        <w:rPr>
          <w:lang w:val="en-US"/>
        </w:rPr>
        <w:t>Marco…</w:t>
      </w:r>
    </w:p>
    <w:p w14:paraId="73D654A0" w14:textId="77777777" w:rsidR="006C0AA5" w:rsidRDefault="006C0AA5" w:rsidP="006C0AA5">
      <w:pPr>
        <w:spacing w:line="360" w:lineRule="auto"/>
        <w:rPr>
          <w:lang w:val="en-US"/>
        </w:rPr>
      </w:pPr>
      <w:r>
        <w:rPr>
          <w:lang w:val="en-US"/>
        </w:rPr>
        <w:t>Emma Randahl-Beltran, esrb@agro.au.dk</w:t>
      </w:r>
    </w:p>
    <w:p w14:paraId="6DD3D143" w14:textId="2BE71097" w:rsidR="009432A7" w:rsidRDefault="009432A7" w:rsidP="00045088">
      <w:pPr>
        <w:spacing w:line="360" w:lineRule="auto"/>
        <w:rPr>
          <w:lang w:val="en-US"/>
        </w:rPr>
      </w:pPr>
      <w:r>
        <w:rPr>
          <w:lang w:val="en-US"/>
        </w:rPr>
        <w:t>Mette</w:t>
      </w:r>
    </w:p>
    <w:p w14:paraId="375D8A1E" w14:textId="77777777" w:rsidR="0012160D" w:rsidRDefault="009432A7" w:rsidP="00045088">
      <w:pPr>
        <w:spacing w:line="360" w:lineRule="auto"/>
        <w:rPr>
          <w:lang w:val="en-US"/>
        </w:rPr>
      </w:pPr>
      <w:r>
        <w:rPr>
          <w:lang w:val="en-US"/>
        </w:rPr>
        <w:t>Bo</w:t>
      </w:r>
      <w:r w:rsidR="0012160D">
        <w:rPr>
          <w:lang w:val="en-US"/>
        </w:rPr>
        <w:t xml:space="preserve"> Melander</w:t>
      </w:r>
    </w:p>
    <w:p w14:paraId="282E3391" w14:textId="7256DD71" w:rsidR="009432A7" w:rsidRPr="009432A7" w:rsidRDefault="0012160D" w:rsidP="00045088">
      <w:pPr>
        <w:spacing w:line="360" w:lineRule="auto"/>
        <w:rPr>
          <w:lang w:val="en-US"/>
        </w:rPr>
      </w:pPr>
      <w:r>
        <w:rPr>
          <w:lang w:val="en-US"/>
        </w:rPr>
        <w:t>Email: bo.melander@agro.au.dk</w:t>
      </w:r>
    </w:p>
    <w:p w14:paraId="42CCADBB" w14:textId="0EF9F97E" w:rsidR="0053182E" w:rsidRPr="00045088" w:rsidRDefault="0053182E" w:rsidP="00045088">
      <w:pPr>
        <w:spacing w:line="360" w:lineRule="auto"/>
      </w:pPr>
    </w:p>
    <w:p w14:paraId="26E51B1C" w14:textId="785E09A7" w:rsidR="008141BB" w:rsidRPr="00045088" w:rsidRDefault="008141BB" w:rsidP="00045088">
      <w:pPr>
        <w:spacing w:line="360" w:lineRule="auto"/>
      </w:pPr>
      <w:r w:rsidRPr="00045088">
        <w:t>Funding information</w:t>
      </w:r>
    </w:p>
    <w:p w14:paraId="4AA53398" w14:textId="208F67E2" w:rsidR="008141BB" w:rsidRPr="00045088" w:rsidRDefault="00D52562" w:rsidP="00045088">
      <w:pPr>
        <w:spacing w:line="360" w:lineRule="auto"/>
      </w:pPr>
      <w:r>
        <w:t>[</w:t>
      </w:r>
      <w:r w:rsidR="0012160D" w:rsidRPr="006F4E10">
        <w:rPr>
          <w:lang w:val="en-US"/>
        </w:rPr>
        <w:t xml:space="preserve">This research was funded by the European Union’s Horizon 2020 research and innovation program under grant agreement No. 727321 (project acronym, IWMPRAISE); we thank the funding body for its financial support. </w:t>
      </w:r>
      <w:r>
        <w:t>]</w:t>
      </w:r>
    </w:p>
    <w:p w14:paraId="2A994339" w14:textId="77777777" w:rsidR="009432A7" w:rsidRDefault="009432A7" w:rsidP="00045088">
      <w:pPr>
        <w:spacing w:line="360" w:lineRule="auto"/>
      </w:pPr>
    </w:p>
    <w:p w14:paraId="1B304622" w14:textId="77777777" w:rsidR="00B76139" w:rsidRPr="00045088" w:rsidRDefault="00C23509" w:rsidP="00045088">
      <w:pPr>
        <w:spacing w:line="360" w:lineRule="auto"/>
      </w:pPr>
      <w:r w:rsidRPr="00045088">
        <w:t xml:space="preserve">Word count = </w:t>
      </w:r>
      <w:r w:rsidR="00CF198B" w:rsidRPr="00045088">
        <w:t>7</w:t>
      </w:r>
      <w:r w:rsidRPr="00045088">
        <w:t>000 maximum (including all tables, legends and references)</w:t>
      </w:r>
    </w:p>
    <w:p w14:paraId="25FF3F26" w14:textId="6603F1F7"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p>
    <w:p w14:paraId="62B478B5" w14:textId="7D161E52" w:rsidR="00E04EB0" w:rsidRPr="00E04EB0" w:rsidRDefault="007A1907" w:rsidP="00E04EB0">
      <w:pPr>
        <w:spacing w:line="360" w:lineRule="auto"/>
        <w:rPr>
          <w:lang w:val="en-US"/>
        </w:rPr>
      </w:pPr>
      <w:r>
        <w:rPr>
          <w:lang w:val="en-US"/>
        </w:rPr>
        <w:t>In certain contexts, n</w:t>
      </w:r>
      <w:r w:rsidR="00E04EB0" w:rsidRPr="00E04EB0">
        <w:rPr>
          <w:lang w:val="en-US"/>
        </w:rPr>
        <w:t xml:space="preserve">on-crop vegetation in agricultural fields may offer opportunities to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E04EB0" w:rsidRPr="00E04EB0">
        <w:rPr>
          <w:lang w:val="en-US"/>
        </w:rPr>
        <w:t xml:space="preserve">Over three growing seasons in Denmark, we evaluated the ecological, </w:t>
      </w:r>
      <w:r w:rsidR="005F4DAC">
        <w:rPr>
          <w:lang w:val="en-US"/>
        </w:rPr>
        <w:t xml:space="preserve">environmental </w:t>
      </w:r>
      <w:r w:rsidR="00E04EB0" w:rsidRPr="00E04EB0">
        <w:rPr>
          <w:lang w:val="en-US"/>
        </w:rPr>
        <w:t xml:space="preserve">and agronomic performance of fall vegetation communities </w:t>
      </w:r>
      <w:r>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Pr>
          <w:lang w:val="en-US"/>
        </w:rPr>
        <w:t xml:space="preserve"> grown </w:t>
      </w:r>
      <w:r w:rsidRPr="00E04EB0">
        <w:rPr>
          <w:lang w:val="en-US"/>
        </w:rPr>
        <w:t>under thirty management systems</w:t>
      </w:r>
      <w:r w:rsidR="00E04EB0" w:rsidRPr="00E04EB0">
        <w:rPr>
          <w:lang w:val="en-US"/>
        </w:rPr>
        <w:t xml:space="preserve">. </w:t>
      </w:r>
      <w:r w:rsidR="000E7436">
        <w:rPr>
          <w:lang w:val="en-US"/>
        </w:rPr>
        <w:t>F</w:t>
      </w:r>
      <w:r w:rsidR="00E04EB0" w:rsidRPr="00E04EB0">
        <w:rPr>
          <w:lang w:val="en-US"/>
        </w:rPr>
        <w:t>ive cover crop systems—grass/clover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 radish (</w:t>
      </w:r>
      <w:r w:rsidR="00E04EB0" w:rsidRPr="00E04EB0">
        <w:rPr>
          <w:i/>
          <w:iCs/>
          <w:lang w:val="en-US"/>
        </w:rPr>
        <w:t>Raphanus sativus</w:t>
      </w:r>
      <w:r w:rsidR="00E04EB0" w:rsidRPr="00E04EB0">
        <w:rPr>
          <w:lang w:val="en-US"/>
        </w:rPr>
        <w:t>) sown mid-season (RadM) and post-harvest (RadL), and a no-cover control (NoCC)—</w:t>
      </w:r>
      <w:r w:rsidR="000E7436">
        <w:rPr>
          <w:lang w:val="en-US"/>
        </w:rPr>
        <w:t xml:space="preserve">were implemented in </w:t>
      </w:r>
      <w:r w:rsidR="00496DB9">
        <w:rPr>
          <w:lang w:val="en-US"/>
        </w:rPr>
        <w:t>a long</w:t>
      </w:r>
      <w:r>
        <w:rPr>
          <w:lang w:val="en-US"/>
        </w:rPr>
        <w:t>-</w:t>
      </w:r>
      <w:r w:rsidR="00496DB9">
        <w:rPr>
          <w:lang w:val="en-US"/>
        </w:rPr>
        <w:t xml:space="preserve">term trial </w:t>
      </w:r>
      <w:r w:rsidR="000E7436">
        <w:rPr>
          <w:lang w:val="en-US"/>
        </w:rPr>
        <w:t xml:space="preserve">with </w:t>
      </w:r>
      <w:r w:rsidR="00E04EB0" w:rsidRPr="00E04EB0">
        <w:rPr>
          <w:lang w:val="en-US"/>
        </w:rPr>
        <w:t xml:space="preserve">three tillage systems (no-till, surface, inversion) and two straw managements (retained, removed). Measured responses included cash crop yield, fall biomass and </w:t>
      </w:r>
      <w:r w:rsidR="00C1138B">
        <w:rPr>
          <w:lang w:val="en-US"/>
        </w:rPr>
        <w:t xml:space="preserve">species </w:t>
      </w:r>
      <w:r w:rsidR="00E04EB0" w:rsidRPr="00E04EB0">
        <w:rPr>
          <w:lang w:val="en-US"/>
        </w:rPr>
        <w:t xml:space="preserve">cover, spring weed counts, and pesticide use; ecological values </w:t>
      </w:r>
      <w:r w:rsidR="00E04EB0">
        <w:rPr>
          <w:lang w:val="en-US"/>
        </w:rPr>
        <w:t xml:space="preserve">and </w:t>
      </w:r>
      <w:r w:rsidR="00C1138B">
        <w:rPr>
          <w:lang w:val="en-US"/>
        </w:rPr>
        <w:t>pesticide impacts</w:t>
      </w:r>
      <w:r w:rsidR="00E04EB0">
        <w:rPr>
          <w:lang w:val="en-US"/>
        </w:rPr>
        <w:t xml:space="preserve"> </w:t>
      </w:r>
      <w:r w:rsidR="00E04EB0" w:rsidRPr="00E04EB0">
        <w:rPr>
          <w:lang w:val="en-US"/>
        </w:rPr>
        <w:t>were estimated using published indices.</w:t>
      </w:r>
      <w:r w:rsidR="005F4DAC">
        <w:rPr>
          <w:lang w:val="en-US"/>
        </w:rPr>
        <w:t xml:space="preserve"> </w:t>
      </w:r>
      <w:r w:rsidR="00E04EB0" w:rsidRPr="00E04EB0">
        <w:rPr>
          <w:lang w:val="en-US"/>
        </w:rPr>
        <w:t xml:space="preserve">The study coincided with extreme weather years. </w:t>
      </w:r>
      <w:r w:rsidR="00C1138B">
        <w:rPr>
          <w:lang w:val="en-US"/>
        </w:rPr>
        <w:t>Fall s</w:t>
      </w:r>
      <w:r w:rsidR="00E04EB0" w:rsidRPr="00E04EB0">
        <w:rPr>
          <w:lang w:val="en-US"/>
        </w:rPr>
        <w:t>oil cover remained stable (~75%) across treatments and years, while fall biomass varied. Radish cover crops consistently increased fall biomass relative to NoCC, whereas mixtures did not.</w:t>
      </w:r>
      <w:r w:rsidR="00436E4A" w:rsidRPr="00436E4A">
        <w:rPr>
          <w:lang w:val="en-US"/>
        </w:rPr>
        <w:t xml:space="preserve"> </w:t>
      </w:r>
      <w:r w:rsidR="00436E4A" w:rsidRPr="00E04EB0">
        <w:rPr>
          <w:lang w:val="en-US"/>
        </w:rPr>
        <w:t>Ecological value was highest in radish systems.</w:t>
      </w:r>
      <w:r w:rsidR="00E04EB0" w:rsidRPr="00E04EB0">
        <w:rPr>
          <w:lang w:val="en-US"/>
        </w:rPr>
        <w:t xml:space="preserve"> RadM contributed &gt;50% of total fall biomass, while other communities were dominated by crop volunteers. RadM systems exhibited the highest yields, fall biomass, and ecological value without increasing perennial weeds or pesticide use</w:t>
      </w:r>
      <w:r w:rsidR="00E04EB0">
        <w:rPr>
          <w:lang w:val="en-US"/>
        </w:rPr>
        <w:t xml:space="preserve"> compared to NoCC</w:t>
      </w:r>
      <w:r w:rsidR="00E04EB0" w:rsidRPr="00E04EB0">
        <w:rPr>
          <w:lang w:val="en-US"/>
        </w:rPr>
        <w:t>. In contrast, MixE reduced pesticide use but produced low and variable biomass</w:t>
      </w:r>
      <w:r w:rsidR="005F4DAC">
        <w:rPr>
          <w:lang w:val="en-US"/>
        </w:rPr>
        <w:t xml:space="preserve"> </w:t>
      </w:r>
      <w:r w:rsidR="00E04EB0" w:rsidRPr="00E04EB0">
        <w:rPr>
          <w:lang w:val="en-US"/>
        </w:rPr>
        <w:t>and low-value plant communities</w:t>
      </w:r>
      <w:r w:rsidR="005F4DAC">
        <w:rPr>
          <w:lang w:val="en-US"/>
        </w:rPr>
        <w:t xml:space="preserve">, and without tillage exhibited </w:t>
      </w:r>
      <w:r w:rsidR="005F4DAC" w:rsidRPr="00E04EB0">
        <w:rPr>
          <w:lang w:val="en-US"/>
        </w:rPr>
        <w:t>high perennial weed legacies</w:t>
      </w:r>
      <w:r w:rsidR="00E04EB0" w:rsidRPr="00E04EB0">
        <w:rPr>
          <w:lang w:val="en-US"/>
        </w:rPr>
        <w:t xml:space="preserve">. Overall, radish cover crops provided more consistent benefits than grass/clover mixtures or NoCC but did not reduce pesticide </w:t>
      </w:r>
      <w:r w:rsidR="005F4DAC">
        <w:rPr>
          <w:lang w:val="en-US"/>
        </w:rPr>
        <w:t>toxicity</w:t>
      </w:r>
      <w:r w:rsidR="00E04EB0" w:rsidRPr="00E04EB0">
        <w:rPr>
          <w:lang w:val="en-US"/>
        </w:rPr>
        <w:t>.</w:t>
      </w:r>
    </w:p>
    <w:p w14:paraId="6795BA4E" w14:textId="77777777" w:rsidR="00AE1EFC" w:rsidRPr="006C3DC0" w:rsidRDefault="00AE1EFC" w:rsidP="00045088">
      <w:pPr>
        <w:spacing w:line="360" w:lineRule="auto"/>
        <w:rPr>
          <w:b/>
          <w:bCs/>
          <w:lang w:val="en-US"/>
        </w:rPr>
      </w:pPr>
    </w:p>
    <w:p w14:paraId="5BA4076E" w14:textId="09D72F9E" w:rsidR="0053182E" w:rsidRPr="00045088" w:rsidRDefault="008141BB" w:rsidP="00045088">
      <w:pPr>
        <w:spacing w:line="360" w:lineRule="auto"/>
        <w:rPr>
          <w:b/>
          <w:bCs/>
        </w:rPr>
      </w:pPr>
      <w:r w:rsidRPr="00045088">
        <w:rPr>
          <w:b/>
          <w:bCs/>
        </w:rPr>
        <w:t>1  INTRODUCTION</w:t>
      </w:r>
    </w:p>
    <w:p w14:paraId="0E1CB2B0" w14:textId="77777777" w:rsidR="00033458" w:rsidRDefault="006C3DC0" w:rsidP="00E41219">
      <w:pPr>
        <w:spacing w:line="360" w:lineRule="auto"/>
        <w:rPr>
          <w:lang w:val="da-DK"/>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&gt;40%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Pr="006C3DC0">
        <w:rPr>
          <w:lang w:val="en-US"/>
        </w:rPr>
        <w:t>. Consequently, there is a growing need for agricultural systems that integrate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Pr="006C3DC0">
        <w:rPr>
          <w:lang w:val="en-US"/>
        </w:rPr>
        <w:t xml:space="preserve">. In response, researchers are increasingly assessing non-crop plant communities (e.g., weeds) and their attendant management strategies for their </w:t>
      </w:r>
      <w:r>
        <w:rPr>
          <w:lang w:val="en-US"/>
        </w:rPr>
        <w:t>potential ecological</w:t>
      </w:r>
      <w:r w:rsidR="007C0649">
        <w:rPr>
          <w:lang w:val="en-US"/>
        </w:rPr>
        <w:t xml:space="preserve"> and environmental implications in tandem with </w:t>
      </w:r>
      <w:r>
        <w:rPr>
          <w:lang w:val="en-US"/>
        </w:rPr>
        <w:lastRenderedPageBreak/>
        <w:t>agronomic i</w:t>
      </w:r>
      <w:r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Pr="009B1DCF">
        <w:rPr>
          <w:lang w:val="da-DK"/>
        </w:rPr>
        <w:t xml:space="preserve">. </w:t>
      </w:r>
    </w:p>
    <w:p w14:paraId="2076A373" w14:textId="281D6498" w:rsidR="00541BA9" w:rsidRPr="00033458" w:rsidRDefault="003A1B51" w:rsidP="00E41219">
      <w:pPr>
        <w:spacing w:line="360" w:lineRule="auto"/>
        <w:rPr>
          <w:lang w:val="en-US"/>
        </w:rPr>
      </w:pPr>
      <w:r>
        <w:rPr>
          <w:lang w:val="en-US"/>
        </w:rPr>
        <w:t xml:space="preserve">As a corollary, identifying spatial and temporal niches where the potential negative impacts of non-crop vegetation on production are minimized is a promising line of research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for optimization, allowing the expression of ecologically beneficial </w:t>
      </w:r>
      <w:r w:rsidR="009B1DCF">
        <w:rPr>
          <w:lang w:val="en-US"/>
        </w:rPr>
        <w:t>communities</w:t>
      </w:r>
      <w:r w:rsidR="006C3DC0" w:rsidRPr="006C3DC0">
        <w:rPr>
          <w:lang w:val="en-US"/>
        </w:rPr>
        <w:t xml:space="preserve"> </w:t>
      </w:r>
      <w:r w:rsidR="00033458">
        <w:rPr>
          <w:lang w:val="en-US"/>
        </w:rPr>
        <w:t xml:space="preserve">that also provide ecosystem services </w:t>
      </w:r>
      <w:r w:rsidR="006C3DC0" w:rsidRPr="006C3DC0">
        <w:rPr>
          <w:lang w:val="en-US"/>
        </w:rPr>
        <w:t xml:space="preserve">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While direct measurements of benefits are the most reliable, such measurements are not always available nor feasible. Accordingly, s</w:t>
      </w:r>
      <w:r w:rsidR="00A04631">
        <w:rPr>
          <w:lang w:val="en-US"/>
        </w:rPr>
        <w:t xml:space="preserve">everal methodologies for estimating </w:t>
      </w:r>
      <w:r w:rsidR="00A04631">
        <w:t>the potential values</w:t>
      </w:r>
      <w:r w:rsidR="00033458">
        <w:t xml:space="preserve"> and/or services</w:t>
      </w:r>
      <w:r w:rsidR="00A04631">
        <w:t xml:space="preserve"> </w:t>
      </w:r>
      <w:r w:rsidR="00062BFA">
        <w:t>as well as</w:t>
      </w:r>
      <w:r w:rsidR="00A04631">
        <w:t xml:space="preserve"> </w:t>
      </w:r>
      <w:r w:rsidR="00062BFA">
        <w:t xml:space="preserve">potential </w:t>
      </w:r>
      <w:r w:rsidR="00A04631">
        <w:t>harms of non-crop vegetation</w:t>
      </w:r>
      <w:r w:rsidR="00A04631">
        <w:rPr>
          <w:lang w:val="en-US"/>
        </w:rPr>
        <w:t xml:space="preserve"> have been proposed </w:t>
      </w:r>
      <w:r w:rsidR="009B1DCF" w:rsidRPr="00541BA9">
        <w:rPr>
          <w:highlight w:val="yellow"/>
          <w:lang w:val="en-US"/>
        </w:rPr>
        <w:t>(</w:t>
      </w:r>
      <w:commentRangeStart w:id="1"/>
      <w:r w:rsidR="009B1DCF" w:rsidRPr="00541BA9">
        <w:rPr>
          <w:highlight w:val="yellow"/>
          <w:lang w:val="en-US"/>
        </w:rPr>
        <w:t>Gentili et al. (in review)</w:t>
      </w:r>
      <w:commentRangeEnd w:id="1"/>
      <w:r w:rsidR="00541BA9">
        <w:rPr>
          <w:rStyle w:val="CommentReference"/>
          <w:sz w:val="24"/>
          <w:szCs w:val="24"/>
          <w:lang w:val="en-US"/>
        </w:rPr>
        <w:commentReference w:id="1"/>
      </w:r>
      <w:r w:rsidR="009B1DCF">
        <w:rPr>
          <w:lang w:val="en-US"/>
        </w:rPr>
        <w:t xml:space="preserve">). </w:t>
      </w:r>
      <w:r w:rsidR="001C0F78">
        <w:rPr>
          <w:lang w:val="en-US"/>
        </w:rPr>
        <w:t xml:space="preserve">Each approach </w:t>
      </w:r>
      <w:r w:rsidR="009217F6">
        <w:rPr>
          <w:lang w:val="en-US"/>
        </w:rPr>
        <w:t>has different data requirements and produces outcomes that vary in scope, scale, and applicability. T</w:t>
      </w:r>
      <w:r w:rsidR="001C0F78">
        <w:rPr>
          <w:lang w:val="en-US"/>
        </w:rPr>
        <w:t xml:space="preserve">his </w:t>
      </w:r>
      <w:r w:rsidR="00E41219">
        <w:t>lack of a universally accepted methodology precludes comparisons between studies</w:t>
      </w:r>
      <w:r w:rsidR="007C0649">
        <w:t xml:space="preserve">, but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033458">
        <w:t xml:space="preserve"> </w:t>
      </w:r>
      <w:r w:rsidR="00033458">
        <w:fldChar w:fldCharType="begin"/>
      </w:r>
      <w:r w:rsidR="00033458">
        <w:instrText xml:space="preserve"> ADDIN ZOTERO_ITEM CSL_CITATION {"citationID":"DBybQn30","properties":{"formattedCitation":"(Bensch et al., 2025; Yvoz et al., 2020)","plainCitation":"(Bensch et al., 2025;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033458">
        <w:fldChar w:fldCharType="separate"/>
      </w:r>
      <w:r w:rsidR="00033458" w:rsidRPr="00033458">
        <w:t>(Bensch et al., 2025; Yvoz et al., 2020)</w:t>
      </w:r>
      <w:r w:rsidR="00033458">
        <w:fldChar w:fldCharType="end"/>
      </w:r>
      <w:r w:rsidR="00E41219">
        <w:t>.</w:t>
      </w:r>
      <w:r w:rsidR="00CF1E52">
        <w:t xml:space="preserve"> </w:t>
      </w:r>
    </w:p>
    <w:p w14:paraId="6F12DE0A" w14:textId="0981A1BC" w:rsidR="00E41219" w:rsidRPr="00033FDA" w:rsidRDefault="00541BA9" w:rsidP="00E41219">
      <w:pPr>
        <w:spacing w:line="360" w:lineRule="auto"/>
      </w:pPr>
      <w:r w:rsidRPr="00541BA9">
        <w:t xml:space="preserve">Pesticides are key contributors in shaping non-crop vegetation communities, and the need for their use varies in different cropping systems. Given the </w:t>
      </w:r>
      <w:r>
        <w:t>well-documented</w:t>
      </w:r>
      <w:r w:rsidRPr="00541BA9">
        <w:t xml:space="preserve"> </w:t>
      </w:r>
      <w:r>
        <w:t xml:space="preserve">externalities </w:t>
      </w:r>
      <w:r w:rsidRPr="00541BA9">
        <w:t>of pesticide use</w:t>
      </w:r>
      <w:r>
        <w:t xml:space="preserve"> </w:t>
      </w:r>
      <w:r>
        <w:fldChar w:fldCharType="begin"/>
      </w:r>
      <w:r>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fldChar w:fldCharType="separate"/>
      </w:r>
      <w:r w:rsidRPr="00F26976">
        <w:t>(Rani et al., 2021; Sharma et al., 2019; Wan et al., 2025)</w:t>
      </w:r>
      <w:r>
        <w:fldChar w:fldCharType="end"/>
      </w:r>
      <w:r w:rsidRPr="00541BA9">
        <w:t xml:space="preserve">, </w:t>
      </w:r>
      <w:r>
        <w:t xml:space="preserve">accounting for both the benefits and harms of pesticide use can </w:t>
      </w:r>
      <w:r w:rsidR="00033FDA">
        <w:t>contribute to</w:t>
      </w:r>
      <w:r>
        <w:t xml:space="preserve"> a</w:t>
      </w:r>
      <w:r w:rsidR="00033FDA">
        <w:t xml:space="preserve"> more comprehensive evaluation </w:t>
      </w:r>
      <w:r w:rsidRPr="00541BA9">
        <w:t>of cropping systems</w:t>
      </w:r>
      <w:r w:rsidR="00E45AC5">
        <w:rPr>
          <w:lang w:val="en-US"/>
        </w:rPr>
        <w:t>.</w:t>
      </w:r>
      <w:r w:rsidR="00033FDA">
        <w:rPr>
          <w:lang w:val="en-US"/>
        </w:rPr>
        <w:t xml:space="preserve"> </w:t>
      </w:r>
      <w:r w:rsidR="00F51540">
        <w:rPr>
          <w:lang w:val="en-US"/>
        </w:rPr>
        <w:t>While site-specific estimates of risks resulting from pesticide use are possible, they require detailed data and specialized knowledge</w:t>
      </w:r>
      <w:r w:rsidR="0060270F">
        <w:rPr>
          <w:lang w:val="en-US"/>
        </w:rPr>
        <w:t xml:space="preserve"> that may not be available (</w:t>
      </w:r>
      <w:r w:rsidR="0060270F" w:rsidRPr="00033458">
        <w:rPr>
          <w:highlight w:val="yellow"/>
          <w:lang w:val="en-US"/>
        </w:rPr>
        <w:t>CITE Rainford</w:t>
      </w:r>
      <w:r w:rsidR="0060270F">
        <w:rPr>
          <w:lang w:val="en-US"/>
        </w:rPr>
        <w:t>). I</w:t>
      </w:r>
      <w:r w:rsidR="00033FDA">
        <w:rPr>
          <w:lang w:val="en-US"/>
        </w:rPr>
        <w:t>ndices</w:t>
      </w:r>
      <w:r w:rsidR="004B32D1">
        <w:rPr>
          <w:lang w:val="en-US"/>
        </w:rPr>
        <w:t xml:space="preserve"> or characterization factors</w:t>
      </w:r>
      <w:r w:rsidR="00033FDA">
        <w:rPr>
          <w:lang w:val="en-US"/>
        </w:rPr>
        <w:t xml:space="preserve"> </w:t>
      </w:r>
      <w:r w:rsidR="00F51540">
        <w:rPr>
          <w:lang w:val="en-US"/>
        </w:rPr>
        <w:t xml:space="preserve">based on the </w:t>
      </w:r>
      <w:r w:rsidR="00F51540" w:rsidRPr="004B32D1">
        <w:rPr>
          <w:i/>
          <w:iCs/>
          <w:lang w:val="en-US"/>
        </w:rPr>
        <w:t>potential</w:t>
      </w:r>
      <w:r w:rsidR="00F51540">
        <w:rPr>
          <w:lang w:val="en-US"/>
        </w:rPr>
        <w:t xml:space="preserve"> impacts </w:t>
      </w:r>
      <w:r w:rsidR="00033FDA">
        <w:rPr>
          <w:lang w:val="en-US"/>
        </w:rPr>
        <w:t xml:space="preserve">such as </w:t>
      </w:r>
      <w:r w:rsidR="00033FDA">
        <w:rPr>
          <w:lang w:val="en-US"/>
        </w:rPr>
        <w:lastRenderedPageBreak/>
        <w:t xml:space="preserve">the Pesticide Load </w:t>
      </w:r>
      <w:r w:rsidR="004B32D1">
        <w:rPr>
          <w:lang w:val="en-US"/>
        </w:rPr>
        <w:t xml:space="preserve">Indicators </w:t>
      </w:r>
      <w:r w:rsidR="00033FDA">
        <w:rPr>
          <w:lang w:val="en-US"/>
        </w:rPr>
        <w:fldChar w:fldCharType="begin"/>
      </w:r>
      <w:r w:rsidR="004B32D1">
        <w:rPr>
          <w:lang w:val="en-US"/>
        </w:rPr>
        <w:instrText xml:space="preserve"> ADDIN ZOTERO_ITEM CSL_CITATION {"citationID":"apIHkteE","properties":{"formattedCitation":"(Kudsk et al., 2018; Vandevoorde et al., 2025)","plainCitation":"(Kudsk et al., 2018; Vandevoorde et al., 2025)","noteIndex":0},"citationItems":[{"id":49,"uris":["http://zotero.org/users/3599437/items/NAVLB2GA"],"itemData":{"id":49,"type":"article-journal","abstract":"Pesticides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Erik"}],"issued":{"date-parts":[["2018",1,1]]}}},{"id":2352,"uris":["http://zotero.org/users/3599437/items/FZUK6AJJ"],"itemData":{"id":2352,"type":"article-journal","abstract":"The effectiveness of pesticide reduction policies in the European Union (EU) depends critically on robust, scientifically grounded indicators that can reliably monitor pesticide-related risks across Member States. The Pesticide Load Indicator (PLI), developed in Denmark in the 2000s, offers a transparent and policy-relevant framework for assessing pesticide risk. Although</w:instrText>
      </w:r>
      <w:r w:rsidR="004B32D1" w:rsidRPr="004B32D1">
        <w:rPr>
          <w:lang w:val="da-DK"/>
        </w:rPr>
        <w:instrText xml:space="preserve"> it has successfully supported Denmark’s national strategies for over a decade and is drawing attention in other EU countries, several methodological limitations hinder its broader applicability. This letter identifies five such limitations and proposes corresponding updates to enhance the indicator’s scientific robustness and scalability across the EU: (1) consistent hazard assessment across compartments, (2) precautionary treatment of missing data, (3) updated hazard metric selection, (4) harmonised normalisation procedures and (5) a statistically grounded weighting protocol. These methodological updates aim to establish a harmonised PLI suitable for EU-wide policy applications, such as fiscal instruments (e.g. differentiated taxation based on hazard levels) and pesticide risk assessments.","container-title":"Environmental Research Letters","DOI":"10.1088/1748-9326/ae269b","ISSN":"1748-9326","issue":"12","journalAbbreviation":"Environ. Res. Lett.","language":"en","note":"publisher: IOP Publishing","page":"124070","source":"Institute of Physics","title":"Five methodological updates of the Danish Pesticide Load Indicator to support EU-wide pesticide risk reduction policies","volume":"20","author":[{"family":"Vandevoorde","given":"Noé"},{"family":"Kudsk","given":"Per"},{"family":"Agnan","given":"Yannick"},{"family":"Baret","given":"Philippe V"}],"issued":{"date-parts":[["2025",12]]}}}],"schema":"https://github.com/citation-style-language/schema/raw/master/csl-citation.json"} </w:instrText>
      </w:r>
      <w:r w:rsidR="00033FDA">
        <w:rPr>
          <w:lang w:val="en-US"/>
        </w:rPr>
        <w:fldChar w:fldCharType="separate"/>
      </w:r>
      <w:r w:rsidR="004B32D1" w:rsidRPr="004B32D1">
        <w:rPr>
          <w:lang w:val="da-DK"/>
        </w:rPr>
        <w:t>(Kudsk et al., 2018; Vandevoorde et al., 2025)</w:t>
      </w:r>
      <w:r w:rsidR="00033FDA">
        <w:rPr>
          <w:lang w:val="en-US"/>
        </w:rPr>
        <w:fldChar w:fldCharType="end"/>
      </w:r>
      <w:r w:rsidR="00E45AC5" w:rsidRPr="004B32D1">
        <w:rPr>
          <w:lang w:val="da-DK"/>
        </w:rPr>
        <w:t xml:space="preserve"> </w:t>
      </w:r>
      <w:r w:rsidR="004B32D1" w:rsidRPr="004B32D1">
        <w:rPr>
          <w:lang w:val="da-DK"/>
        </w:rPr>
        <w:t xml:space="preserve">or </w:t>
      </w:r>
      <w:r w:rsidR="004B32D1" w:rsidRPr="00F960D0">
        <w:rPr>
          <w:lang w:val="en-US"/>
        </w:rPr>
        <w:t xml:space="preserve">the USEtox database </w:t>
      </w:r>
      <w:r w:rsidR="004B32D1">
        <w:rPr>
          <w:lang w:val="en-US"/>
        </w:rPr>
        <w:fldChar w:fldCharType="begin"/>
      </w:r>
      <w:r w:rsidR="004B32D1" w:rsidRPr="00F960D0">
        <w:rPr>
          <w:lang w:val="en-US"/>
        </w:rPr>
        <w:instrText xml:space="preserve"> ADDIN ZOTERO_ITEM CSL_CITATION {"citationID":"M96lZbit","properties":{"formattedCitation":"(Westh et al., 2015)","plainCitation":"(Westh et al., 2015)","noteIndex":0},"citationItems":[{"id":2359,"uris":["http://zotero.org/users/3599437/items/9ZTSDU6R"],"itemData":{"id":2359,"type":"article-journal","abstract":"USEtox is a scientific consensus model for assessing human toxicological and ecotoxicological impacts that is widely used in life cycle assessment (LCA) and other comparative assessments. However, how user requirements are met has never been investigated. To guide future model developments, we analyzed user expectations and experiences and compared them with the developers’ visions.","container-title":"The International Journal of Life Cycle Assessment","DOI":"10.1007/s11367-014-0829-8","ISSN":"1614-7502","issue":"2","journalAbbreviation":"Int J Life Cycle Assess","language":"en","page":"299-310","source":"Springer Link","title":"The USEtox story: a survey of model developer visions and user requirements","title-short":"The USEtox story","volume":"20","author":[{"family":"Westh","given":"Torbjørn Bochsen"},{"family":"Hauschild","given":"Michael Zwicky"},{"family":"Birkved","given":"Morten"},{"family":"Jørgensen","given":"Michael Søgaard"},{"family":"Rosenbaum","given":"Ralph K."},{"family":"Fantke","given":"Peter"}],"issued":{"date-parts":[["2015",2,1]]}}}],"schema":"https://github.com/citation-sty</w:instrText>
      </w:r>
      <w:r w:rsidR="004B32D1" w:rsidRPr="004B32D1">
        <w:rPr>
          <w:lang w:val="en-US"/>
        </w:rPr>
        <w:instrText xml:space="preserve">le-language/schema/raw/master/csl-citation.json"} </w:instrText>
      </w:r>
      <w:r w:rsidR="004B32D1">
        <w:rPr>
          <w:lang w:val="en-US"/>
        </w:rPr>
        <w:fldChar w:fldCharType="separate"/>
      </w:r>
      <w:r w:rsidR="004B32D1" w:rsidRPr="004B32D1">
        <w:rPr>
          <w:lang w:val="en-US"/>
        </w:rPr>
        <w:t>(Westh et al., 2015)</w:t>
      </w:r>
      <w:r w:rsidR="004B32D1">
        <w:rPr>
          <w:lang w:val="en-US"/>
        </w:rPr>
        <w:fldChar w:fldCharType="end"/>
      </w:r>
      <w:r w:rsidR="004B32D1" w:rsidRPr="004B32D1">
        <w:rPr>
          <w:lang w:val="en-US"/>
        </w:rPr>
        <w:t xml:space="preserve"> </w:t>
      </w:r>
      <w:r w:rsidR="004B32D1">
        <w:rPr>
          <w:lang w:val="en-US"/>
        </w:rPr>
        <w:t>can</w:t>
      </w:r>
      <w:r w:rsidR="00033FDA">
        <w:rPr>
          <w:lang w:val="en-US"/>
        </w:rPr>
        <w:t xml:space="preserve"> provide </w:t>
      </w:r>
      <w:r w:rsidR="004B32D1">
        <w:rPr>
          <w:lang w:val="en-US"/>
        </w:rPr>
        <w:t xml:space="preserve">reliable and </w:t>
      </w:r>
      <w:r w:rsidR="00F51540">
        <w:rPr>
          <w:lang w:val="en-US"/>
        </w:rPr>
        <w:t>scientifically based estimates</w:t>
      </w:r>
      <w:r w:rsidR="0060270F">
        <w:rPr>
          <w:lang w:val="en-US"/>
        </w:rPr>
        <w:t xml:space="preserve"> </w:t>
      </w:r>
      <w:r w:rsidR="004B32D1">
        <w:rPr>
          <w:lang w:val="en-US"/>
        </w:rPr>
        <w:t xml:space="preserve">based only on active ingredients and application rates </w:t>
      </w:r>
      <w:r w:rsidR="00F51540">
        <w:rPr>
          <w:lang w:val="en-US"/>
        </w:rPr>
        <w:fldChar w:fldCharType="begin"/>
      </w:r>
      <w:r w:rsidR="00F51540">
        <w:rPr>
          <w:lang w:val="en-US"/>
        </w:rPr>
        <w:instrText xml:space="preserve"> ADDIN ZOTERO_ITEM CSL_CITATION {"citationID":"2XTxnsdb","properties":{"formattedCitation":"(Lewis et al., 2021)","plainCitation":"(Lewis et al., 2021)","noteIndex":0},"citationItems":[{"id":828,"uris":["http://zotero.org/users/3599437/items/EKBAID76"],"itemData":{"id":828,"type":"article-journal","abstract":"Pesticides are an important component of worldwide agriculture systems and have contributed to significant increases in crop quality and yields and therefore to food security. However, despite their societal benefits, pesticides can be hazardous to humans and the environment. Therefore, effective pesticide polices are needed that balance the societal and economic benefits with the unintentional and undesirable environmental and health impacts. As a result, there has been consistent policy interest in pragmatic and practical techniques that are suitable for assessing the environmental and human health implications of agricultural pesticide use from a national perspective for assisting in the development of policy initiatives and for communicating policy outcomes to the public. The work described herein explored the appropriateness of the Danish Pesticide Load Indictor for assessing agricultural pesticides applied in the United Kingdom from 2016 and 2018. The findings for the two datasets appear broadly comparable, suggesting that the overall environmental load from pesticides on the U.K. environment remained relatively constant during this period. Regional differences in environmental load and the major contributing substances were identified. Where large differences between the two years were seen, regulatory interventions appear to have been the cause. Overall, the indicator behaves as expected and appears to be sufficiently responsive to changes in pesticide use. However, various concerns were identified that may lead to modifications in how the indicator is calculated and what parameters are included to make it better able to deliver U.K. policy objectives.","container-title":"Journal of Environmental Quality","DOI":"10.1002/jeq2.20262","ISSN":"1537-2537","issue":"5","language":"en","license":"© 2021 The Authors. Journal of Environmental Quality published by Wiley Periodicals LLC on behalf of American Society of Agronomy, Crop Science Society of America, and Soil Science Society of America","note":"_eprint: https://onlinelibrary.wiley.com/doi/pdf/10.1002/jeq2.20262","page":"1110-1122","source":"Wiley Online Library","title":"Application of the Danish pesticide load indicator to arable agriculture in the United Kingdom","volume":"50","author":[{"family":"Lewis","given":"Kathleen"},{"family":"Rainford","given":"James"},{"family":"Tzilivakis","given":"John"},{"family":"Garthwaite","given":"David"}],"issued":{"date-parts":[["2021"]]}}}],"schema":"https://github.com/citation-style-language/schema/raw/master/csl-citation.json"} </w:instrText>
      </w:r>
      <w:r w:rsidR="00F51540">
        <w:rPr>
          <w:lang w:val="en-US"/>
        </w:rPr>
        <w:fldChar w:fldCharType="separate"/>
      </w:r>
      <w:r w:rsidR="00F51540" w:rsidRPr="00F51540">
        <w:t>(Lewis et al., 2021)</w:t>
      </w:r>
      <w:r w:rsidR="00F51540">
        <w:rPr>
          <w:lang w:val="en-US"/>
        </w:rPr>
        <w:fldChar w:fldCharType="end"/>
      </w:r>
      <w:r w:rsidR="00F51540">
        <w:rPr>
          <w:lang w:val="en-US"/>
        </w:rPr>
        <w:t xml:space="preserve">. </w:t>
      </w:r>
    </w:p>
    <w:p w14:paraId="0719C51B" w14:textId="0F205E45" w:rsidR="00F26976"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w:t>
      </w:r>
      <w:r w:rsidR="00484C33">
        <w:rPr>
          <w:lang w:val="en-US"/>
        </w:rPr>
        <w:t>are</w:t>
      </w:r>
      <w:r w:rsidR="006C3DC0" w:rsidRPr="006C3DC0">
        <w:rPr>
          <w:lang w:val="en-US"/>
        </w:rPr>
        <w:t xml:space="preserve"> complex</w:t>
      </w:r>
      <w:r>
        <w:rPr>
          <w:lang w:val="en-US"/>
        </w:rPr>
        <w:t>. While previous studies have looked at these interactions</w:t>
      </w:r>
      <w:r w:rsidR="00F26976">
        <w:rPr>
          <w:lang w:val="en-US"/>
        </w:rPr>
        <w:t>’ impacts on non-crop vegetation</w:t>
      </w:r>
      <w:r>
        <w:rPr>
          <w:lang w:val="en-US"/>
        </w:rPr>
        <w:t>, it is most often within the framework of reducing the presence of weeds</w:t>
      </w:r>
      <w:r w:rsidR="005579A3">
        <w:rPr>
          <w:lang w:val="en-US"/>
        </w:rPr>
        <w:t xml:space="preserve"> and their disservices</w:t>
      </w:r>
      <w:r w:rsidR="00704184">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w:t>
      </w:r>
      <w:r w:rsidR="00901263">
        <w:rPr>
          <w:lang w:val="en-US"/>
        </w:rPr>
        <w:t xml:space="preserve">that could be </w:t>
      </w:r>
      <w:r w:rsidR="006C3DC0" w:rsidRPr="006C3DC0">
        <w:rPr>
          <w:lang w:val="en-US"/>
        </w:rPr>
        <w:t xml:space="preserve">provided by fall </w:t>
      </w:r>
      <w:r w:rsidR="00E41219">
        <w:rPr>
          <w:lang w:val="en-US"/>
        </w:rPr>
        <w:t>plant communities</w:t>
      </w:r>
      <w:r w:rsidR="006F3CE0">
        <w:rPr>
          <w:lang w:val="en-US"/>
        </w:rPr>
        <w:t xml:space="preserve"> between cash crops</w:t>
      </w:r>
      <w:r w:rsidR="006C3DC0" w:rsidRPr="006C3DC0">
        <w:rPr>
          <w:lang w:val="en-US"/>
        </w:rPr>
        <w:t xml:space="preserve">. </w:t>
      </w:r>
    </w:p>
    <w:p w14:paraId="1A58BE66" w14:textId="30D34C83" w:rsidR="006C3DC0" w:rsidRPr="006C3DC0" w:rsidRDefault="006C3DC0" w:rsidP="006C3DC0">
      <w:pPr>
        <w:spacing w:line="360" w:lineRule="auto"/>
        <w:rPr>
          <w:lang w:val="en-US"/>
        </w:rPr>
      </w:pPr>
      <w:r w:rsidRPr="006C3DC0">
        <w:rPr>
          <w:lang w:val="en-US"/>
        </w:rPr>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D34E34">
        <w:rPr>
          <w:lang w:val="en-US"/>
        </w:rPr>
        <w:t xml:space="preserve">study platform with </w:t>
      </w:r>
      <w:r w:rsidRPr="006C3DC0">
        <w:rPr>
          <w:lang w:val="en-US"/>
        </w:rPr>
        <w:t>six combinations of tillage and residue managements</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W</w:t>
      </w:r>
      <w:r w:rsidR="00D34E34">
        <w:rPr>
          <w:lang w:val="en-US"/>
        </w:rPr>
        <w:t xml:space="preserve">e applied </w:t>
      </w:r>
      <w:r w:rsidR="00D34E34" w:rsidRPr="006C3DC0">
        <w:rPr>
          <w:lang w:val="en-US"/>
        </w:rPr>
        <w:t>f</w:t>
      </w:r>
      <w:r w:rsidR="004B32D1">
        <w:rPr>
          <w:lang w:val="en-US"/>
        </w:rPr>
        <w:t>our</w:t>
      </w:r>
      <w:r w:rsidR="00D34E34" w:rsidRPr="006C3DC0">
        <w:rPr>
          <w:lang w:val="en-US"/>
        </w:rPr>
        <w:t xml:space="preserve"> cover cropping systems</w:t>
      </w:r>
      <w:r w:rsidR="004B32D1">
        <w:rPr>
          <w:lang w:val="en-US"/>
        </w:rPr>
        <w:t xml:space="preserve"> plus a no-cover control to this platform</w:t>
      </w:r>
      <w:r w:rsidR="0001054F">
        <w:rPr>
          <w:lang w:val="en-US"/>
        </w:rPr>
        <w:t xml:space="preserve"> (for a total of 30 cropping system treatments)</w:t>
      </w:r>
      <w:r w:rsidR="004B32D1">
        <w:rPr>
          <w:lang w:val="en-US"/>
        </w:rPr>
        <w:t xml:space="preserve">. These </w:t>
      </w:r>
      <w:r w:rsidR="0001054F">
        <w:rPr>
          <w:lang w:val="en-US"/>
        </w:rPr>
        <w:t>treatments</w:t>
      </w:r>
      <w:r w:rsidR="004B32D1">
        <w:rPr>
          <w:lang w:val="en-US"/>
        </w:rPr>
        <w:t xml:space="preserve"> were applied to a </w:t>
      </w:r>
      <w:r w:rsidR="00D34E34">
        <w:rPr>
          <w:lang w:val="en-US"/>
        </w:rPr>
        <w:t>three-year sequence of crops</w:t>
      </w:r>
      <w:r w:rsidR="0001054F">
        <w:rPr>
          <w:lang w:val="en-US"/>
        </w:rPr>
        <w:t>. The goal of the study was to</w:t>
      </w:r>
      <w:r w:rsidR="00CD7E08">
        <w:rPr>
          <w:lang w:val="en-US"/>
        </w:rPr>
        <w:t xml:space="preserve"> </w:t>
      </w:r>
      <w:r w:rsidRPr="006C3DC0">
        <w:rPr>
          <w:lang w:val="en-US"/>
        </w:rPr>
        <w:t xml:space="preserve">examine how addition of cover crops </w:t>
      </w:r>
      <w:r w:rsidR="00CD7E08">
        <w:rPr>
          <w:lang w:val="en-US"/>
        </w:rPr>
        <w:t xml:space="preserve">to different tillage/residue cropping systems </w:t>
      </w:r>
      <w:r w:rsidRPr="006C3DC0">
        <w:rPr>
          <w:lang w:val="en-US"/>
        </w:rPr>
        <w:t>impacted:</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061189E2" w:rsidR="006C3DC0" w:rsidRPr="006C3DC0" w:rsidRDefault="006C3DC0" w:rsidP="006F3CE0">
      <w:pPr>
        <w:numPr>
          <w:ilvl w:val="0"/>
          <w:numId w:val="1"/>
        </w:numPr>
        <w:spacing w:line="360" w:lineRule="auto"/>
        <w:rPr>
          <w:lang w:val="en-US"/>
        </w:rPr>
      </w:pPr>
      <w:r w:rsidRPr="006C3DC0">
        <w:rPr>
          <w:lang w:val="en-US"/>
        </w:rPr>
        <w:t>Soil protection</w:t>
      </w:r>
      <w:r w:rsidR="00901263">
        <w:rPr>
          <w:lang w:val="en-US"/>
        </w:rPr>
        <w:t xml:space="preserve"> (e.g., coverage)</w:t>
      </w:r>
    </w:p>
    <w:p w14:paraId="47F50C6C" w14:textId="3A43D352" w:rsidR="006C3DC0" w:rsidRPr="006C3DC0" w:rsidRDefault="006F3CE0" w:rsidP="006F3CE0">
      <w:pPr>
        <w:numPr>
          <w:ilvl w:val="0"/>
          <w:numId w:val="1"/>
        </w:numPr>
        <w:spacing w:line="360" w:lineRule="auto"/>
        <w:rPr>
          <w:lang w:val="en-US"/>
        </w:rPr>
      </w:pPr>
      <w:r>
        <w:rPr>
          <w:lang w:val="en-US"/>
        </w:rPr>
        <w:t>Potential</w:t>
      </w:r>
      <w:r w:rsidR="00806BB5">
        <w:rPr>
          <w:lang w:val="en-US"/>
        </w:rPr>
        <w:t xml:space="preserve"> to reduce </w:t>
      </w:r>
      <w:r w:rsidR="006C3DC0" w:rsidRPr="006C3DC0">
        <w:rPr>
          <w:lang w:val="en-US"/>
        </w:rPr>
        <w:t>nitrate leaching</w:t>
      </w:r>
      <w:r w:rsidR="00901263">
        <w:rPr>
          <w:lang w:val="en-US"/>
        </w:rPr>
        <w:t xml:space="preserve"> (e.g., biomass)</w:t>
      </w:r>
    </w:p>
    <w:p w14:paraId="1EEA56D7" w14:textId="67CD381C" w:rsidR="006C3DC0" w:rsidRPr="006C3DC0" w:rsidRDefault="006F3CE0" w:rsidP="006F3CE0">
      <w:pPr>
        <w:numPr>
          <w:ilvl w:val="0"/>
          <w:numId w:val="1"/>
        </w:numPr>
        <w:spacing w:line="360" w:lineRule="auto"/>
        <w:rPr>
          <w:lang w:val="en-US"/>
        </w:rPr>
      </w:pPr>
      <w:r>
        <w:rPr>
          <w:lang w:val="en-US"/>
        </w:rPr>
        <w:t>Potential p</w:t>
      </w:r>
      <w:r w:rsidR="006C3DC0" w:rsidRPr="006C3DC0">
        <w:rPr>
          <w:lang w:val="en-US"/>
        </w:rPr>
        <w:t>lant community ecological value</w:t>
      </w:r>
      <w:r w:rsidR="00901263">
        <w:rPr>
          <w:lang w:val="en-US"/>
        </w:rPr>
        <w:t xml:space="preserve"> (e.g., pollinator and food web support)</w:t>
      </w:r>
    </w:p>
    <w:p w14:paraId="4FBD8672" w14:textId="46EE801C" w:rsidR="006C3DC0" w:rsidRDefault="006F3CE0" w:rsidP="006F3CE0">
      <w:pPr>
        <w:numPr>
          <w:ilvl w:val="0"/>
          <w:numId w:val="1"/>
        </w:numPr>
        <w:spacing w:line="360" w:lineRule="auto"/>
        <w:rPr>
          <w:lang w:val="en-US"/>
        </w:rPr>
      </w:pPr>
      <w:r>
        <w:rPr>
          <w:lang w:val="en-US"/>
        </w:rPr>
        <w:t xml:space="preserve">Potential to cause future </w:t>
      </w:r>
      <w:r w:rsidR="006C3DC0" w:rsidRPr="006C3DC0">
        <w:rPr>
          <w:lang w:val="en-US"/>
        </w:rPr>
        <w:t>agronomic harm</w:t>
      </w:r>
      <w:r w:rsidR="00901263">
        <w:rPr>
          <w:lang w:val="en-US"/>
        </w:rPr>
        <w:t xml:space="preserve"> (e.g., perennial weed legacies)</w:t>
      </w:r>
    </w:p>
    <w:p w14:paraId="77217DA1" w14:textId="3D39673A" w:rsidR="001A1339" w:rsidRPr="006C3DC0" w:rsidRDefault="001A1339" w:rsidP="006F3CE0">
      <w:pPr>
        <w:numPr>
          <w:ilvl w:val="0"/>
          <w:numId w:val="1"/>
        </w:numPr>
        <w:spacing w:line="360" w:lineRule="auto"/>
        <w:rPr>
          <w:lang w:val="en-US"/>
        </w:rPr>
      </w:pPr>
      <w:r>
        <w:rPr>
          <w:lang w:val="en-US"/>
        </w:rPr>
        <w:t>P</w:t>
      </w:r>
      <w:r w:rsidR="005579A3">
        <w:rPr>
          <w:lang w:val="en-US"/>
        </w:rPr>
        <w:t>otential p</w:t>
      </w:r>
      <w:r>
        <w:rPr>
          <w:lang w:val="en-US"/>
        </w:rPr>
        <w:t xml:space="preserve">esticide </w:t>
      </w:r>
      <w:r w:rsidR="005579A3">
        <w:rPr>
          <w:lang w:val="en-US"/>
        </w:rPr>
        <w:t xml:space="preserve">toxicity </w:t>
      </w:r>
      <w:r>
        <w:rPr>
          <w:lang w:val="en-US"/>
        </w:rPr>
        <w:t>loads</w:t>
      </w:r>
      <w:r w:rsidR="00806BB5">
        <w:rPr>
          <w:lang w:val="en-US"/>
        </w:rPr>
        <w:t xml:space="preserve"> </w:t>
      </w:r>
      <w:r w:rsidR="00901263">
        <w:rPr>
          <w:lang w:val="en-US"/>
        </w:rPr>
        <w:t xml:space="preserve">to </w:t>
      </w:r>
      <w:r w:rsidR="00806BB5">
        <w:rPr>
          <w:lang w:val="en-US"/>
        </w:rPr>
        <w:t>human health</w:t>
      </w:r>
      <w:r w:rsidR="005579A3">
        <w:rPr>
          <w:lang w:val="en-US"/>
        </w:rPr>
        <w:t xml:space="preserve">, ecosystems, </w:t>
      </w:r>
      <w:r w:rsidR="00806BB5">
        <w:rPr>
          <w:lang w:val="en-US"/>
        </w:rPr>
        <w:t>environment</w:t>
      </w:r>
    </w:p>
    <w:p w14:paraId="5F62FED0" w14:textId="6456C1B2" w:rsidR="00F371C1" w:rsidRPr="00045088" w:rsidRDefault="00CD7E08" w:rsidP="00F371C1">
      <w:pPr>
        <w:spacing w:line="360" w:lineRule="auto"/>
      </w:pPr>
      <w:r w:rsidRPr="006C3DC0">
        <w:rPr>
          <w:lang w:val="en-US"/>
        </w:rPr>
        <w:t>These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r>
        <w:rPr>
          <w:lang w:val="en-US"/>
        </w:rPr>
        <w:t xml:space="preserve"> </w:t>
      </w:r>
      <w:r w:rsidR="00F371C1">
        <w:rPr>
          <w:lang w:val="en-US"/>
        </w:rPr>
        <w:t xml:space="preserve">We hypothesized there would be tradeoffs between outcomes, with no single system offering the best performance in all desired areas, but that clear accounting </w:t>
      </w:r>
      <w:r w:rsidR="00F35751">
        <w:rPr>
          <w:lang w:val="en-US"/>
        </w:rPr>
        <w:t xml:space="preserve">using multicriteria evaluation methods would </w:t>
      </w:r>
      <w:r w:rsidR="00F371C1">
        <w:rPr>
          <w:lang w:val="en-US"/>
        </w:rPr>
        <w:t xml:space="preserve">aid in identifying </w:t>
      </w:r>
      <w:r w:rsidR="00F35751">
        <w:rPr>
          <w:lang w:val="en-US"/>
        </w:rPr>
        <w:t>systems that optimize outcomes</w:t>
      </w:r>
      <w:r w:rsidR="00F371C1">
        <w:rPr>
          <w:lang w:val="en-US"/>
        </w:rPr>
        <w:t>.</w:t>
      </w:r>
    </w:p>
    <w:p w14:paraId="4021A756" w14:textId="7F598ADE"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associated with cover crop implementation</w:t>
      </w:r>
      <w:r w:rsidR="00257317">
        <w:rPr>
          <w:lang w:val="en-US"/>
        </w:rPr>
        <w:t xml:space="preserve"> and labor requirements</w:t>
      </w:r>
      <w:r w:rsidRPr="006C3DC0">
        <w:rPr>
          <w:lang w:val="en-US"/>
        </w:rPr>
        <w:t xml:space="preserve">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lastRenderedPageBreak/>
        <w:t>n</w:t>
      </w:r>
      <w:r w:rsidR="00062BFA">
        <w:rPr>
          <w:lang w:val="en-US"/>
        </w:rPr>
        <w:t>itrogen status</w:t>
      </w:r>
      <w:r w:rsidR="00F371C1">
        <w:rPr>
          <w:lang w:val="en-US"/>
        </w:rPr>
        <w:t xml:space="preserve">, and greenhouse gas emissions are difficult to evaluate robustly over a period of three years </w:t>
      </w:r>
      <w:r w:rsidR="0054664B">
        <w:rPr>
          <w:lang w:val="en-US"/>
        </w:rPr>
        <w:fldChar w:fldCharType="begin"/>
      </w:r>
      <w:r w:rsidR="00A142CB">
        <w:rPr>
          <w:lang w:val="en-US"/>
        </w:rPr>
        <w:instrText xml:space="preserve"> ADDIN ZOTERO_ITEM CSL_CITATION {"citationID":"NPfXqdRB","properties":{"formattedCitation":"(Cusser et al., 2020; Smith, 2004)","plainCitation":"(Cusser et al., 2020;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A142CB">
        <w:rPr>
          <w:rFonts w:ascii="Cambria Math" w:hAnsi="Cambria Math" w:cs="Cambria Math"/>
          <w:lang w:val="en-US"/>
        </w:rPr>
        <w:instrText>∼</w:instrText>
      </w:r>
      <w:r w:rsidR="00A142CB">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A142CB" w:rsidRPr="00A142CB">
        <w:t>(Cusser et al., 2020;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5E8A89A4" w14:textId="3CAE4311" w:rsidR="00CD7E08" w:rsidRPr="00CD7E08" w:rsidRDefault="00CD7E08" w:rsidP="00CD7E08">
      <w:pPr>
        <w:spacing w:line="360" w:lineRule="auto"/>
        <w:rPr>
          <w:lang w:val="en-US"/>
        </w:rPr>
      </w:pPr>
      <w:r w:rsidRPr="00CD7E08">
        <w:rPr>
          <w:lang w:val="en-US"/>
        </w:rPr>
        <w:t>This study was conducted within a larger long-term crop rotation</w:t>
      </w:r>
      <w:r w:rsidR="00F371C1">
        <w:rPr>
          <w:lang w:val="en-US"/>
        </w:rPr>
        <w:t>/</w:t>
      </w:r>
      <w:r w:rsidRPr="00CD7E08">
        <w:rPr>
          <w:lang w:val="en-US"/>
        </w:rPr>
        <w:t xml:space="preserve">tillage </w:t>
      </w:r>
      <w:r w:rsidR="00F371C1">
        <w:rPr>
          <w:lang w:val="en-US"/>
        </w:rPr>
        <w:t xml:space="preserve">experiment </w:t>
      </w:r>
      <w:r w:rsidRPr="00CD7E08">
        <w:rPr>
          <w:lang w:val="en-US"/>
        </w:rPr>
        <w:t>which was established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The overall experimental design of the long-term experiment </w:t>
      </w:r>
      <w:r w:rsidR="00C91C94">
        <w:rPr>
          <w:lang w:val="en-US"/>
        </w:rPr>
        <w:t>is</w:t>
      </w:r>
      <w:r w:rsidRPr="00CD7E08">
        <w:rPr>
          <w:lang w:val="en-US"/>
        </w:rPr>
        <w:t xml:space="preserve"> a split-split plot with four replications. The main plot factor </w:t>
      </w:r>
      <w:r w:rsidR="00C91C94">
        <w:rPr>
          <w:lang w:val="en-US"/>
        </w:rPr>
        <w:t>i</w:t>
      </w:r>
      <w:r w:rsidR="00216616">
        <w:rPr>
          <w:lang w:val="en-US"/>
        </w:rPr>
        <w:t>s</w:t>
      </w:r>
      <w:r w:rsidRPr="00CD7E08">
        <w:rPr>
          <w:lang w:val="en-US"/>
        </w:rPr>
        <w:t xml:space="preserve"> crop</w:t>
      </w:r>
      <w:r w:rsidR="00216616">
        <w:rPr>
          <w:lang w:val="en-US"/>
        </w:rPr>
        <w:t>ping system</w:t>
      </w:r>
      <w:r w:rsidRPr="00CD7E08">
        <w:rPr>
          <w:lang w:val="en-US"/>
        </w:rPr>
        <w:t xml:space="preserve"> (four levels), the subplot </w:t>
      </w:r>
      <w:r w:rsidR="00C91C94">
        <w:rPr>
          <w:lang w:val="en-US"/>
        </w:rPr>
        <w:t>i</w:t>
      </w:r>
      <w:r w:rsidR="00216616">
        <w:rPr>
          <w:lang w:val="en-US"/>
        </w:rPr>
        <w:t>s</w:t>
      </w:r>
      <w:r w:rsidRPr="00CD7E08">
        <w:rPr>
          <w:lang w:val="en-US"/>
        </w:rPr>
        <w:t xml:space="preserve"> primary tillage system (four levels)</w:t>
      </w:r>
      <w:r w:rsidR="00C91C94">
        <w:rPr>
          <w:lang w:val="en-US"/>
        </w:rPr>
        <w:t xml:space="preserve">. </w:t>
      </w:r>
      <w:bookmarkStart w:id="2" w:name="_Hlk219901060"/>
      <w:r w:rsidR="00C91C94">
        <w:rPr>
          <w:lang w:val="en-US"/>
        </w:rPr>
        <w:t>S</w:t>
      </w:r>
      <w:r w:rsidRPr="00CD7E08">
        <w:rPr>
          <w:lang w:val="en-US"/>
        </w:rPr>
        <w:t>ub-subplot</w:t>
      </w:r>
      <w:r w:rsidR="00C91C94">
        <w:rPr>
          <w:lang w:val="en-US"/>
        </w:rPr>
        <w:t>s</w:t>
      </w:r>
      <w:r w:rsidRPr="00CD7E08">
        <w:rPr>
          <w:lang w:val="en-US"/>
        </w:rPr>
        <w:t xml:space="preserve"> (six levels) w</w:t>
      </w:r>
      <w:r w:rsidR="00C91C94">
        <w:rPr>
          <w:lang w:val="en-US"/>
        </w:rPr>
        <w:t>ere</w:t>
      </w:r>
      <w:r w:rsidRPr="00CD7E08">
        <w:rPr>
          <w:lang w:val="en-US"/>
        </w:rPr>
        <w:t xml:space="preserve"> established to accommodate various sub-treatments within rotation and tillage combinations</w:t>
      </w:r>
      <w:r w:rsidR="00BB7C9B">
        <w:rPr>
          <w:lang w:val="en-US"/>
        </w:rPr>
        <w:t xml:space="preserve"> [see for example </w:t>
      </w:r>
      <w:r w:rsidR="00BB7C9B">
        <w:rPr>
          <w:lang w:val="en-US"/>
        </w:rPr>
        <w:fldChar w:fldCharType="begin"/>
      </w:r>
      <w:r w:rsidR="00BB7C9B">
        <w:rPr>
          <w:lang w:val="en-US"/>
        </w:rPr>
        <w:instrText xml:space="preserve"> ADDIN ZOTERO_ITEM CSL_CITATION {"citationID":"8fszEBzG","properties":{"formattedCitation":"(Melander et al., 2008)","plainCitation":"(Melander et al., 2008)","noteIndex":0},"citationItems":[{"id":1513,"uris":["http://zotero.org/users/3599437/items/VDA8RHYR"],"itemData":{"id":1513,"type":"article-journal","abstract":"Apera spica-venti is a winter annual grass and, increasingly, a severe weed problem in autumn-sown crops. Non-inversion tillage has become more common in Denmark in recent years, but may accentuate problems with A. spica-venti. These problems may be avoided, if selected preventive and cultural weed management practices are adopted. To this end, we conducted a 4-year field study investigating the effects of crop rotation, tillage method, location and limited herbicide input on A. spica-venti population dynamics and crop yield. Additionally, detailed studies were performed on the fate of A. spica-venti seeds when incorporated to different soil depths. The location with a lighter soil texture, cooler climate and higher rainfall favoured A. spica-venti growth and consequently crop yield loss, especially in the crop sequence comprised only of autumn-sown crops and with non-inversion tine tillage. Incorporating A. spica-venti seeds in the soil improved their survival, explaining the higher A. spica-venti proliferation seen with tine tillage as opposed to direct drilling. The rotations including an even mixture of spring- and autumn-sown crops did not lead to noteworthy changes in the A. spica-venti population, irrespective of tillage method. Thus, in many regions, management of A. spica-venti will require rotations that balance autumn- and spring-sown crops.","container-title":"Weed Research","DOI":"10.1111/j.1365-3180.2008.00597.x","ISSN":"1365-3180","issue":"1","language":"en","note":"_eprint: https://onlinelibrary.wiley.com/doi/pdf/10.1111/j.1365-3180.2008.00597.x","page":"48-57","source":"Wiley Online Library","title":"Apera spica-venti population dynamics and impact on crop yield as affected by tillage, crop rotation, location and herbicide programmes","volume":"48","author":[{"family":"Melander","given":"B"},{"family":"Holst","given":"N"},{"family":"Jensen","given":"P K"},{"family":"Hansen","given":"E M"},{"family":"Olesen","given":"J E"}],"issued":{"date-parts":[["2008"]]}}}],"schema":"https://github.com/citation-style-language/schema/raw/master/csl-citation.json"} </w:instrText>
      </w:r>
      <w:r w:rsidR="00BB7C9B">
        <w:rPr>
          <w:lang w:val="en-US"/>
        </w:rPr>
        <w:fldChar w:fldCharType="separate"/>
      </w:r>
      <w:r w:rsidR="00BB7C9B" w:rsidRPr="00BB7C9B">
        <w:t>(Melander et al., 2008)</w:t>
      </w:r>
      <w:r w:rsidR="00BB7C9B">
        <w:rPr>
          <w:lang w:val="en-US"/>
        </w:rPr>
        <w:fldChar w:fldCharType="end"/>
      </w:r>
      <w:r w:rsidR="00BB7C9B">
        <w:rPr>
          <w:lang w:val="en-US"/>
        </w:rPr>
        <w:t>]</w:t>
      </w:r>
      <w:r w:rsidRPr="00CD7E08">
        <w:rPr>
          <w:lang w:val="en-US"/>
        </w:rPr>
        <w:t xml:space="preserve">. </w:t>
      </w:r>
    </w:p>
    <w:bookmarkEnd w:id="2"/>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6AB91BA3" w14:textId="0F6EA3A1" w:rsidR="001A455C" w:rsidRPr="001A455C" w:rsidRDefault="001A455C" w:rsidP="001A455C">
      <w:pPr>
        <w:spacing w:line="360" w:lineRule="auto"/>
        <w:rPr>
          <w:lang w:val="en-US"/>
        </w:rPr>
      </w:pPr>
      <w:r w:rsidRPr="001A455C">
        <w:rPr>
          <w:lang w:val="en-US"/>
        </w:rPr>
        <w:t xml:space="preserve">For the purpose of the present study, two </w:t>
      </w:r>
      <w:r w:rsidR="00DC3E09">
        <w:rPr>
          <w:lang w:val="en-US"/>
        </w:rPr>
        <w:t xml:space="preserve">main plot treatments </w:t>
      </w:r>
      <w:r w:rsidRPr="001A455C">
        <w:rPr>
          <w:lang w:val="en-US"/>
        </w:rPr>
        <w:t>were selected that had the same sequence of crops</w:t>
      </w:r>
      <w:r w:rsidR="00216616">
        <w:rPr>
          <w:lang w:val="en-US"/>
        </w:rPr>
        <w:t xml:space="preserve">. </w:t>
      </w:r>
      <w:r w:rsidR="00216616" w:rsidRPr="00CD7E08">
        <w:rPr>
          <w:lang w:val="en-US"/>
        </w:rPr>
        <w:t>The cash crop sequence during the present study was spring barley (</w:t>
      </w:r>
      <w:r w:rsidR="00216616" w:rsidRPr="00CD7E08">
        <w:rPr>
          <w:i/>
          <w:iCs/>
          <w:lang w:val="en-US"/>
        </w:rPr>
        <w:t xml:space="preserve">Hordeum vulgare </w:t>
      </w:r>
      <w:r w:rsidR="00216616" w:rsidRPr="00CD7E08">
        <w:rPr>
          <w:lang w:val="en-US"/>
        </w:rPr>
        <w:t>L.</w:t>
      </w:r>
      <w:r w:rsidR="00216616">
        <w:rPr>
          <w:lang w:val="en-US"/>
        </w:rPr>
        <w:t xml:space="preserve"> v. </w:t>
      </w:r>
      <w:r w:rsidR="00216616">
        <w:t>Everg</w:t>
      </w:r>
      <w:r w:rsidR="00C91C94">
        <w:t>r</w:t>
      </w:r>
      <w:r w:rsidR="00216616">
        <w:t>een</w:t>
      </w:r>
      <w:r w:rsidR="00216616" w:rsidRPr="00CD7E08">
        <w:rPr>
          <w:lang w:val="en-US"/>
        </w:rPr>
        <w:t>) sown 19 April 2018</w:t>
      </w:r>
      <w:r w:rsidR="00216616">
        <w:rPr>
          <w:lang w:val="en-US"/>
        </w:rPr>
        <w:t xml:space="preserve"> (300 plants m</w:t>
      </w:r>
      <w:r w:rsidR="00216616" w:rsidRPr="006F4E10">
        <w:rPr>
          <w:vertAlign w:val="superscript"/>
          <w:lang w:val="en-US"/>
        </w:rPr>
        <w:t>-2</w:t>
      </w:r>
      <w:r w:rsidR="00216616">
        <w:rPr>
          <w:lang w:val="en-US"/>
        </w:rPr>
        <w:t>)</w:t>
      </w:r>
      <w:r w:rsidR="00216616" w:rsidRPr="00CD7E08">
        <w:rPr>
          <w:lang w:val="en-US"/>
        </w:rPr>
        <w:t>, spring oat (</w:t>
      </w:r>
      <w:r w:rsidR="00216616" w:rsidRPr="00CD7E08">
        <w:rPr>
          <w:i/>
          <w:iCs/>
          <w:lang w:val="en-US"/>
        </w:rPr>
        <w:t>Avena sativa</w:t>
      </w:r>
      <w:r w:rsidR="00216616" w:rsidRPr="00CD7E08">
        <w:rPr>
          <w:lang w:val="en-US"/>
        </w:rPr>
        <w:t xml:space="preserve"> L.</w:t>
      </w:r>
      <w:r w:rsidR="00216616">
        <w:rPr>
          <w:lang w:val="en-US"/>
        </w:rPr>
        <w:t xml:space="preserve"> v. Poseidon</w:t>
      </w:r>
      <w:r w:rsidR="00216616" w:rsidRPr="00CD7E08">
        <w:rPr>
          <w:lang w:val="en-US"/>
        </w:rPr>
        <w:t>) sown 4 April 2019</w:t>
      </w:r>
      <w:r w:rsidR="00216616">
        <w:rPr>
          <w:lang w:val="en-US"/>
        </w:rPr>
        <w:t xml:space="preserve"> (300 plants m</w:t>
      </w:r>
      <w:r w:rsidR="00216616" w:rsidRPr="006F4E10">
        <w:rPr>
          <w:vertAlign w:val="superscript"/>
          <w:lang w:val="en-US"/>
        </w:rPr>
        <w:t>-2</w:t>
      </w:r>
      <w:r w:rsidR="00216616">
        <w:rPr>
          <w:lang w:val="en-US"/>
        </w:rPr>
        <w:t>)</w:t>
      </w:r>
      <w:r w:rsidR="00216616" w:rsidRPr="00CD7E08">
        <w:rPr>
          <w:lang w:val="en-US"/>
        </w:rPr>
        <w:t xml:space="preserve"> and faba beans (</w:t>
      </w:r>
      <w:r w:rsidR="00216616" w:rsidRPr="00CD7E08">
        <w:rPr>
          <w:i/>
          <w:iCs/>
          <w:lang w:val="en-US"/>
        </w:rPr>
        <w:t>Vicia faba</w:t>
      </w:r>
      <w:r w:rsidR="00216616" w:rsidRPr="00CD7E08">
        <w:rPr>
          <w:lang w:val="en-US"/>
        </w:rPr>
        <w:t xml:space="preserve"> L.</w:t>
      </w:r>
      <w:r w:rsidR="00216616">
        <w:rPr>
          <w:lang w:val="en-US"/>
        </w:rPr>
        <w:t xml:space="preserve"> v. Boxer</w:t>
      </w:r>
      <w:r w:rsidR="00216616" w:rsidRPr="00CD7E08">
        <w:rPr>
          <w:lang w:val="en-US"/>
        </w:rPr>
        <w:t>) sown 15 April 2020</w:t>
      </w:r>
      <w:r w:rsidR="00216616">
        <w:rPr>
          <w:lang w:val="en-US"/>
        </w:rPr>
        <w:t xml:space="preserve"> (50 plants m</w:t>
      </w:r>
      <w:r w:rsidR="00216616" w:rsidRPr="006F4E10">
        <w:rPr>
          <w:vertAlign w:val="superscript"/>
          <w:lang w:val="en-US"/>
        </w:rPr>
        <w:t>-2</w:t>
      </w:r>
      <w:r w:rsidR="00216616">
        <w:rPr>
          <w:lang w:val="en-US"/>
        </w:rPr>
        <w:t>)</w:t>
      </w:r>
      <w:r w:rsidR="00216616" w:rsidRPr="00CD7E08">
        <w:rPr>
          <w:lang w:val="en-US"/>
        </w:rPr>
        <w:t xml:space="preserve">. </w:t>
      </w:r>
      <w:r w:rsidR="00216616">
        <w:rPr>
          <w:lang w:val="en-US"/>
        </w:rPr>
        <w:t xml:space="preserve">The two main plot treatments </w:t>
      </w:r>
      <w:r w:rsidRPr="001A455C">
        <w:rPr>
          <w:lang w:val="en-US"/>
        </w:rPr>
        <w:t>differ</w:t>
      </w:r>
      <w:r w:rsidR="00C91C94">
        <w:rPr>
          <w:lang w:val="en-US"/>
        </w:rPr>
        <w:t>ed</w:t>
      </w:r>
      <w:r w:rsidRPr="001A455C">
        <w:rPr>
          <w:lang w:val="en-US"/>
        </w:rPr>
        <w:t xml:space="preserve"> </w:t>
      </w:r>
      <w:r w:rsidR="00216616">
        <w:rPr>
          <w:lang w:val="en-US"/>
        </w:rPr>
        <w:t xml:space="preserve">in management of the </w:t>
      </w:r>
      <w:r w:rsidRPr="001A455C">
        <w:rPr>
          <w:lang w:val="en-US"/>
        </w:rPr>
        <w:t>small grain straw</w:t>
      </w:r>
      <w:r w:rsidR="00216616">
        <w:rPr>
          <w:lang w:val="en-US"/>
        </w:rPr>
        <w:t>, reflecting two</w:t>
      </w:r>
      <w:r w:rsidRPr="001A455C">
        <w:rPr>
          <w:lang w:val="en-US"/>
        </w:rPr>
        <w:t xml:space="preserve"> common systems in Denmark: straw removed or retained. Therefore, in the present study, straw management composed the main-plot treatment. Three of the four tillage regimes were used for this study</w:t>
      </w:r>
      <w:r w:rsidR="001151AB">
        <w:rPr>
          <w:lang w:val="en-US"/>
        </w:rPr>
        <w:t xml:space="preserve"> because they have been under consistent management for the longest period of time</w:t>
      </w:r>
      <w:r w:rsidRPr="001A455C">
        <w:rPr>
          <w:lang w:val="en-US"/>
        </w:rPr>
        <w:t xml:space="preserve"> (more details below). Tillage subplots were 5 meters wide and 40 m long. Each tillage subplot was divided into two columns with three sub-subplots arranged within each column for a total of six sub-subplots that were 2.5 m wide and 12.5 m long (see supplementary material for a visual aid). One of the six sub-subplots was reserved for other sampling efforts, and a cover crop system treatment (five levels) was applied randomly to the remaining five sub-subplots. In summary, this experiment included all combinations of two straw-managements, three primary tillage systems, and five cover crop systems for a total of 30 treatments</w:t>
      </w:r>
      <w:r w:rsidR="00CA1D8C">
        <w:rPr>
          <w:lang w:val="en-US"/>
        </w:rPr>
        <w:t xml:space="preserve"> replicated in four blocks</w:t>
      </w:r>
      <w:r w:rsidRPr="001A455C">
        <w:rPr>
          <w:lang w:val="en-US"/>
        </w:rPr>
        <w:t xml:space="preserve">. </w:t>
      </w:r>
    </w:p>
    <w:p w14:paraId="5A66302A" w14:textId="4634B002" w:rsidR="001A455C" w:rsidRPr="001A455C" w:rsidRDefault="001A455C" w:rsidP="001A455C">
      <w:pPr>
        <w:spacing w:line="360" w:lineRule="auto"/>
        <w:rPr>
          <w:b/>
          <w:bCs/>
          <w:lang w:val="en-US"/>
        </w:rPr>
      </w:pPr>
      <w:r w:rsidRPr="003C7F19">
        <w:rPr>
          <w:b/>
          <w:bCs/>
        </w:rPr>
        <w:lastRenderedPageBreak/>
        <w:t>2.1.</w:t>
      </w:r>
      <w:r>
        <w:rPr>
          <w:b/>
          <w:bCs/>
        </w:rPr>
        <w:t>2</w:t>
      </w:r>
      <w:r w:rsidRPr="003C7F19">
        <w:rPr>
          <w:b/>
          <w:bCs/>
        </w:rPr>
        <w:t xml:space="preserve">  </w:t>
      </w:r>
      <w:r w:rsidRPr="001A455C">
        <w:rPr>
          <w:b/>
          <w:bCs/>
          <w:lang w:val="en-US"/>
        </w:rPr>
        <w:t>Straw and tillage treatments</w:t>
      </w:r>
    </w:p>
    <w:p w14:paraId="1D52ABA7" w14:textId="60B7590F" w:rsidR="001A455C" w:rsidRPr="001A455C" w:rsidRDefault="001A455C" w:rsidP="001A455C">
      <w:pPr>
        <w:spacing w:line="360" w:lineRule="auto"/>
        <w:rPr>
          <w:lang w:val="en-US"/>
        </w:rPr>
      </w:pPr>
      <w:r w:rsidRPr="001A455C">
        <w:rPr>
          <w:lang w:val="en-US"/>
        </w:rPr>
        <w:t>The same straw managements and categorical tillage system treatments (no tillage, surface</w:t>
      </w:r>
      <w:r w:rsidR="00CA1D8C">
        <w:rPr>
          <w:lang w:val="en-US"/>
        </w:rPr>
        <w:t xml:space="preserve"> tine cultivation</w:t>
      </w:r>
      <w:r w:rsidRPr="001A455C">
        <w:rPr>
          <w:lang w:val="en-US"/>
        </w:rPr>
        <w:t>, inversion) have been in the same subplots since 2002. In the straw-removal treatments, following harvest of a small grain the residue (e.g., straw) was removed using a</w:t>
      </w:r>
      <w:r w:rsidR="00C91C94">
        <w:rPr>
          <w:lang w:val="en-US"/>
        </w:rPr>
        <w:t xml:space="preserve"> two-pass system</w:t>
      </w:r>
      <w:r w:rsidR="004F07A5">
        <w:rPr>
          <w:lang w:val="en-US"/>
        </w:rPr>
        <w:t xml:space="preserve"> wherein the straw was removed from the plots using a weed harrow. </w:t>
      </w:r>
      <w:r w:rsidRPr="001A455C">
        <w:rPr>
          <w:lang w:val="en-US"/>
        </w:rPr>
        <w:t xml:space="preserve">, </w:t>
      </w:r>
      <w:r w:rsidR="004F07A5">
        <w:rPr>
          <w:lang w:val="en-US"/>
        </w:rPr>
        <w:t xml:space="preserve">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straw-retained treatments, </w:t>
      </w:r>
      <w:r w:rsidR="001A1339">
        <w:rPr>
          <w:lang w:val="en-US"/>
        </w:rPr>
        <w:t xml:space="preserve">following harvest of the grain </w:t>
      </w:r>
      <w:r w:rsidR="00C91C94">
        <w:rPr>
          <w:lang w:val="en-US"/>
        </w:rPr>
        <w:t xml:space="preserve">the </w:t>
      </w:r>
      <w:r w:rsidR="001A1339">
        <w:rPr>
          <w:lang w:val="en-US"/>
        </w:rPr>
        <w:t xml:space="preserve">residue </w:t>
      </w:r>
      <w:r w:rsidRPr="001A455C">
        <w:rPr>
          <w:lang w:val="en-US"/>
        </w:rPr>
        <w:t xml:space="preserve">was allowed to remain in the field. The exact machinery and timing of operations for each categorical tillage treatment have varied since 2002 (Scherner et al., 2016; Hansen et al., 2010). In the present experiment (2018-2020), plots under the inversion tillage treatment were moldboard plowed to a depth of 20 cm in the </w:t>
      </w:r>
      <w:r w:rsidR="00C91C94">
        <w:rPr>
          <w:lang w:val="en-US"/>
        </w:rPr>
        <w:t xml:space="preserve">late </w:t>
      </w:r>
      <w:r w:rsidRPr="001A455C">
        <w:rPr>
          <w:lang w:val="en-US"/>
        </w:rPr>
        <w:t xml:space="preserve">fall and </w:t>
      </w:r>
      <w:r w:rsidR="008845F0">
        <w:rPr>
          <w:lang w:val="en-US"/>
        </w:rPr>
        <w:t xml:space="preserve">seedbed </w:t>
      </w:r>
      <w:r w:rsidRPr="001A455C">
        <w:rPr>
          <w:lang w:val="en-US"/>
        </w:rPr>
        <w:t xml:space="preserve">harrowed to 3-4 cm depth in the spring before cash crop planting; </w:t>
      </w:r>
      <w:r w:rsidR="00D276E3">
        <w:rPr>
          <w:lang w:val="en-US"/>
        </w:rPr>
        <w:t xml:space="preserve">all </w:t>
      </w:r>
      <w:r w:rsidRPr="001A455C">
        <w:rPr>
          <w:lang w:val="en-US"/>
        </w:rPr>
        <w:t>c</w:t>
      </w:r>
      <w:r w:rsidRPr="001A455C">
        <w:t xml:space="preserve">rops were then sown with a traditional seed drill (Nordsten Lift-o-matic CLH300) with row spacings of 12.5 cm. </w:t>
      </w:r>
      <w:r w:rsidRPr="001A455C">
        <w:rPr>
          <w:lang w:val="en-US"/>
        </w:rPr>
        <w:t xml:space="preserve">For the surface tillage system (non-inversion), a </w:t>
      </w:r>
      <w:r w:rsidRPr="001A455C">
        <w:rPr>
          <w:vertAlign w:val="subscript"/>
          <w:lang w:val="en-US"/>
        </w:rPr>
        <w:t xml:space="preserve"> </w:t>
      </w:r>
      <w:r w:rsidRPr="001A455C">
        <w:t>Horsch Terrano 3 FX stubble tine cultivator was used to till to a depth 8-10 cm in the spring before cash crop planting</w:t>
      </w:r>
      <w:r w:rsidR="00D276E3">
        <w:t>, and</w:t>
      </w:r>
      <w:r w:rsidR="007010D9">
        <w:t xml:space="preserve"> harrowed</w:t>
      </w:r>
      <w:r w:rsidR="00D276E3">
        <w:t xml:space="preserve"> to a depth of 3-4 cm before planting the fodder radish cover crop after harvest (see Table 1)</w:t>
      </w:r>
      <w:r w:rsidRPr="001A455C">
        <w:t xml:space="preserve">. In both the no-till and surface tillage systems, crops were sown with a chisel coulter (Horsch Airseeder CO 3) with row spacings of 17.5 cm for </w:t>
      </w:r>
      <w:r w:rsidR="00D276E3">
        <w:t>all crops</w:t>
      </w:r>
      <w:r w:rsidRPr="001A455C">
        <w:t xml:space="preserve">. Row spacings were different for the inversion tillage system due to </w:t>
      </w:r>
      <w:r w:rsidR="001A1339">
        <w:t xml:space="preserve">differences in the </w:t>
      </w:r>
      <w:r w:rsidRPr="001A455C">
        <w:t xml:space="preserve">equipment representing typical production environments for each tillage system. </w:t>
      </w:r>
    </w:p>
    <w:p w14:paraId="34082C05" w14:textId="4AE4E813" w:rsidR="001A455C" w:rsidRPr="001A455C" w:rsidRDefault="001A455C" w:rsidP="001A455C">
      <w:pPr>
        <w:spacing w:line="360" w:lineRule="auto"/>
        <w:rPr>
          <w:b/>
          <w:bCs/>
          <w:lang w:val="en-US"/>
        </w:rPr>
      </w:pPr>
      <w:r w:rsidRPr="003C7F19">
        <w:rPr>
          <w:b/>
          <w:bCs/>
        </w:rPr>
        <w:t>2.1.</w:t>
      </w:r>
      <w:r>
        <w:rPr>
          <w:b/>
          <w:bCs/>
        </w:rPr>
        <w:t>3</w:t>
      </w:r>
      <w:r w:rsidRPr="003C7F19">
        <w:rPr>
          <w:b/>
          <w:bCs/>
        </w:rPr>
        <w:t xml:space="preserve">  </w:t>
      </w:r>
      <w:r>
        <w:rPr>
          <w:b/>
          <w:bCs/>
          <w:lang w:val="en-US"/>
        </w:rPr>
        <w:t>Cover crop treatments</w:t>
      </w:r>
    </w:p>
    <w:p w14:paraId="76D877A7" w14:textId="022B89C5"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systems were randomly applied to the sub-subplots (Table 1). The same sub-subplot treatments were maintained for 2018, 2019 and were tracked until faba bean harvest in 2020. The sampling area for all measurements was located in the inner 1.5 m x 10 m area of the sub-subplots. </w:t>
      </w:r>
    </w:p>
    <w:p w14:paraId="32E5EDD3" w14:textId="77777777" w:rsidR="009C1E41" w:rsidRPr="001A455C" w:rsidRDefault="009C1E41" w:rsidP="001A455C">
      <w:pPr>
        <w:spacing w:line="360" w:lineRule="auto"/>
        <w:rPr>
          <w:lang w:val="en-US"/>
        </w:rPr>
      </w:pPr>
    </w:p>
    <w:p w14:paraId="697347A3" w14:textId="77777777" w:rsidR="001A455C" w:rsidRPr="001A455C" w:rsidRDefault="001A455C" w:rsidP="001A455C">
      <w:pPr>
        <w:spacing w:line="360" w:lineRule="auto"/>
        <w:rPr>
          <w:lang w:val="en-US"/>
        </w:rPr>
      </w:pPr>
      <w:r w:rsidRPr="001A455C">
        <w:rPr>
          <w:lang w:val="en-US"/>
        </w:rPr>
        <w:t>Table 1. Summary of the five cover crop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126"/>
        <w:gridCol w:w="1843"/>
        <w:gridCol w:w="2976"/>
      </w:tblGrid>
      <w:tr w:rsidR="001A455C" w:rsidRPr="001A455C" w14:paraId="4CC3D440" w14:textId="77777777" w:rsidTr="000043B8">
        <w:tc>
          <w:tcPr>
            <w:tcW w:w="1555" w:type="dxa"/>
            <w:tcBorders>
              <w:top w:val="single" w:sz="4" w:space="0" w:color="auto"/>
              <w:bottom w:val="single" w:sz="4" w:space="0" w:color="auto"/>
            </w:tcBorders>
            <w:vAlign w:val="center"/>
          </w:tcPr>
          <w:p w14:paraId="06902FBB" w14:textId="7C300810" w:rsidR="001A455C" w:rsidRPr="000043B8" w:rsidRDefault="001A455C" w:rsidP="000043B8">
            <w:pPr>
              <w:jc w:val="center"/>
              <w:rPr>
                <w:b/>
                <w:bCs/>
                <w:lang w:val="en-US"/>
              </w:rPr>
            </w:pPr>
            <w:r w:rsidRPr="000043B8">
              <w:rPr>
                <w:b/>
                <w:bCs/>
                <w:lang w:val="en-US"/>
              </w:rPr>
              <w:t xml:space="preserve">Cover crop system </w:t>
            </w:r>
            <w:r w:rsidR="006B4AC3">
              <w:rPr>
                <w:b/>
                <w:bCs/>
                <w:lang w:val="en-US"/>
              </w:rPr>
              <w:t>abbreviation</w:t>
            </w:r>
          </w:p>
        </w:tc>
        <w:tc>
          <w:tcPr>
            <w:tcW w:w="2126" w:type="dxa"/>
            <w:tcBorders>
              <w:top w:val="single" w:sz="4" w:space="0" w:color="auto"/>
              <w:bottom w:val="single" w:sz="4" w:space="0" w:color="auto"/>
            </w:tcBorders>
            <w:vAlign w:val="center"/>
          </w:tcPr>
          <w:p w14:paraId="6483C18B" w14:textId="77777777" w:rsidR="001A455C" w:rsidRPr="000043B8" w:rsidRDefault="001A455C" w:rsidP="000043B8">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1A455C" w:rsidRPr="000043B8" w:rsidRDefault="001A455C" w:rsidP="000043B8">
            <w:pPr>
              <w:jc w:val="center"/>
              <w:rPr>
                <w:b/>
                <w:bCs/>
                <w:lang w:val="en-US"/>
              </w:rPr>
            </w:pPr>
            <w:r w:rsidRPr="000043B8">
              <w:rPr>
                <w:b/>
                <w:bCs/>
                <w:lang w:val="en-US"/>
              </w:rPr>
              <w:t>Seeding rate</w:t>
            </w:r>
          </w:p>
        </w:tc>
        <w:tc>
          <w:tcPr>
            <w:tcW w:w="2976" w:type="dxa"/>
            <w:tcBorders>
              <w:top w:val="single" w:sz="4" w:space="0" w:color="auto"/>
              <w:bottom w:val="single" w:sz="4" w:space="0" w:color="auto"/>
            </w:tcBorders>
            <w:vAlign w:val="center"/>
          </w:tcPr>
          <w:p w14:paraId="28AE962C" w14:textId="77777777" w:rsidR="001A455C" w:rsidRPr="000043B8" w:rsidRDefault="001A455C" w:rsidP="000043B8">
            <w:pPr>
              <w:jc w:val="center"/>
              <w:rPr>
                <w:b/>
                <w:bCs/>
                <w:lang w:val="en-US"/>
              </w:rPr>
            </w:pPr>
            <w:r w:rsidRPr="000043B8">
              <w:rPr>
                <w:b/>
                <w:bCs/>
                <w:lang w:val="en-US"/>
              </w:rPr>
              <w:t>Seeding method and timing</w:t>
            </w:r>
          </w:p>
        </w:tc>
      </w:tr>
      <w:tr w:rsidR="001A455C" w:rsidRPr="001A455C" w14:paraId="5449C1C6" w14:textId="77777777" w:rsidTr="006B4AC3">
        <w:tc>
          <w:tcPr>
            <w:tcW w:w="1555" w:type="dxa"/>
            <w:tcBorders>
              <w:top w:val="single" w:sz="4" w:space="0" w:color="auto"/>
              <w:bottom w:val="single" w:sz="4" w:space="0" w:color="auto"/>
            </w:tcBorders>
            <w:vAlign w:val="center"/>
          </w:tcPr>
          <w:p w14:paraId="0FB272EB" w14:textId="77777777" w:rsidR="001A455C" w:rsidRPr="001A455C" w:rsidRDefault="001A455C" w:rsidP="006B4AC3">
            <w:pPr>
              <w:spacing w:line="360" w:lineRule="auto"/>
              <w:jc w:val="center"/>
              <w:rPr>
                <w:lang w:val="en-US"/>
              </w:rPr>
            </w:pPr>
            <w:r w:rsidRPr="001A455C">
              <w:rPr>
                <w:lang w:val="en-US"/>
              </w:rPr>
              <w:t>MixE</w:t>
            </w:r>
          </w:p>
        </w:tc>
        <w:tc>
          <w:tcPr>
            <w:tcW w:w="2126" w:type="dxa"/>
            <w:vMerge w:val="restart"/>
            <w:tcBorders>
              <w:top w:val="single" w:sz="4" w:space="0" w:color="auto"/>
            </w:tcBorders>
            <w:vAlign w:val="center"/>
          </w:tcPr>
          <w:p w14:paraId="4BEF68C7" w14:textId="77777777" w:rsidR="001A455C" w:rsidRPr="001A455C" w:rsidRDefault="001A455C" w:rsidP="006B4AC3">
            <w:pPr>
              <w:spacing w:line="360" w:lineRule="auto"/>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1A455C" w:rsidRPr="001A455C" w:rsidRDefault="001A455C" w:rsidP="006B4AC3">
            <w:pPr>
              <w:spacing w:line="360" w:lineRule="auto"/>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006B4AC3" w:rsidRPr="001A455C">
              <w:rPr>
                <w:lang w:val="en-US"/>
              </w:rPr>
              <w:t xml:space="preserve"> clover</w:t>
            </w:r>
          </w:p>
        </w:tc>
        <w:tc>
          <w:tcPr>
            <w:tcW w:w="2976" w:type="dxa"/>
            <w:tcBorders>
              <w:top w:val="single" w:sz="4" w:space="0" w:color="auto"/>
              <w:bottom w:val="single" w:sz="4" w:space="0" w:color="auto"/>
            </w:tcBorders>
            <w:vAlign w:val="center"/>
          </w:tcPr>
          <w:p w14:paraId="4673672B" w14:textId="74E071E2" w:rsidR="001A455C" w:rsidRPr="001A455C" w:rsidRDefault="001A455C" w:rsidP="006B4AC3">
            <w:pPr>
              <w:spacing w:line="360" w:lineRule="auto"/>
              <w:jc w:val="center"/>
              <w:rPr>
                <w:lang w:val="en-US"/>
              </w:rPr>
            </w:pPr>
            <w:r w:rsidRPr="001A455C">
              <w:rPr>
                <w:lang w:val="en-US"/>
              </w:rPr>
              <w:t xml:space="preserve">Sown 1 cm deep in between cash crop rows </w:t>
            </w:r>
            <w:r w:rsidR="007010D9">
              <w:rPr>
                <w:lang w:val="en-US"/>
              </w:rPr>
              <w:t>(</w:t>
            </w:r>
            <w:commentRangeStart w:id="3"/>
            <w:r w:rsidR="007010D9" w:rsidRPr="001A455C">
              <w:rPr>
                <w:lang w:val="en-US"/>
              </w:rPr>
              <w:t>12.5 cm</w:t>
            </w:r>
            <w:r w:rsidR="007010D9">
              <w:rPr>
                <w:lang w:val="en-US"/>
              </w:rPr>
              <w:t xml:space="preserve"> or 17.5 cm, see section 2.1.2</w:t>
            </w:r>
            <w:commentRangeEnd w:id="3"/>
            <w:r w:rsidR="001151AB">
              <w:rPr>
                <w:rStyle w:val="CommentReference"/>
                <w:sz w:val="24"/>
                <w:szCs w:val="24"/>
                <w:lang w:val="en-US"/>
              </w:rPr>
              <w:commentReference w:id="3"/>
            </w:r>
            <w:r w:rsidR="007010D9">
              <w:rPr>
                <w:lang w:val="en-US"/>
              </w:rPr>
              <w:t>)</w:t>
            </w:r>
            <w:r w:rsidR="007010D9" w:rsidRPr="001A455C">
              <w:rPr>
                <w:lang w:val="en-US"/>
              </w:rPr>
              <w:t xml:space="preserve"> </w:t>
            </w:r>
            <w:r w:rsidRPr="001A455C">
              <w:rPr>
                <w:lang w:val="en-US"/>
              </w:rPr>
              <w:t>shortly after cash crop planting</w:t>
            </w:r>
          </w:p>
        </w:tc>
      </w:tr>
      <w:tr w:rsidR="001A455C" w:rsidRPr="001A455C" w14:paraId="3620DF11" w14:textId="77777777" w:rsidTr="006B4AC3">
        <w:tc>
          <w:tcPr>
            <w:tcW w:w="1555" w:type="dxa"/>
            <w:tcBorders>
              <w:top w:val="single" w:sz="4" w:space="0" w:color="auto"/>
              <w:bottom w:val="single" w:sz="4" w:space="0" w:color="auto"/>
            </w:tcBorders>
            <w:vAlign w:val="center"/>
          </w:tcPr>
          <w:p w14:paraId="2C9BAB03" w14:textId="77777777" w:rsidR="001A455C" w:rsidRPr="001A455C" w:rsidRDefault="001A455C" w:rsidP="006B4AC3">
            <w:pPr>
              <w:spacing w:line="360" w:lineRule="auto"/>
              <w:jc w:val="center"/>
              <w:rPr>
                <w:lang w:val="en-US"/>
              </w:rPr>
            </w:pPr>
            <w:r w:rsidRPr="001A455C">
              <w:rPr>
                <w:lang w:val="en-US"/>
              </w:rPr>
              <w:lastRenderedPageBreak/>
              <w:t>MixM</w:t>
            </w:r>
          </w:p>
        </w:tc>
        <w:tc>
          <w:tcPr>
            <w:tcW w:w="2126" w:type="dxa"/>
            <w:vMerge/>
            <w:tcBorders>
              <w:bottom w:val="single" w:sz="4" w:space="0" w:color="auto"/>
            </w:tcBorders>
            <w:vAlign w:val="center"/>
          </w:tcPr>
          <w:p w14:paraId="6AFC6303"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6F6F4A85"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B8AC7D4" w14:textId="77777777" w:rsidR="001A455C" w:rsidRPr="001A455C" w:rsidRDefault="001A455C" w:rsidP="006B4AC3">
            <w:pPr>
              <w:spacing w:line="360" w:lineRule="auto"/>
              <w:jc w:val="center"/>
              <w:rPr>
                <w:lang w:val="en-US"/>
              </w:rPr>
            </w:pPr>
            <w:r w:rsidRPr="001A455C">
              <w:rPr>
                <w:lang w:val="en-US"/>
              </w:rPr>
              <w:t>Broadcast into standing crop approximately 14 days before expected cash crop harvest</w:t>
            </w:r>
          </w:p>
        </w:tc>
      </w:tr>
      <w:tr w:rsidR="001A455C" w:rsidRPr="001A455C" w14:paraId="79E5A638" w14:textId="77777777" w:rsidTr="006B4AC3">
        <w:tc>
          <w:tcPr>
            <w:tcW w:w="1555" w:type="dxa"/>
            <w:tcBorders>
              <w:top w:val="single" w:sz="4" w:space="0" w:color="auto"/>
              <w:bottom w:val="single" w:sz="4" w:space="0" w:color="auto"/>
            </w:tcBorders>
            <w:vAlign w:val="center"/>
          </w:tcPr>
          <w:p w14:paraId="261A5ADB" w14:textId="77777777" w:rsidR="001A455C" w:rsidRPr="001A455C" w:rsidRDefault="001A455C" w:rsidP="006B4AC3">
            <w:pPr>
              <w:spacing w:line="360" w:lineRule="auto"/>
              <w:jc w:val="center"/>
              <w:rPr>
                <w:lang w:val="en-US"/>
              </w:rPr>
            </w:pPr>
            <w:r w:rsidRPr="001A455C">
              <w:rPr>
                <w:lang w:val="en-US"/>
              </w:rPr>
              <w:t>RadM</w:t>
            </w:r>
          </w:p>
        </w:tc>
        <w:tc>
          <w:tcPr>
            <w:tcW w:w="2126" w:type="dxa"/>
            <w:vMerge w:val="restart"/>
            <w:tcBorders>
              <w:top w:val="single" w:sz="4" w:space="0" w:color="auto"/>
            </w:tcBorders>
            <w:vAlign w:val="center"/>
          </w:tcPr>
          <w:p w14:paraId="5C1C4891" w14:textId="77777777" w:rsidR="001A455C" w:rsidRPr="001A455C" w:rsidRDefault="001A455C" w:rsidP="006B4AC3">
            <w:pPr>
              <w:spacing w:line="360" w:lineRule="auto"/>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1A455C" w:rsidRPr="001A455C" w:rsidRDefault="001A455C" w:rsidP="006B4AC3">
            <w:pPr>
              <w:spacing w:line="360" w:lineRule="auto"/>
              <w:jc w:val="center"/>
              <w:rPr>
                <w:lang w:val="en-US"/>
              </w:rPr>
            </w:pPr>
            <w:r w:rsidRPr="001A455C">
              <w:rPr>
                <w:lang w:val="en-US"/>
              </w:rPr>
              <w:t>14 kg ha</w:t>
            </w:r>
            <w:r w:rsidRPr="001A455C">
              <w:rPr>
                <w:vertAlign w:val="superscript"/>
                <w:lang w:val="en-US"/>
              </w:rPr>
              <w:t>-1</w:t>
            </w:r>
          </w:p>
        </w:tc>
        <w:tc>
          <w:tcPr>
            <w:tcW w:w="2976" w:type="dxa"/>
            <w:tcBorders>
              <w:top w:val="single" w:sz="4" w:space="0" w:color="auto"/>
              <w:bottom w:val="single" w:sz="4" w:space="0" w:color="auto"/>
            </w:tcBorders>
            <w:vAlign w:val="center"/>
          </w:tcPr>
          <w:p w14:paraId="05B1325C" w14:textId="77777777" w:rsidR="001A455C" w:rsidRPr="001A455C" w:rsidRDefault="001A455C" w:rsidP="006B4AC3">
            <w:pPr>
              <w:spacing w:line="360" w:lineRule="auto"/>
              <w:jc w:val="center"/>
              <w:rPr>
                <w:lang w:val="en-US"/>
              </w:rPr>
            </w:pPr>
            <w:r w:rsidRPr="001A455C">
              <w:rPr>
                <w:lang w:val="en-US"/>
              </w:rPr>
              <w:t>Broadcast into standing crop approx. 14 days before expected crop harvest</w:t>
            </w:r>
          </w:p>
        </w:tc>
      </w:tr>
      <w:tr w:rsidR="001A455C" w:rsidRPr="001A455C" w14:paraId="19D6BFDF" w14:textId="77777777" w:rsidTr="006B4AC3">
        <w:tc>
          <w:tcPr>
            <w:tcW w:w="1555" w:type="dxa"/>
            <w:tcBorders>
              <w:top w:val="single" w:sz="4" w:space="0" w:color="auto"/>
              <w:bottom w:val="single" w:sz="4" w:space="0" w:color="auto"/>
            </w:tcBorders>
            <w:vAlign w:val="center"/>
          </w:tcPr>
          <w:p w14:paraId="7A26B863" w14:textId="77777777" w:rsidR="001A455C" w:rsidRPr="001A455C" w:rsidRDefault="001A455C" w:rsidP="006B4AC3">
            <w:pPr>
              <w:spacing w:line="360" w:lineRule="auto"/>
              <w:jc w:val="center"/>
              <w:rPr>
                <w:lang w:val="en-US"/>
              </w:rPr>
            </w:pPr>
            <w:r w:rsidRPr="001A455C">
              <w:rPr>
                <w:lang w:val="en-US"/>
              </w:rPr>
              <w:t>RadL</w:t>
            </w:r>
          </w:p>
        </w:tc>
        <w:tc>
          <w:tcPr>
            <w:tcW w:w="2126" w:type="dxa"/>
            <w:vMerge/>
            <w:tcBorders>
              <w:bottom w:val="single" w:sz="4" w:space="0" w:color="auto"/>
            </w:tcBorders>
            <w:vAlign w:val="center"/>
          </w:tcPr>
          <w:p w14:paraId="3A7CAC85" w14:textId="77777777" w:rsidR="001A455C" w:rsidRPr="001A455C" w:rsidRDefault="001A455C" w:rsidP="006B4AC3">
            <w:pPr>
              <w:spacing w:line="360" w:lineRule="auto"/>
              <w:jc w:val="center"/>
              <w:rPr>
                <w:lang w:val="en-US"/>
              </w:rPr>
            </w:pPr>
          </w:p>
        </w:tc>
        <w:tc>
          <w:tcPr>
            <w:tcW w:w="1843" w:type="dxa"/>
            <w:vMerge/>
            <w:tcBorders>
              <w:bottom w:val="single" w:sz="4" w:space="0" w:color="auto"/>
            </w:tcBorders>
            <w:vAlign w:val="center"/>
          </w:tcPr>
          <w:p w14:paraId="5BF33C36" w14:textId="77777777" w:rsidR="001A455C" w:rsidRPr="001A455C" w:rsidRDefault="001A455C" w:rsidP="006B4AC3">
            <w:pPr>
              <w:spacing w:line="360" w:lineRule="auto"/>
              <w:jc w:val="center"/>
              <w:rPr>
                <w:lang w:val="en-US"/>
              </w:rPr>
            </w:pPr>
          </w:p>
        </w:tc>
        <w:tc>
          <w:tcPr>
            <w:tcW w:w="2976" w:type="dxa"/>
            <w:tcBorders>
              <w:top w:val="single" w:sz="4" w:space="0" w:color="auto"/>
              <w:bottom w:val="single" w:sz="4" w:space="0" w:color="auto"/>
            </w:tcBorders>
            <w:vAlign w:val="center"/>
          </w:tcPr>
          <w:p w14:paraId="1D59D1EA" w14:textId="77777777" w:rsidR="001A455C" w:rsidRPr="001A455C" w:rsidRDefault="001A455C" w:rsidP="006B4AC3">
            <w:pPr>
              <w:spacing w:line="360" w:lineRule="auto"/>
              <w:jc w:val="center"/>
              <w:rPr>
                <w:lang w:val="en-US"/>
              </w:rPr>
            </w:pPr>
            <w:r w:rsidRPr="001A455C">
              <w:rPr>
                <w:lang w:val="en-US"/>
              </w:rPr>
              <w:t>Broadcast into the crop stubble post crop harvest</w:t>
            </w:r>
          </w:p>
        </w:tc>
      </w:tr>
      <w:tr w:rsidR="001A455C" w:rsidRPr="001A455C" w14:paraId="5E6F82D6" w14:textId="77777777" w:rsidTr="006B4AC3">
        <w:tc>
          <w:tcPr>
            <w:tcW w:w="1555" w:type="dxa"/>
            <w:tcBorders>
              <w:top w:val="single" w:sz="4" w:space="0" w:color="auto"/>
              <w:bottom w:val="single" w:sz="4" w:space="0" w:color="auto"/>
            </w:tcBorders>
            <w:vAlign w:val="center"/>
          </w:tcPr>
          <w:p w14:paraId="5E8B9AE3" w14:textId="77777777" w:rsidR="001A455C" w:rsidRPr="001A455C" w:rsidRDefault="001A455C" w:rsidP="006B4AC3">
            <w:pPr>
              <w:spacing w:line="360" w:lineRule="auto"/>
              <w:jc w:val="center"/>
              <w:rPr>
                <w:lang w:val="en-US"/>
              </w:rPr>
            </w:pPr>
            <w:r w:rsidRPr="001A455C">
              <w:rPr>
                <w:lang w:val="en-US"/>
              </w:rPr>
              <w:t>NoCC</w:t>
            </w:r>
          </w:p>
        </w:tc>
        <w:tc>
          <w:tcPr>
            <w:tcW w:w="2126" w:type="dxa"/>
            <w:tcBorders>
              <w:top w:val="single" w:sz="4" w:space="0" w:color="auto"/>
              <w:bottom w:val="single" w:sz="4" w:space="0" w:color="auto"/>
            </w:tcBorders>
            <w:vAlign w:val="center"/>
          </w:tcPr>
          <w:p w14:paraId="2CC1DE3E" w14:textId="77777777" w:rsidR="001A455C" w:rsidRPr="001A455C" w:rsidRDefault="001A455C" w:rsidP="006B4AC3">
            <w:pPr>
              <w:spacing w:line="360" w:lineRule="auto"/>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1A455C" w:rsidRPr="001A455C" w:rsidRDefault="001A455C" w:rsidP="006B4AC3">
            <w:pPr>
              <w:spacing w:line="360" w:lineRule="auto"/>
              <w:jc w:val="center"/>
              <w:rPr>
                <w:lang w:val="en-US"/>
              </w:rPr>
            </w:pPr>
            <w:r w:rsidRPr="001A455C">
              <w:rPr>
                <w:lang w:val="en-US"/>
              </w:rPr>
              <w:t>-</w:t>
            </w:r>
          </w:p>
        </w:tc>
        <w:tc>
          <w:tcPr>
            <w:tcW w:w="2976" w:type="dxa"/>
            <w:tcBorders>
              <w:top w:val="single" w:sz="4" w:space="0" w:color="auto"/>
              <w:bottom w:val="single" w:sz="4" w:space="0" w:color="auto"/>
            </w:tcBorders>
            <w:vAlign w:val="center"/>
          </w:tcPr>
          <w:p w14:paraId="20259FC8" w14:textId="77777777" w:rsidR="001A455C" w:rsidRPr="001A455C" w:rsidRDefault="001A455C" w:rsidP="006B4AC3">
            <w:pPr>
              <w:spacing w:line="360" w:lineRule="auto"/>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r w:rsidRPr="003C7F19">
        <w:rPr>
          <w:b/>
          <w:bCs/>
        </w:rPr>
        <w:t>2.1.</w:t>
      </w:r>
      <w:r>
        <w:rPr>
          <w:b/>
          <w:bCs/>
        </w:rPr>
        <w:t>4</w:t>
      </w:r>
      <w:r w:rsidRPr="003C7F19">
        <w:rPr>
          <w:b/>
          <w:bCs/>
        </w:rPr>
        <w:t xml:space="preserve">  </w:t>
      </w:r>
      <w:r>
        <w:rPr>
          <w:b/>
          <w:bCs/>
          <w:lang w:val="en-US"/>
        </w:rPr>
        <w:t>Fertilizer and herbicides</w:t>
      </w:r>
    </w:p>
    <w:p w14:paraId="286F4F84" w14:textId="77777777" w:rsidR="001A455C" w:rsidRPr="001A455C" w:rsidRDefault="001A455C" w:rsidP="001A455C">
      <w:pPr>
        <w:spacing w:line="360" w:lineRule="auto"/>
      </w:pPr>
      <w:r w:rsidRPr="001A455C">
        <w:rPr>
          <w:lang w:val="en-US"/>
        </w:rPr>
        <w:t>Mineral fertilizer was broadcast on spring barley plots on 17 April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 April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 April 2020 (32 kg P ha</w:t>
      </w:r>
      <w:r w:rsidRPr="001A455C">
        <w:rPr>
          <w:vertAlign w:val="superscript"/>
        </w:rPr>
        <w:t xml:space="preserve">-1 </w:t>
      </w:r>
      <w:r w:rsidRPr="001A455C">
        <w:t>and 80 kg K ha</w:t>
      </w:r>
      <w:r w:rsidRPr="001A455C">
        <w:rPr>
          <w:vertAlign w:val="superscript"/>
        </w:rPr>
        <w:t>-1</w:t>
      </w:r>
      <w:r w:rsidRPr="001A455C">
        <w:t xml:space="preserve">). </w:t>
      </w:r>
    </w:p>
    <w:p w14:paraId="041B093F" w14:textId="195CAF51" w:rsidR="009C1E41" w:rsidRDefault="001A455C" w:rsidP="009C1E41">
      <w:pPr>
        <w:spacing w:line="360" w:lineRule="auto"/>
      </w:pPr>
      <w:r w:rsidRPr="001A455C">
        <w:t>Herbicide treatments reflected best practices and constraints imposed by both the tillage and cover crop system treatments</w:t>
      </w:r>
      <w:r w:rsidR="009C1E41">
        <w:t xml:space="preserve"> </w:t>
      </w:r>
      <w:r w:rsidR="009C1E41">
        <w:rPr>
          <w:lang w:val="en-US"/>
        </w:rPr>
        <w:t>(Table 2)</w:t>
      </w:r>
      <w:r w:rsidRPr="001A455C">
        <w:t xml:space="preserve">. </w:t>
      </w:r>
      <w:r w:rsidR="009C1E41" w:rsidRPr="001A455C">
        <w:t xml:space="preserve"> </w:t>
      </w:r>
    </w:p>
    <w:p w14:paraId="27459135" w14:textId="77777777" w:rsidR="009C1E41" w:rsidRDefault="009C1E41" w:rsidP="009C1E41">
      <w:pPr>
        <w:spacing w:line="360" w:lineRule="auto"/>
      </w:pPr>
    </w:p>
    <w:p w14:paraId="4210238C" w14:textId="77777777" w:rsidR="00593698" w:rsidRDefault="00593698" w:rsidP="009C1E41">
      <w:pPr>
        <w:spacing w:line="360" w:lineRule="auto"/>
      </w:pPr>
    </w:p>
    <w:p w14:paraId="6DFF133C" w14:textId="77777777" w:rsidR="00593698" w:rsidRDefault="00593698" w:rsidP="009C1E41">
      <w:pPr>
        <w:spacing w:line="360" w:lineRule="auto"/>
      </w:pPr>
    </w:p>
    <w:p w14:paraId="067DED34" w14:textId="77777777" w:rsidR="00593698" w:rsidRDefault="00593698" w:rsidP="009C1E41">
      <w:pPr>
        <w:spacing w:line="360" w:lineRule="auto"/>
      </w:pPr>
    </w:p>
    <w:p w14:paraId="6D4FAFA8" w14:textId="77777777" w:rsidR="00593698" w:rsidRDefault="00593698" w:rsidP="009C1E41">
      <w:pPr>
        <w:spacing w:line="360" w:lineRule="auto"/>
      </w:pPr>
    </w:p>
    <w:p w14:paraId="116DC5A3" w14:textId="77777777" w:rsidR="00593698" w:rsidRDefault="00593698" w:rsidP="009C1E41">
      <w:pPr>
        <w:spacing w:line="360" w:lineRule="auto"/>
      </w:pPr>
    </w:p>
    <w:p w14:paraId="276B2264" w14:textId="77777777" w:rsidR="00593698" w:rsidRDefault="00593698" w:rsidP="009C1E41">
      <w:pPr>
        <w:spacing w:line="360" w:lineRule="auto"/>
      </w:pPr>
    </w:p>
    <w:p w14:paraId="1621061F" w14:textId="77777777" w:rsidR="00593698" w:rsidRDefault="00593698" w:rsidP="009C1E41">
      <w:pPr>
        <w:spacing w:line="360" w:lineRule="auto"/>
      </w:pPr>
    </w:p>
    <w:p w14:paraId="2F106086" w14:textId="77777777" w:rsidR="00593698" w:rsidRDefault="00593698" w:rsidP="009C1E41">
      <w:pPr>
        <w:spacing w:line="360" w:lineRule="auto"/>
      </w:pPr>
    </w:p>
    <w:p w14:paraId="63744F8E" w14:textId="77777777" w:rsidR="00593698" w:rsidRDefault="00593698" w:rsidP="009C1E41">
      <w:pPr>
        <w:spacing w:line="360" w:lineRule="auto"/>
      </w:pPr>
    </w:p>
    <w:p w14:paraId="42496AEB" w14:textId="77777777" w:rsidR="00593698" w:rsidRDefault="00593698" w:rsidP="009C1E41">
      <w:pPr>
        <w:spacing w:line="360" w:lineRule="auto"/>
      </w:pPr>
    </w:p>
    <w:p w14:paraId="13B072CE" w14:textId="77777777" w:rsidR="00593698" w:rsidRDefault="00593698" w:rsidP="009C1E41">
      <w:pPr>
        <w:spacing w:line="360" w:lineRule="auto"/>
      </w:pPr>
    </w:p>
    <w:p w14:paraId="78068582" w14:textId="77777777" w:rsidR="00593698" w:rsidRDefault="00593698" w:rsidP="009C1E41">
      <w:pPr>
        <w:spacing w:line="360" w:lineRule="auto"/>
      </w:pPr>
    </w:p>
    <w:p w14:paraId="7D36CBF6" w14:textId="77777777" w:rsidR="00593698" w:rsidRDefault="00593698" w:rsidP="009C1E41">
      <w:pPr>
        <w:spacing w:line="360" w:lineRule="auto"/>
      </w:pPr>
    </w:p>
    <w:p w14:paraId="4AAB360B" w14:textId="77777777" w:rsidR="00593698" w:rsidRDefault="00593698" w:rsidP="009C1E41">
      <w:pPr>
        <w:spacing w:line="360" w:lineRule="auto"/>
      </w:pPr>
    </w:p>
    <w:p w14:paraId="1C3E713C" w14:textId="5A844179" w:rsidR="009C1E41" w:rsidRPr="009C1E41" w:rsidRDefault="009C1E41" w:rsidP="009C1E41">
      <w:pPr>
        <w:spacing w:line="360" w:lineRule="auto"/>
      </w:pPr>
      <w:r w:rsidRPr="009C1E41">
        <w:lastRenderedPageBreak/>
        <w:t xml:space="preserve">Table </w:t>
      </w:r>
      <w:r>
        <w:t>2</w:t>
      </w:r>
      <w:r w:rsidRPr="009C1E41">
        <w:t>. Summary of trial’s herbicide applications; each herbicide package (HP) is described in detail in supplemental material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593698">
            <w:pPr>
              <w:spacing w:line="360" w:lineRule="auto"/>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593698">
            <w:pPr>
              <w:spacing w:line="360" w:lineRule="auto"/>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593698">
            <w:pPr>
              <w:spacing w:line="360" w:lineRule="auto"/>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593698">
            <w:pPr>
              <w:spacing w:line="360" w:lineRule="auto"/>
              <w:jc w:val="center"/>
              <w:rPr>
                <w:b/>
                <w:bCs/>
                <w:sz w:val="22"/>
                <w:szCs w:val="22"/>
              </w:rPr>
            </w:pPr>
            <w:r w:rsidRPr="00593698">
              <w:rPr>
                <w:b/>
                <w:bCs/>
                <w:sz w:val="22"/>
                <w:szCs w:val="22"/>
              </w:rPr>
              <w:t>Herbicide package</w:t>
            </w:r>
          </w:p>
        </w:tc>
      </w:tr>
      <w:tr w:rsidR="00FA499F" w:rsidRPr="00FA499F" w14:paraId="1169524E" w14:textId="77777777" w:rsidTr="00AC63CC">
        <w:tc>
          <w:tcPr>
            <w:tcW w:w="1576" w:type="dxa"/>
            <w:vMerge/>
            <w:tcBorders>
              <w:bottom w:val="single" w:sz="4" w:space="0" w:color="auto"/>
            </w:tcBorders>
            <w:vAlign w:val="center"/>
          </w:tcPr>
          <w:p w14:paraId="3192DD85" w14:textId="77777777" w:rsidR="00FA499F" w:rsidRPr="00FA499F" w:rsidRDefault="00FA499F" w:rsidP="00593698">
            <w:pPr>
              <w:spacing w:line="360" w:lineRule="auto"/>
              <w:jc w:val="center"/>
              <w:rPr>
                <w:i/>
                <w:iCs/>
                <w:sz w:val="22"/>
                <w:szCs w:val="22"/>
              </w:rPr>
            </w:pPr>
          </w:p>
        </w:tc>
        <w:tc>
          <w:tcPr>
            <w:tcW w:w="1753" w:type="dxa"/>
            <w:vMerge/>
            <w:tcBorders>
              <w:bottom w:val="single" w:sz="4" w:space="0" w:color="auto"/>
            </w:tcBorders>
            <w:vAlign w:val="center"/>
          </w:tcPr>
          <w:p w14:paraId="6A48F282" w14:textId="77777777" w:rsidR="00FA499F" w:rsidRPr="00FA499F" w:rsidRDefault="00FA499F" w:rsidP="00593698">
            <w:pPr>
              <w:spacing w:line="360" w:lineRule="auto"/>
              <w:jc w:val="center"/>
              <w:rPr>
                <w:i/>
                <w:iCs/>
                <w:sz w:val="22"/>
                <w:szCs w:val="22"/>
              </w:rPr>
            </w:pPr>
          </w:p>
        </w:tc>
        <w:tc>
          <w:tcPr>
            <w:tcW w:w="1486" w:type="dxa"/>
            <w:tcBorders>
              <w:top w:val="single" w:sz="4" w:space="0" w:color="auto"/>
              <w:bottom w:val="single" w:sz="4" w:space="0" w:color="auto"/>
            </w:tcBorders>
            <w:vAlign w:val="center"/>
          </w:tcPr>
          <w:p w14:paraId="0B8C521A" w14:textId="6A27CF4C" w:rsidR="00FA499F" w:rsidRPr="00FA499F" w:rsidRDefault="00FA499F" w:rsidP="00593698">
            <w:pPr>
              <w:spacing w:line="360" w:lineRule="auto"/>
              <w:jc w:val="center"/>
              <w:rPr>
                <w:i/>
                <w:iCs/>
                <w:sz w:val="22"/>
                <w:szCs w:val="22"/>
              </w:rPr>
            </w:pPr>
            <w:r w:rsidRPr="00FA499F">
              <w:rPr>
                <w:i/>
                <w:iCs/>
                <w:sz w:val="22"/>
                <w:szCs w:val="22"/>
              </w:rPr>
              <w:t>No-till</w:t>
            </w:r>
          </w:p>
        </w:tc>
        <w:tc>
          <w:tcPr>
            <w:tcW w:w="1367" w:type="dxa"/>
            <w:tcBorders>
              <w:top w:val="single" w:sz="4" w:space="0" w:color="auto"/>
              <w:bottom w:val="single" w:sz="4" w:space="0" w:color="auto"/>
            </w:tcBorders>
            <w:vAlign w:val="center"/>
          </w:tcPr>
          <w:p w14:paraId="21366000" w14:textId="0D17FD47" w:rsidR="00FA499F" w:rsidRPr="00FA499F" w:rsidRDefault="00FA499F" w:rsidP="00593698">
            <w:pPr>
              <w:spacing w:line="360" w:lineRule="auto"/>
              <w:jc w:val="center"/>
              <w:rPr>
                <w:i/>
                <w:iCs/>
                <w:sz w:val="22"/>
                <w:szCs w:val="22"/>
              </w:rPr>
            </w:pPr>
            <w:r w:rsidRPr="00FA499F">
              <w:rPr>
                <w:i/>
                <w:iCs/>
                <w:sz w:val="22"/>
                <w:szCs w:val="22"/>
              </w:rPr>
              <w:t>Surface</w:t>
            </w:r>
          </w:p>
        </w:tc>
        <w:tc>
          <w:tcPr>
            <w:tcW w:w="1273" w:type="dxa"/>
            <w:tcBorders>
              <w:top w:val="single" w:sz="4" w:space="0" w:color="auto"/>
              <w:bottom w:val="single" w:sz="4" w:space="0" w:color="auto"/>
            </w:tcBorders>
            <w:vAlign w:val="center"/>
          </w:tcPr>
          <w:p w14:paraId="3E0DAE73" w14:textId="5E6B5400" w:rsidR="00FA499F" w:rsidRPr="00FA499F" w:rsidRDefault="00FA499F" w:rsidP="00593698">
            <w:pPr>
              <w:spacing w:line="360" w:lineRule="auto"/>
              <w:jc w:val="center"/>
              <w:rPr>
                <w:i/>
                <w:iCs/>
                <w:sz w:val="22"/>
                <w:szCs w:val="22"/>
              </w:rPr>
            </w:pPr>
            <w:r w:rsidRPr="00FA499F">
              <w:rPr>
                <w:i/>
                <w:iCs/>
                <w:sz w:val="22"/>
                <w:szCs w:val="22"/>
              </w:rPr>
              <w:t>Inversion</w:t>
            </w:r>
          </w:p>
        </w:tc>
        <w:tc>
          <w:tcPr>
            <w:tcW w:w="1561" w:type="dxa"/>
            <w:vMerge/>
            <w:tcBorders>
              <w:bottom w:val="single" w:sz="4" w:space="0" w:color="auto"/>
            </w:tcBorders>
            <w:vAlign w:val="center"/>
          </w:tcPr>
          <w:p w14:paraId="2DEA5270" w14:textId="77777777" w:rsidR="00FA499F" w:rsidRPr="00FA499F" w:rsidRDefault="00FA499F" w:rsidP="00593698">
            <w:pPr>
              <w:spacing w:line="360" w:lineRule="auto"/>
              <w:jc w:val="center"/>
              <w:rPr>
                <w:i/>
                <w:iCs/>
                <w:sz w:val="22"/>
                <w:szCs w:val="22"/>
              </w:rPr>
            </w:pPr>
          </w:p>
        </w:tc>
      </w:tr>
      <w:tr w:rsidR="00593698" w:rsidRPr="00593698" w14:paraId="480C0A85" w14:textId="77777777" w:rsidTr="00593698">
        <w:tc>
          <w:tcPr>
            <w:tcW w:w="1576" w:type="dxa"/>
            <w:vMerge w:val="restart"/>
            <w:tcBorders>
              <w:top w:val="single" w:sz="4" w:space="0" w:color="auto"/>
            </w:tcBorders>
            <w:vAlign w:val="center"/>
          </w:tcPr>
          <w:p w14:paraId="3CA0C0C3" w14:textId="1F740BC1" w:rsidR="00593698" w:rsidRPr="00593698" w:rsidRDefault="00593698" w:rsidP="00593698">
            <w:pPr>
              <w:spacing w:line="360" w:lineRule="auto"/>
              <w:jc w:val="center"/>
              <w:rPr>
                <w:sz w:val="22"/>
                <w:szCs w:val="22"/>
              </w:rPr>
            </w:pPr>
            <w:r w:rsidRPr="00593698">
              <w:rPr>
                <w:sz w:val="22"/>
                <w:szCs w:val="22"/>
              </w:rPr>
              <w:t>2018 (spring barley, sown 19 April)</w:t>
            </w:r>
          </w:p>
        </w:tc>
        <w:tc>
          <w:tcPr>
            <w:tcW w:w="1753" w:type="dxa"/>
            <w:tcBorders>
              <w:top w:val="single" w:sz="4" w:space="0" w:color="auto"/>
              <w:bottom w:val="single" w:sz="4" w:space="0" w:color="auto"/>
            </w:tcBorders>
            <w:vAlign w:val="center"/>
          </w:tcPr>
          <w:p w14:paraId="7E0FBCDF" w14:textId="77777777" w:rsidR="00593698" w:rsidRPr="00593698" w:rsidRDefault="00593698" w:rsidP="00593698">
            <w:pPr>
              <w:spacing w:line="360" w:lineRule="auto"/>
              <w:jc w:val="center"/>
              <w:rPr>
                <w:sz w:val="22"/>
                <w:szCs w:val="22"/>
              </w:rPr>
            </w:pPr>
            <w:r w:rsidRPr="00593698">
              <w:rPr>
                <w:sz w:val="22"/>
                <w:szCs w:val="22"/>
              </w:rPr>
              <w:t>Before cash crop planting (xx)</w:t>
            </w:r>
          </w:p>
        </w:tc>
        <w:tc>
          <w:tcPr>
            <w:tcW w:w="1486" w:type="dxa"/>
            <w:tcBorders>
              <w:top w:val="single" w:sz="4" w:space="0" w:color="auto"/>
              <w:bottom w:val="single" w:sz="4" w:space="0" w:color="auto"/>
            </w:tcBorders>
            <w:vAlign w:val="center"/>
          </w:tcPr>
          <w:p w14:paraId="3CCDB484" w14:textId="77777777" w:rsidR="00593698" w:rsidRPr="00593698" w:rsidRDefault="00593698" w:rsidP="00593698">
            <w:pPr>
              <w:spacing w:line="360" w:lineRule="auto"/>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3A930F62" w14:textId="77777777" w:rsidR="00593698" w:rsidRPr="00593698" w:rsidRDefault="00593698" w:rsidP="00593698">
            <w:pPr>
              <w:spacing w:line="360" w:lineRule="auto"/>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58907CA7" w:rsidR="00593698" w:rsidRPr="00593698" w:rsidRDefault="00593698" w:rsidP="00593698">
            <w:pPr>
              <w:spacing w:line="360" w:lineRule="auto"/>
              <w:jc w:val="center"/>
              <w:rPr>
                <w:sz w:val="22"/>
                <w:szCs w:val="22"/>
              </w:rPr>
            </w:pPr>
            <w:r w:rsidRPr="00593698">
              <w:rPr>
                <w:sz w:val="22"/>
                <w:szCs w:val="22"/>
              </w:rPr>
              <w:t>-</w:t>
            </w:r>
          </w:p>
        </w:tc>
        <w:tc>
          <w:tcPr>
            <w:tcW w:w="1561" w:type="dxa"/>
            <w:tcBorders>
              <w:top w:val="single" w:sz="4" w:space="0" w:color="auto"/>
              <w:bottom w:val="single" w:sz="4" w:space="0" w:color="auto"/>
            </w:tcBorders>
            <w:vAlign w:val="center"/>
          </w:tcPr>
          <w:p w14:paraId="4B34EA44" w14:textId="77777777" w:rsidR="00593698" w:rsidRPr="00593698" w:rsidRDefault="00593698" w:rsidP="00593698">
            <w:pPr>
              <w:spacing w:line="360" w:lineRule="auto"/>
              <w:jc w:val="center"/>
              <w:rPr>
                <w:sz w:val="22"/>
                <w:szCs w:val="22"/>
              </w:rPr>
            </w:pPr>
            <w:r w:rsidRPr="00593698">
              <w:rPr>
                <w:sz w:val="22"/>
                <w:szCs w:val="22"/>
              </w:rPr>
              <w:t>HP1</w:t>
            </w:r>
          </w:p>
        </w:tc>
      </w:tr>
      <w:tr w:rsidR="00593698" w:rsidRPr="00593698" w14:paraId="18A7BCC2" w14:textId="77777777" w:rsidTr="00593698">
        <w:tc>
          <w:tcPr>
            <w:tcW w:w="1576" w:type="dxa"/>
            <w:vMerge/>
            <w:vAlign w:val="center"/>
          </w:tcPr>
          <w:p w14:paraId="10FC65AA" w14:textId="77777777" w:rsidR="00593698" w:rsidRPr="00593698" w:rsidRDefault="00593698" w:rsidP="00593698">
            <w:pPr>
              <w:spacing w:line="360" w:lineRule="auto"/>
              <w:jc w:val="center"/>
              <w:rPr>
                <w:sz w:val="22"/>
                <w:szCs w:val="22"/>
              </w:rPr>
            </w:pPr>
          </w:p>
        </w:tc>
        <w:tc>
          <w:tcPr>
            <w:tcW w:w="1753" w:type="dxa"/>
            <w:tcBorders>
              <w:top w:val="single" w:sz="4" w:space="0" w:color="auto"/>
              <w:bottom w:val="single" w:sz="4" w:space="0" w:color="auto"/>
            </w:tcBorders>
            <w:vAlign w:val="center"/>
          </w:tcPr>
          <w:p w14:paraId="3DD4D9F7" w14:textId="77777777" w:rsidR="00593698" w:rsidRPr="00593698" w:rsidRDefault="00593698" w:rsidP="00593698">
            <w:pPr>
              <w:spacing w:line="360" w:lineRule="auto"/>
              <w:jc w:val="center"/>
              <w:rPr>
                <w:sz w:val="22"/>
                <w:szCs w:val="22"/>
              </w:rPr>
            </w:pPr>
            <w:r w:rsidRPr="00593698">
              <w:rPr>
                <w:sz w:val="22"/>
                <w:szCs w:val="22"/>
              </w:rPr>
              <w:t>After emergence (16 May)</w:t>
            </w:r>
          </w:p>
        </w:tc>
        <w:tc>
          <w:tcPr>
            <w:tcW w:w="1486" w:type="dxa"/>
            <w:tcBorders>
              <w:top w:val="single" w:sz="4" w:space="0" w:color="auto"/>
              <w:bottom w:val="single" w:sz="4" w:space="0" w:color="auto"/>
            </w:tcBorders>
            <w:vAlign w:val="center"/>
          </w:tcPr>
          <w:p w14:paraId="29BA9CD8" w14:textId="77777777" w:rsidR="00593698" w:rsidRPr="00593698" w:rsidRDefault="00593698" w:rsidP="00593698">
            <w:pPr>
              <w:spacing w:line="360" w:lineRule="auto"/>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593698" w:rsidRPr="00593698" w:rsidRDefault="00593698" w:rsidP="00593698">
            <w:pPr>
              <w:spacing w:line="360" w:lineRule="auto"/>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77777777" w:rsidR="00593698" w:rsidRPr="00593698" w:rsidRDefault="00593698" w:rsidP="00593698">
            <w:pPr>
              <w:spacing w:line="360" w:lineRule="auto"/>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593698" w:rsidRPr="00593698" w:rsidRDefault="00593698" w:rsidP="00593698">
            <w:pPr>
              <w:spacing w:line="360" w:lineRule="auto"/>
              <w:jc w:val="center"/>
              <w:rPr>
                <w:sz w:val="22"/>
                <w:szCs w:val="22"/>
              </w:rPr>
            </w:pPr>
            <w:r w:rsidRPr="00593698">
              <w:rPr>
                <w:sz w:val="22"/>
                <w:szCs w:val="22"/>
              </w:rPr>
              <w:t>HP3</w:t>
            </w:r>
          </w:p>
        </w:tc>
      </w:tr>
      <w:tr w:rsidR="00593698" w:rsidRPr="00593698" w14:paraId="7270A03D" w14:textId="77777777" w:rsidTr="00593698">
        <w:tc>
          <w:tcPr>
            <w:tcW w:w="1576" w:type="dxa"/>
            <w:vMerge/>
            <w:vAlign w:val="center"/>
          </w:tcPr>
          <w:p w14:paraId="76011D30" w14:textId="77777777" w:rsidR="00593698" w:rsidRPr="00593698" w:rsidRDefault="00593698" w:rsidP="00593698">
            <w:pPr>
              <w:spacing w:line="360" w:lineRule="auto"/>
              <w:jc w:val="center"/>
              <w:rPr>
                <w:sz w:val="22"/>
                <w:szCs w:val="22"/>
              </w:rPr>
            </w:pPr>
          </w:p>
        </w:tc>
        <w:tc>
          <w:tcPr>
            <w:tcW w:w="1753" w:type="dxa"/>
            <w:tcBorders>
              <w:top w:val="single" w:sz="4" w:space="0" w:color="auto"/>
              <w:bottom w:val="single" w:sz="4" w:space="0" w:color="auto"/>
            </w:tcBorders>
            <w:vAlign w:val="center"/>
          </w:tcPr>
          <w:p w14:paraId="23C9BBEA" w14:textId="77777777" w:rsidR="00593698" w:rsidRPr="00593698" w:rsidRDefault="00593698" w:rsidP="00593698">
            <w:pPr>
              <w:spacing w:line="360" w:lineRule="auto"/>
              <w:jc w:val="center"/>
              <w:rPr>
                <w:sz w:val="22"/>
                <w:szCs w:val="22"/>
              </w:rPr>
            </w:pPr>
            <w:r w:rsidRPr="00593698">
              <w:rPr>
                <w:sz w:val="22"/>
                <w:szCs w:val="22"/>
              </w:rPr>
              <w:t>After emergence (16 May)</w:t>
            </w:r>
          </w:p>
        </w:tc>
        <w:tc>
          <w:tcPr>
            <w:tcW w:w="1486" w:type="dxa"/>
            <w:tcBorders>
              <w:top w:val="single" w:sz="4" w:space="0" w:color="auto"/>
              <w:bottom w:val="single" w:sz="4" w:space="0" w:color="auto"/>
            </w:tcBorders>
            <w:vAlign w:val="center"/>
          </w:tcPr>
          <w:p w14:paraId="0D3AD50E" w14:textId="77777777" w:rsidR="00593698" w:rsidRPr="00593698" w:rsidRDefault="00593698" w:rsidP="00593698">
            <w:pPr>
              <w:spacing w:line="360" w:lineRule="auto"/>
              <w:jc w:val="center"/>
              <w:rPr>
                <w:sz w:val="22"/>
                <w:szCs w:val="22"/>
                <w:lang w:val="en-US"/>
              </w:rPr>
            </w:pPr>
            <w:r w:rsidRPr="00593698">
              <w:rPr>
                <w:sz w:val="22"/>
                <w:szCs w:val="22"/>
                <w:lang w:val="en-US"/>
              </w:rPr>
              <w:t>NoCC, MixM, RadM, RadL</w:t>
            </w:r>
          </w:p>
        </w:tc>
        <w:tc>
          <w:tcPr>
            <w:tcW w:w="1367" w:type="dxa"/>
            <w:tcBorders>
              <w:top w:val="single" w:sz="4" w:space="0" w:color="auto"/>
              <w:bottom w:val="single" w:sz="4" w:space="0" w:color="auto"/>
            </w:tcBorders>
            <w:vAlign w:val="center"/>
          </w:tcPr>
          <w:p w14:paraId="250C33C8" w14:textId="77777777" w:rsidR="00593698" w:rsidRPr="00593698" w:rsidRDefault="00593698" w:rsidP="00593698">
            <w:pPr>
              <w:spacing w:line="360" w:lineRule="auto"/>
              <w:jc w:val="center"/>
              <w:rPr>
                <w:sz w:val="22"/>
                <w:szCs w:val="22"/>
                <w:lang w:val="en-US"/>
              </w:rPr>
            </w:pPr>
            <w:r w:rsidRPr="00593698">
              <w:rPr>
                <w:sz w:val="22"/>
                <w:szCs w:val="22"/>
                <w:lang w:val="en-US"/>
              </w:rPr>
              <w:t>NoCC, MixM, RadM, RadL</w:t>
            </w:r>
          </w:p>
        </w:tc>
        <w:tc>
          <w:tcPr>
            <w:tcW w:w="1273" w:type="dxa"/>
            <w:tcBorders>
              <w:top w:val="single" w:sz="4" w:space="0" w:color="auto"/>
              <w:bottom w:val="single" w:sz="4" w:space="0" w:color="auto"/>
            </w:tcBorders>
            <w:vAlign w:val="center"/>
          </w:tcPr>
          <w:p w14:paraId="602B5440" w14:textId="77777777" w:rsidR="00593698" w:rsidRPr="00593698" w:rsidRDefault="00593698" w:rsidP="00593698">
            <w:pPr>
              <w:spacing w:line="360" w:lineRule="auto"/>
              <w:jc w:val="center"/>
              <w:rPr>
                <w:sz w:val="22"/>
                <w:szCs w:val="22"/>
                <w:lang w:val="en-US"/>
              </w:rPr>
            </w:pPr>
            <w:r w:rsidRPr="00593698">
              <w:rPr>
                <w:sz w:val="22"/>
                <w:szCs w:val="22"/>
                <w:lang w:val="en-US"/>
              </w:rPr>
              <w:t>NoCC, MixM, RadM, RadL</w:t>
            </w:r>
          </w:p>
        </w:tc>
        <w:tc>
          <w:tcPr>
            <w:tcW w:w="1561" w:type="dxa"/>
            <w:tcBorders>
              <w:top w:val="single" w:sz="4" w:space="0" w:color="auto"/>
              <w:bottom w:val="single" w:sz="4" w:space="0" w:color="auto"/>
            </w:tcBorders>
            <w:vAlign w:val="center"/>
          </w:tcPr>
          <w:p w14:paraId="794BF7DC" w14:textId="77777777" w:rsidR="00593698" w:rsidRPr="00593698" w:rsidRDefault="00593698" w:rsidP="00593698">
            <w:pPr>
              <w:spacing w:line="360" w:lineRule="auto"/>
              <w:jc w:val="center"/>
              <w:rPr>
                <w:sz w:val="22"/>
                <w:szCs w:val="22"/>
                <w:lang w:val="en-US"/>
              </w:rPr>
            </w:pPr>
            <w:r w:rsidRPr="00593698">
              <w:rPr>
                <w:sz w:val="22"/>
                <w:szCs w:val="22"/>
                <w:lang w:val="en-US"/>
              </w:rPr>
              <w:t>HP4</w:t>
            </w:r>
          </w:p>
        </w:tc>
      </w:tr>
      <w:tr w:rsidR="00593698" w:rsidRPr="00593698" w14:paraId="461A86FD" w14:textId="77777777" w:rsidTr="00593698">
        <w:tc>
          <w:tcPr>
            <w:tcW w:w="1576" w:type="dxa"/>
            <w:vMerge/>
            <w:tcBorders>
              <w:bottom w:val="single" w:sz="4" w:space="0" w:color="auto"/>
            </w:tcBorders>
            <w:vAlign w:val="center"/>
          </w:tcPr>
          <w:p w14:paraId="10F12837" w14:textId="77777777" w:rsidR="00593698" w:rsidRPr="00593698" w:rsidRDefault="00593698" w:rsidP="00593698">
            <w:pPr>
              <w:spacing w:line="360" w:lineRule="auto"/>
              <w:jc w:val="center"/>
              <w:rPr>
                <w:sz w:val="22"/>
                <w:szCs w:val="22"/>
              </w:rPr>
            </w:pPr>
          </w:p>
        </w:tc>
        <w:tc>
          <w:tcPr>
            <w:tcW w:w="1753" w:type="dxa"/>
            <w:tcBorders>
              <w:top w:val="single" w:sz="4" w:space="0" w:color="auto"/>
              <w:bottom w:val="single" w:sz="4" w:space="0" w:color="auto"/>
            </w:tcBorders>
            <w:vAlign w:val="center"/>
          </w:tcPr>
          <w:p w14:paraId="0EA070EB" w14:textId="0FA993E5" w:rsidR="00593698" w:rsidRPr="00593698" w:rsidRDefault="00593698" w:rsidP="00593698">
            <w:pPr>
              <w:spacing w:line="360" w:lineRule="auto"/>
              <w:jc w:val="center"/>
              <w:rPr>
                <w:sz w:val="22"/>
                <w:szCs w:val="22"/>
              </w:rPr>
            </w:pPr>
            <w:r w:rsidRPr="00593698">
              <w:rPr>
                <w:sz w:val="22"/>
                <w:szCs w:val="22"/>
              </w:rPr>
              <w:t>In-season (29 May)</w:t>
            </w:r>
          </w:p>
        </w:tc>
        <w:tc>
          <w:tcPr>
            <w:tcW w:w="1486" w:type="dxa"/>
            <w:tcBorders>
              <w:top w:val="single" w:sz="4" w:space="0" w:color="auto"/>
              <w:bottom w:val="single" w:sz="4" w:space="0" w:color="auto"/>
            </w:tcBorders>
            <w:vAlign w:val="center"/>
          </w:tcPr>
          <w:p w14:paraId="3C189DEB" w14:textId="0C95F41F" w:rsidR="00593698" w:rsidRPr="00593698" w:rsidRDefault="00593698" w:rsidP="00593698">
            <w:pPr>
              <w:spacing w:line="360" w:lineRule="auto"/>
              <w:jc w:val="center"/>
              <w:rPr>
                <w:sz w:val="22"/>
                <w:szCs w:val="22"/>
              </w:rPr>
            </w:pPr>
            <w:r w:rsidRPr="00593698">
              <w:rPr>
                <w:sz w:val="22"/>
                <w:szCs w:val="22"/>
                <w:lang w:val="en-US"/>
              </w:rPr>
              <w:t>NoCC, MixM, RadM, RadL</w:t>
            </w:r>
          </w:p>
        </w:tc>
        <w:tc>
          <w:tcPr>
            <w:tcW w:w="1367" w:type="dxa"/>
            <w:tcBorders>
              <w:top w:val="single" w:sz="4" w:space="0" w:color="auto"/>
              <w:bottom w:val="single" w:sz="4" w:space="0" w:color="auto"/>
            </w:tcBorders>
            <w:vAlign w:val="center"/>
          </w:tcPr>
          <w:p w14:paraId="176F2334" w14:textId="6FC31191" w:rsidR="00593698" w:rsidRPr="00593698" w:rsidRDefault="00593698" w:rsidP="00593698">
            <w:pPr>
              <w:spacing w:line="360" w:lineRule="auto"/>
              <w:jc w:val="center"/>
              <w:rPr>
                <w:sz w:val="22"/>
                <w:szCs w:val="22"/>
              </w:rPr>
            </w:pPr>
            <w:r w:rsidRPr="00593698">
              <w:rPr>
                <w:sz w:val="22"/>
                <w:szCs w:val="22"/>
                <w:lang w:val="en-US"/>
              </w:rPr>
              <w:t>NoCC, MixM, RadM, RadL</w:t>
            </w:r>
          </w:p>
        </w:tc>
        <w:tc>
          <w:tcPr>
            <w:tcW w:w="1273" w:type="dxa"/>
            <w:tcBorders>
              <w:top w:val="single" w:sz="4" w:space="0" w:color="auto"/>
              <w:bottom w:val="single" w:sz="4" w:space="0" w:color="auto"/>
            </w:tcBorders>
            <w:vAlign w:val="center"/>
          </w:tcPr>
          <w:p w14:paraId="1DA64BC6" w14:textId="2985CC62" w:rsidR="00593698" w:rsidRPr="00593698" w:rsidRDefault="00593698" w:rsidP="00593698">
            <w:pPr>
              <w:spacing w:line="360" w:lineRule="auto"/>
              <w:jc w:val="center"/>
              <w:rPr>
                <w:sz w:val="22"/>
                <w:szCs w:val="22"/>
              </w:rPr>
            </w:pPr>
            <w:r w:rsidRPr="00593698">
              <w:rPr>
                <w:sz w:val="22"/>
                <w:szCs w:val="22"/>
                <w:lang w:val="en-US"/>
              </w:rPr>
              <w:t>NoCC, MixM, RadM, RadL</w:t>
            </w:r>
          </w:p>
        </w:tc>
        <w:tc>
          <w:tcPr>
            <w:tcW w:w="1561" w:type="dxa"/>
            <w:tcBorders>
              <w:top w:val="single" w:sz="4" w:space="0" w:color="auto"/>
              <w:bottom w:val="single" w:sz="4" w:space="0" w:color="auto"/>
            </w:tcBorders>
            <w:vAlign w:val="center"/>
          </w:tcPr>
          <w:p w14:paraId="0FB5A228" w14:textId="3753CD95" w:rsidR="00593698" w:rsidRPr="00593698" w:rsidRDefault="00593698" w:rsidP="00593698">
            <w:pPr>
              <w:spacing w:line="360" w:lineRule="auto"/>
              <w:jc w:val="center"/>
              <w:rPr>
                <w:sz w:val="22"/>
                <w:szCs w:val="22"/>
              </w:rPr>
            </w:pPr>
            <w:r w:rsidRPr="00593698">
              <w:rPr>
                <w:sz w:val="22"/>
                <w:szCs w:val="22"/>
              </w:rPr>
              <w:t>HP5</w:t>
            </w:r>
          </w:p>
        </w:tc>
      </w:tr>
      <w:tr w:rsidR="00593698" w:rsidRPr="00593698" w14:paraId="02C8F35D" w14:textId="77777777" w:rsidTr="00593698">
        <w:tc>
          <w:tcPr>
            <w:tcW w:w="1576" w:type="dxa"/>
            <w:vMerge w:val="restart"/>
            <w:tcBorders>
              <w:top w:val="single" w:sz="4" w:space="0" w:color="auto"/>
            </w:tcBorders>
            <w:vAlign w:val="center"/>
          </w:tcPr>
          <w:p w14:paraId="6D3A2900" w14:textId="77777777" w:rsidR="00593698" w:rsidRPr="00593698" w:rsidRDefault="00593698" w:rsidP="00593698">
            <w:pPr>
              <w:spacing w:line="360" w:lineRule="auto"/>
              <w:jc w:val="center"/>
              <w:rPr>
                <w:sz w:val="22"/>
                <w:szCs w:val="22"/>
              </w:rPr>
            </w:pPr>
            <w:r w:rsidRPr="00593698">
              <w:rPr>
                <w:sz w:val="22"/>
                <w:szCs w:val="22"/>
              </w:rPr>
              <w:t xml:space="preserve">2019 </w:t>
            </w:r>
          </w:p>
          <w:p w14:paraId="65C044F6" w14:textId="6540423E" w:rsidR="00593698" w:rsidRPr="00593698" w:rsidRDefault="00593698" w:rsidP="00593698">
            <w:pPr>
              <w:spacing w:line="360" w:lineRule="auto"/>
              <w:jc w:val="center"/>
              <w:rPr>
                <w:sz w:val="22"/>
                <w:szCs w:val="22"/>
              </w:rPr>
            </w:pPr>
            <w:r w:rsidRPr="00593698">
              <w:rPr>
                <w:sz w:val="22"/>
                <w:szCs w:val="22"/>
              </w:rPr>
              <w:t>(spring oat, sown 4 April)</w:t>
            </w:r>
          </w:p>
        </w:tc>
        <w:tc>
          <w:tcPr>
            <w:tcW w:w="1753" w:type="dxa"/>
            <w:tcBorders>
              <w:top w:val="single" w:sz="4" w:space="0" w:color="auto"/>
              <w:bottom w:val="single" w:sz="4" w:space="0" w:color="auto"/>
            </w:tcBorders>
            <w:vAlign w:val="center"/>
          </w:tcPr>
          <w:p w14:paraId="1C227480" w14:textId="77777777" w:rsidR="00593698" w:rsidRPr="00593698" w:rsidRDefault="00593698" w:rsidP="00593698">
            <w:pPr>
              <w:spacing w:line="360" w:lineRule="auto"/>
              <w:jc w:val="center"/>
              <w:rPr>
                <w:sz w:val="22"/>
                <w:szCs w:val="22"/>
              </w:rPr>
            </w:pPr>
            <w:r w:rsidRPr="00593698">
              <w:rPr>
                <w:sz w:val="22"/>
                <w:szCs w:val="22"/>
              </w:rPr>
              <w:t>Before cash crop planting (xx)</w:t>
            </w:r>
          </w:p>
        </w:tc>
        <w:tc>
          <w:tcPr>
            <w:tcW w:w="1486" w:type="dxa"/>
            <w:tcBorders>
              <w:top w:val="single" w:sz="4" w:space="0" w:color="auto"/>
              <w:bottom w:val="single" w:sz="4" w:space="0" w:color="auto"/>
            </w:tcBorders>
            <w:vAlign w:val="center"/>
          </w:tcPr>
          <w:p w14:paraId="70DC11E3" w14:textId="77777777" w:rsidR="00593698" w:rsidRPr="00593698" w:rsidRDefault="00593698" w:rsidP="00593698">
            <w:pPr>
              <w:spacing w:line="360" w:lineRule="auto"/>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45A724EE" w14:textId="77777777" w:rsidR="00593698" w:rsidRPr="00593698" w:rsidRDefault="00593698" w:rsidP="00593698">
            <w:pPr>
              <w:spacing w:line="360" w:lineRule="auto"/>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6DE655E3" w:rsidR="00593698" w:rsidRPr="00593698" w:rsidRDefault="00593698" w:rsidP="00593698">
            <w:pPr>
              <w:spacing w:line="360" w:lineRule="auto"/>
              <w:jc w:val="center"/>
              <w:rPr>
                <w:sz w:val="22"/>
                <w:szCs w:val="22"/>
              </w:rPr>
            </w:pPr>
            <w:r w:rsidRPr="00593698">
              <w:rPr>
                <w:sz w:val="22"/>
                <w:szCs w:val="22"/>
              </w:rPr>
              <w:t>-</w:t>
            </w:r>
          </w:p>
        </w:tc>
        <w:tc>
          <w:tcPr>
            <w:tcW w:w="1561" w:type="dxa"/>
            <w:tcBorders>
              <w:top w:val="single" w:sz="4" w:space="0" w:color="auto"/>
              <w:bottom w:val="single" w:sz="4" w:space="0" w:color="auto"/>
            </w:tcBorders>
            <w:vAlign w:val="center"/>
          </w:tcPr>
          <w:p w14:paraId="209B5999" w14:textId="77777777" w:rsidR="00593698" w:rsidRPr="00593698" w:rsidRDefault="00593698" w:rsidP="00593698">
            <w:pPr>
              <w:spacing w:line="360" w:lineRule="auto"/>
              <w:jc w:val="center"/>
              <w:rPr>
                <w:sz w:val="22"/>
                <w:szCs w:val="22"/>
              </w:rPr>
            </w:pPr>
            <w:r w:rsidRPr="00593698">
              <w:rPr>
                <w:sz w:val="22"/>
                <w:szCs w:val="22"/>
              </w:rPr>
              <w:t>HP1</w:t>
            </w:r>
          </w:p>
        </w:tc>
      </w:tr>
      <w:tr w:rsidR="00593698" w:rsidRPr="00593698" w14:paraId="4815C678" w14:textId="77777777" w:rsidTr="00593698">
        <w:tc>
          <w:tcPr>
            <w:tcW w:w="1576" w:type="dxa"/>
            <w:vMerge/>
            <w:vAlign w:val="center"/>
          </w:tcPr>
          <w:p w14:paraId="722CF3C6" w14:textId="77777777" w:rsidR="00593698" w:rsidRPr="00593698" w:rsidRDefault="00593698" w:rsidP="00593698">
            <w:pPr>
              <w:spacing w:line="360" w:lineRule="auto"/>
              <w:jc w:val="center"/>
              <w:rPr>
                <w:sz w:val="22"/>
                <w:szCs w:val="22"/>
              </w:rPr>
            </w:pPr>
          </w:p>
        </w:tc>
        <w:tc>
          <w:tcPr>
            <w:tcW w:w="1753" w:type="dxa"/>
            <w:tcBorders>
              <w:top w:val="single" w:sz="4" w:space="0" w:color="auto"/>
              <w:bottom w:val="single" w:sz="4" w:space="0" w:color="auto"/>
            </w:tcBorders>
            <w:vAlign w:val="center"/>
          </w:tcPr>
          <w:p w14:paraId="4190ED97" w14:textId="327C73B0" w:rsidR="00593698" w:rsidRPr="00593698" w:rsidRDefault="00593698" w:rsidP="00593698">
            <w:pPr>
              <w:spacing w:line="360" w:lineRule="auto"/>
              <w:jc w:val="center"/>
              <w:rPr>
                <w:sz w:val="22"/>
                <w:szCs w:val="22"/>
              </w:rPr>
            </w:pPr>
            <w:r w:rsidRPr="00593698">
              <w:rPr>
                <w:sz w:val="22"/>
                <w:szCs w:val="22"/>
              </w:rPr>
              <w:t>After emergence (14 May)</w:t>
            </w:r>
          </w:p>
        </w:tc>
        <w:tc>
          <w:tcPr>
            <w:tcW w:w="1486" w:type="dxa"/>
            <w:tcBorders>
              <w:top w:val="single" w:sz="4" w:space="0" w:color="auto"/>
              <w:bottom w:val="single" w:sz="4" w:space="0" w:color="auto"/>
            </w:tcBorders>
            <w:vAlign w:val="center"/>
          </w:tcPr>
          <w:p w14:paraId="6FF79198" w14:textId="07F2A970" w:rsidR="00593698" w:rsidRPr="00593698" w:rsidRDefault="00593698" w:rsidP="00593698">
            <w:pPr>
              <w:spacing w:line="360" w:lineRule="auto"/>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593698" w:rsidRPr="00593698" w:rsidRDefault="00593698" w:rsidP="00593698">
            <w:pPr>
              <w:spacing w:line="360" w:lineRule="auto"/>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10027553" w:rsidR="00593698" w:rsidRPr="00593698" w:rsidRDefault="00593698" w:rsidP="00593698">
            <w:pPr>
              <w:spacing w:line="360" w:lineRule="auto"/>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593698" w:rsidRPr="00593698" w:rsidRDefault="00593698" w:rsidP="00593698">
            <w:pPr>
              <w:spacing w:line="360" w:lineRule="auto"/>
              <w:jc w:val="center"/>
              <w:rPr>
                <w:sz w:val="22"/>
                <w:szCs w:val="22"/>
              </w:rPr>
            </w:pPr>
            <w:r w:rsidRPr="00593698">
              <w:rPr>
                <w:sz w:val="22"/>
                <w:szCs w:val="22"/>
              </w:rPr>
              <w:t>HP3</w:t>
            </w:r>
          </w:p>
        </w:tc>
      </w:tr>
      <w:tr w:rsidR="00593698" w:rsidRPr="00593698" w14:paraId="58DC564A" w14:textId="77777777" w:rsidTr="00593698">
        <w:tc>
          <w:tcPr>
            <w:tcW w:w="1576" w:type="dxa"/>
            <w:vMerge/>
            <w:tcBorders>
              <w:bottom w:val="single" w:sz="4" w:space="0" w:color="auto"/>
            </w:tcBorders>
            <w:vAlign w:val="center"/>
          </w:tcPr>
          <w:p w14:paraId="066BB7D3" w14:textId="77777777" w:rsidR="00593698" w:rsidRPr="00593698" w:rsidRDefault="00593698" w:rsidP="00593698">
            <w:pPr>
              <w:spacing w:line="360" w:lineRule="auto"/>
              <w:jc w:val="center"/>
              <w:rPr>
                <w:sz w:val="22"/>
                <w:szCs w:val="22"/>
              </w:rPr>
            </w:pPr>
          </w:p>
        </w:tc>
        <w:tc>
          <w:tcPr>
            <w:tcW w:w="1753" w:type="dxa"/>
            <w:tcBorders>
              <w:top w:val="single" w:sz="4" w:space="0" w:color="auto"/>
              <w:bottom w:val="single" w:sz="4" w:space="0" w:color="auto"/>
            </w:tcBorders>
            <w:vAlign w:val="center"/>
          </w:tcPr>
          <w:p w14:paraId="6D77BF0A" w14:textId="7237358C" w:rsidR="00593698" w:rsidRPr="00593698" w:rsidRDefault="00593698" w:rsidP="00593698">
            <w:pPr>
              <w:spacing w:line="360" w:lineRule="auto"/>
              <w:jc w:val="center"/>
              <w:rPr>
                <w:sz w:val="22"/>
                <w:szCs w:val="22"/>
              </w:rPr>
            </w:pPr>
            <w:r w:rsidRPr="00593698">
              <w:rPr>
                <w:sz w:val="22"/>
                <w:szCs w:val="22"/>
              </w:rPr>
              <w:t>After emergence (14 May)</w:t>
            </w:r>
          </w:p>
        </w:tc>
        <w:tc>
          <w:tcPr>
            <w:tcW w:w="1486" w:type="dxa"/>
            <w:tcBorders>
              <w:top w:val="single" w:sz="4" w:space="0" w:color="auto"/>
              <w:bottom w:val="single" w:sz="4" w:space="0" w:color="auto"/>
            </w:tcBorders>
            <w:vAlign w:val="center"/>
          </w:tcPr>
          <w:p w14:paraId="25E8D4FA" w14:textId="0F56F684" w:rsidR="00593698" w:rsidRPr="00593698" w:rsidRDefault="00593698" w:rsidP="00593698">
            <w:pPr>
              <w:spacing w:line="360" w:lineRule="auto"/>
              <w:jc w:val="center"/>
              <w:rPr>
                <w:sz w:val="22"/>
                <w:szCs w:val="22"/>
              </w:rPr>
            </w:pPr>
            <w:r w:rsidRPr="00593698">
              <w:rPr>
                <w:sz w:val="22"/>
                <w:szCs w:val="22"/>
                <w:lang w:val="en-US"/>
              </w:rPr>
              <w:t>NoCC, MixM, RadM, RadL</w:t>
            </w:r>
          </w:p>
        </w:tc>
        <w:tc>
          <w:tcPr>
            <w:tcW w:w="1367" w:type="dxa"/>
            <w:tcBorders>
              <w:top w:val="single" w:sz="4" w:space="0" w:color="auto"/>
              <w:bottom w:val="single" w:sz="4" w:space="0" w:color="auto"/>
            </w:tcBorders>
            <w:vAlign w:val="center"/>
          </w:tcPr>
          <w:p w14:paraId="703F357D" w14:textId="163BEEB6" w:rsidR="00593698" w:rsidRPr="00593698" w:rsidRDefault="00593698" w:rsidP="00593698">
            <w:pPr>
              <w:spacing w:line="360" w:lineRule="auto"/>
              <w:jc w:val="center"/>
              <w:rPr>
                <w:sz w:val="22"/>
                <w:szCs w:val="22"/>
              </w:rPr>
            </w:pPr>
            <w:r w:rsidRPr="00593698">
              <w:rPr>
                <w:sz w:val="22"/>
                <w:szCs w:val="22"/>
                <w:lang w:val="en-US"/>
              </w:rPr>
              <w:t>NoCC, MixM, RadM, RadL</w:t>
            </w:r>
          </w:p>
        </w:tc>
        <w:tc>
          <w:tcPr>
            <w:tcW w:w="1273" w:type="dxa"/>
            <w:tcBorders>
              <w:top w:val="single" w:sz="4" w:space="0" w:color="auto"/>
              <w:bottom w:val="single" w:sz="4" w:space="0" w:color="auto"/>
            </w:tcBorders>
            <w:vAlign w:val="center"/>
          </w:tcPr>
          <w:p w14:paraId="43F3DEDE" w14:textId="14417DE8" w:rsidR="00593698" w:rsidRPr="00593698" w:rsidRDefault="00593698" w:rsidP="00593698">
            <w:pPr>
              <w:spacing w:line="360" w:lineRule="auto"/>
              <w:jc w:val="center"/>
              <w:rPr>
                <w:sz w:val="22"/>
                <w:szCs w:val="22"/>
              </w:rPr>
            </w:pPr>
            <w:r w:rsidRPr="00593698">
              <w:rPr>
                <w:sz w:val="22"/>
                <w:szCs w:val="22"/>
                <w:lang w:val="en-US"/>
              </w:rPr>
              <w:t>NoCC, MixM, RadM, RadL</w:t>
            </w:r>
          </w:p>
        </w:tc>
        <w:tc>
          <w:tcPr>
            <w:tcW w:w="1561" w:type="dxa"/>
            <w:tcBorders>
              <w:top w:val="single" w:sz="4" w:space="0" w:color="auto"/>
              <w:bottom w:val="single" w:sz="4" w:space="0" w:color="auto"/>
            </w:tcBorders>
            <w:vAlign w:val="center"/>
          </w:tcPr>
          <w:p w14:paraId="7DB9B832" w14:textId="092A71D4" w:rsidR="00593698" w:rsidRPr="00593698" w:rsidRDefault="00593698" w:rsidP="00593698">
            <w:pPr>
              <w:spacing w:line="360" w:lineRule="auto"/>
              <w:jc w:val="center"/>
              <w:rPr>
                <w:sz w:val="22"/>
                <w:szCs w:val="22"/>
              </w:rPr>
            </w:pPr>
            <w:r w:rsidRPr="00593698">
              <w:rPr>
                <w:sz w:val="22"/>
                <w:szCs w:val="22"/>
              </w:rPr>
              <w:t>HP6</w:t>
            </w:r>
          </w:p>
        </w:tc>
      </w:tr>
      <w:tr w:rsidR="00593698" w:rsidRPr="00593698" w14:paraId="6DBC74CB" w14:textId="77777777" w:rsidTr="00593698">
        <w:tc>
          <w:tcPr>
            <w:tcW w:w="1576" w:type="dxa"/>
            <w:vMerge w:val="restart"/>
            <w:tcBorders>
              <w:top w:val="single" w:sz="4" w:space="0" w:color="auto"/>
            </w:tcBorders>
            <w:vAlign w:val="center"/>
          </w:tcPr>
          <w:p w14:paraId="1703F84A" w14:textId="77777777" w:rsidR="00593698" w:rsidRPr="00593698" w:rsidRDefault="00593698" w:rsidP="00593698">
            <w:pPr>
              <w:spacing w:line="360" w:lineRule="auto"/>
              <w:jc w:val="center"/>
              <w:rPr>
                <w:sz w:val="22"/>
                <w:szCs w:val="22"/>
              </w:rPr>
            </w:pPr>
            <w:r w:rsidRPr="00593698">
              <w:rPr>
                <w:sz w:val="22"/>
                <w:szCs w:val="22"/>
              </w:rPr>
              <w:t xml:space="preserve">2020 </w:t>
            </w:r>
          </w:p>
          <w:p w14:paraId="1FECD998" w14:textId="2452C95F" w:rsidR="00593698" w:rsidRPr="00593698" w:rsidRDefault="00593698" w:rsidP="00593698">
            <w:pPr>
              <w:spacing w:line="360" w:lineRule="auto"/>
              <w:jc w:val="center"/>
              <w:rPr>
                <w:sz w:val="22"/>
                <w:szCs w:val="22"/>
              </w:rPr>
            </w:pPr>
            <w:r w:rsidRPr="00593698">
              <w:rPr>
                <w:sz w:val="22"/>
                <w:szCs w:val="22"/>
              </w:rPr>
              <w:t>(faba bean, sown 15 April)</w:t>
            </w:r>
          </w:p>
        </w:tc>
        <w:tc>
          <w:tcPr>
            <w:tcW w:w="1753" w:type="dxa"/>
            <w:tcBorders>
              <w:top w:val="single" w:sz="4" w:space="0" w:color="auto"/>
              <w:bottom w:val="single" w:sz="4" w:space="0" w:color="auto"/>
            </w:tcBorders>
            <w:vAlign w:val="center"/>
          </w:tcPr>
          <w:p w14:paraId="5C644FB1" w14:textId="77777777" w:rsidR="00593698" w:rsidRPr="00593698" w:rsidRDefault="00593698" w:rsidP="00593698">
            <w:pPr>
              <w:spacing w:line="360" w:lineRule="auto"/>
              <w:jc w:val="center"/>
              <w:rPr>
                <w:sz w:val="22"/>
                <w:szCs w:val="22"/>
              </w:rPr>
            </w:pPr>
            <w:r w:rsidRPr="00593698">
              <w:rPr>
                <w:sz w:val="22"/>
                <w:szCs w:val="22"/>
              </w:rPr>
              <w:t>Before cash crop planting (xx)</w:t>
            </w:r>
          </w:p>
        </w:tc>
        <w:tc>
          <w:tcPr>
            <w:tcW w:w="1486" w:type="dxa"/>
            <w:tcBorders>
              <w:top w:val="single" w:sz="4" w:space="0" w:color="auto"/>
              <w:bottom w:val="single" w:sz="4" w:space="0" w:color="auto"/>
            </w:tcBorders>
            <w:vAlign w:val="center"/>
          </w:tcPr>
          <w:p w14:paraId="0F523157" w14:textId="77777777" w:rsidR="00593698" w:rsidRPr="00593698" w:rsidRDefault="00593698" w:rsidP="00593698">
            <w:pPr>
              <w:spacing w:line="360" w:lineRule="auto"/>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5F3B89A1" w14:textId="77777777" w:rsidR="00593698" w:rsidRPr="00593698" w:rsidRDefault="00593698" w:rsidP="00593698">
            <w:pPr>
              <w:spacing w:line="360" w:lineRule="auto"/>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EC97446" w:rsidR="00593698" w:rsidRPr="00593698" w:rsidRDefault="00593698" w:rsidP="00593698">
            <w:pPr>
              <w:spacing w:line="360" w:lineRule="auto"/>
              <w:jc w:val="center"/>
              <w:rPr>
                <w:sz w:val="22"/>
                <w:szCs w:val="22"/>
              </w:rPr>
            </w:pPr>
            <w:r w:rsidRPr="00593698">
              <w:rPr>
                <w:sz w:val="22"/>
                <w:szCs w:val="22"/>
              </w:rPr>
              <w:t>-</w:t>
            </w:r>
          </w:p>
        </w:tc>
        <w:tc>
          <w:tcPr>
            <w:tcW w:w="1561" w:type="dxa"/>
            <w:tcBorders>
              <w:top w:val="single" w:sz="4" w:space="0" w:color="auto"/>
              <w:bottom w:val="single" w:sz="4" w:space="0" w:color="auto"/>
            </w:tcBorders>
            <w:vAlign w:val="center"/>
          </w:tcPr>
          <w:p w14:paraId="6989FD04" w14:textId="77777777" w:rsidR="00593698" w:rsidRPr="00593698" w:rsidRDefault="00593698" w:rsidP="00593698">
            <w:pPr>
              <w:spacing w:line="360" w:lineRule="auto"/>
              <w:jc w:val="center"/>
              <w:rPr>
                <w:sz w:val="22"/>
                <w:szCs w:val="22"/>
              </w:rPr>
            </w:pPr>
            <w:r w:rsidRPr="00593698">
              <w:rPr>
                <w:sz w:val="22"/>
                <w:szCs w:val="22"/>
              </w:rPr>
              <w:t>HP2</w:t>
            </w:r>
          </w:p>
        </w:tc>
      </w:tr>
      <w:tr w:rsidR="00593698" w:rsidRPr="00593698" w14:paraId="536BE0D6" w14:textId="77777777" w:rsidTr="00593698">
        <w:tc>
          <w:tcPr>
            <w:tcW w:w="1576" w:type="dxa"/>
            <w:vMerge/>
            <w:vAlign w:val="center"/>
          </w:tcPr>
          <w:p w14:paraId="71D970A0" w14:textId="77777777" w:rsidR="00593698" w:rsidRPr="00593698" w:rsidRDefault="00593698" w:rsidP="00593698">
            <w:pPr>
              <w:spacing w:line="360" w:lineRule="auto"/>
              <w:jc w:val="center"/>
              <w:rPr>
                <w:sz w:val="22"/>
                <w:szCs w:val="22"/>
              </w:rPr>
            </w:pPr>
          </w:p>
        </w:tc>
        <w:tc>
          <w:tcPr>
            <w:tcW w:w="1753" w:type="dxa"/>
            <w:tcBorders>
              <w:top w:val="single" w:sz="4" w:space="0" w:color="auto"/>
              <w:bottom w:val="single" w:sz="4" w:space="0" w:color="auto"/>
            </w:tcBorders>
            <w:vAlign w:val="center"/>
          </w:tcPr>
          <w:p w14:paraId="3DC2A515" w14:textId="4B84D941" w:rsidR="00593698" w:rsidRPr="00593698" w:rsidRDefault="00593698" w:rsidP="00593698">
            <w:pPr>
              <w:spacing w:line="360" w:lineRule="auto"/>
              <w:jc w:val="center"/>
              <w:rPr>
                <w:sz w:val="22"/>
                <w:szCs w:val="22"/>
              </w:rPr>
            </w:pPr>
            <w:r w:rsidRPr="00593698">
              <w:rPr>
                <w:sz w:val="22"/>
                <w:szCs w:val="22"/>
              </w:rPr>
              <w:t>After emergence (6 May)</w:t>
            </w:r>
          </w:p>
        </w:tc>
        <w:tc>
          <w:tcPr>
            <w:tcW w:w="1486" w:type="dxa"/>
            <w:tcBorders>
              <w:top w:val="single" w:sz="4" w:space="0" w:color="auto"/>
              <w:bottom w:val="single" w:sz="4" w:space="0" w:color="auto"/>
            </w:tcBorders>
            <w:vAlign w:val="center"/>
          </w:tcPr>
          <w:p w14:paraId="6F43F350" w14:textId="0DE1C37F" w:rsidR="00593698" w:rsidRPr="00593698" w:rsidRDefault="00593698" w:rsidP="00593698">
            <w:pPr>
              <w:spacing w:line="360" w:lineRule="auto"/>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593698" w:rsidRPr="00593698" w:rsidRDefault="00593698" w:rsidP="00593698">
            <w:pPr>
              <w:spacing w:line="360" w:lineRule="auto"/>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1AE98E7F" w:rsidR="00593698" w:rsidRPr="00593698" w:rsidRDefault="00593698" w:rsidP="00593698">
            <w:pPr>
              <w:spacing w:line="360" w:lineRule="auto"/>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593698" w:rsidRPr="00593698" w:rsidRDefault="00593698" w:rsidP="00593698">
            <w:pPr>
              <w:spacing w:line="360" w:lineRule="auto"/>
              <w:jc w:val="center"/>
              <w:rPr>
                <w:sz w:val="22"/>
                <w:szCs w:val="22"/>
              </w:rPr>
            </w:pPr>
            <w:r w:rsidRPr="00593698">
              <w:rPr>
                <w:sz w:val="22"/>
                <w:szCs w:val="22"/>
              </w:rPr>
              <w:t>HP7</w:t>
            </w:r>
          </w:p>
        </w:tc>
      </w:tr>
      <w:tr w:rsidR="00593698" w:rsidRPr="00593698" w14:paraId="64578084" w14:textId="77777777" w:rsidTr="00593698">
        <w:tc>
          <w:tcPr>
            <w:tcW w:w="1576" w:type="dxa"/>
            <w:vMerge/>
            <w:vAlign w:val="center"/>
          </w:tcPr>
          <w:p w14:paraId="4FA4FFFF" w14:textId="77777777" w:rsidR="00593698" w:rsidRPr="00593698" w:rsidRDefault="00593698" w:rsidP="00593698">
            <w:pPr>
              <w:spacing w:line="360" w:lineRule="auto"/>
              <w:jc w:val="center"/>
              <w:rPr>
                <w:sz w:val="22"/>
                <w:szCs w:val="22"/>
              </w:rPr>
            </w:pPr>
          </w:p>
        </w:tc>
        <w:tc>
          <w:tcPr>
            <w:tcW w:w="1753" w:type="dxa"/>
            <w:tcBorders>
              <w:top w:val="single" w:sz="4" w:space="0" w:color="auto"/>
              <w:bottom w:val="single" w:sz="4" w:space="0" w:color="auto"/>
            </w:tcBorders>
            <w:vAlign w:val="center"/>
          </w:tcPr>
          <w:p w14:paraId="07FDB56D" w14:textId="728CE46F" w:rsidR="00593698" w:rsidRPr="00593698" w:rsidRDefault="00593698" w:rsidP="00593698">
            <w:pPr>
              <w:spacing w:line="360" w:lineRule="auto"/>
              <w:jc w:val="center"/>
              <w:rPr>
                <w:sz w:val="22"/>
                <w:szCs w:val="22"/>
              </w:rPr>
            </w:pPr>
            <w:r w:rsidRPr="00593698">
              <w:rPr>
                <w:sz w:val="22"/>
                <w:szCs w:val="22"/>
              </w:rPr>
              <w:t>In-season (20 May)</w:t>
            </w:r>
          </w:p>
        </w:tc>
        <w:tc>
          <w:tcPr>
            <w:tcW w:w="1486" w:type="dxa"/>
            <w:tcBorders>
              <w:top w:val="single" w:sz="4" w:space="0" w:color="auto"/>
              <w:bottom w:val="single" w:sz="4" w:space="0" w:color="auto"/>
            </w:tcBorders>
            <w:vAlign w:val="center"/>
          </w:tcPr>
          <w:p w14:paraId="2B25DDA2" w14:textId="0D0C4D45" w:rsidR="00593698" w:rsidRPr="00593698" w:rsidRDefault="00593698" w:rsidP="00593698">
            <w:pPr>
              <w:spacing w:line="360" w:lineRule="auto"/>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593698" w:rsidRPr="00593698" w:rsidRDefault="00593698" w:rsidP="00593698">
            <w:pPr>
              <w:spacing w:line="360" w:lineRule="auto"/>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25F08C7D" w:rsidR="00593698" w:rsidRPr="00593698" w:rsidRDefault="00593698" w:rsidP="00593698">
            <w:pPr>
              <w:spacing w:line="360" w:lineRule="auto"/>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593698" w:rsidRPr="00593698" w:rsidRDefault="00593698" w:rsidP="00593698">
            <w:pPr>
              <w:spacing w:line="360" w:lineRule="auto"/>
              <w:jc w:val="center"/>
              <w:rPr>
                <w:sz w:val="22"/>
                <w:szCs w:val="22"/>
              </w:rPr>
            </w:pPr>
            <w:r w:rsidRPr="00593698">
              <w:rPr>
                <w:sz w:val="22"/>
                <w:szCs w:val="22"/>
              </w:rPr>
              <w:t>HP7</w:t>
            </w:r>
          </w:p>
        </w:tc>
      </w:tr>
      <w:tr w:rsidR="00593698" w:rsidRPr="00593698" w14:paraId="5890627D" w14:textId="77777777" w:rsidTr="00593698">
        <w:tc>
          <w:tcPr>
            <w:tcW w:w="1576" w:type="dxa"/>
            <w:vMerge/>
            <w:tcBorders>
              <w:bottom w:val="single" w:sz="4" w:space="0" w:color="auto"/>
            </w:tcBorders>
            <w:vAlign w:val="center"/>
          </w:tcPr>
          <w:p w14:paraId="71A320E5" w14:textId="77777777" w:rsidR="00593698" w:rsidRPr="00593698" w:rsidRDefault="00593698" w:rsidP="00593698">
            <w:pPr>
              <w:spacing w:line="360" w:lineRule="auto"/>
              <w:jc w:val="center"/>
              <w:rPr>
                <w:sz w:val="22"/>
                <w:szCs w:val="22"/>
              </w:rPr>
            </w:pPr>
          </w:p>
        </w:tc>
        <w:tc>
          <w:tcPr>
            <w:tcW w:w="1753" w:type="dxa"/>
            <w:tcBorders>
              <w:top w:val="single" w:sz="4" w:space="0" w:color="auto"/>
              <w:bottom w:val="single" w:sz="4" w:space="0" w:color="auto"/>
            </w:tcBorders>
            <w:vAlign w:val="center"/>
          </w:tcPr>
          <w:p w14:paraId="1A31D346" w14:textId="0C22F2B3" w:rsidR="00593698" w:rsidRPr="00593698" w:rsidRDefault="00593698" w:rsidP="00593698">
            <w:pPr>
              <w:spacing w:line="360" w:lineRule="auto"/>
              <w:jc w:val="center"/>
              <w:rPr>
                <w:sz w:val="22"/>
                <w:szCs w:val="22"/>
              </w:rPr>
            </w:pPr>
            <w:r w:rsidRPr="00593698">
              <w:rPr>
                <w:sz w:val="22"/>
                <w:szCs w:val="22"/>
              </w:rPr>
              <w:t>In-season (2 June)</w:t>
            </w:r>
          </w:p>
        </w:tc>
        <w:tc>
          <w:tcPr>
            <w:tcW w:w="1486" w:type="dxa"/>
            <w:tcBorders>
              <w:top w:val="single" w:sz="4" w:space="0" w:color="auto"/>
              <w:bottom w:val="single" w:sz="4" w:space="0" w:color="auto"/>
            </w:tcBorders>
            <w:vAlign w:val="center"/>
          </w:tcPr>
          <w:p w14:paraId="0482F56E" w14:textId="184A4FE9" w:rsidR="00593698" w:rsidRPr="00593698" w:rsidRDefault="00593698" w:rsidP="00593698">
            <w:pPr>
              <w:spacing w:line="360" w:lineRule="auto"/>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593698" w:rsidRPr="00593698" w:rsidRDefault="00593698" w:rsidP="00593698">
            <w:pPr>
              <w:spacing w:line="360" w:lineRule="auto"/>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1434079F" w:rsidR="00593698" w:rsidRPr="00593698" w:rsidRDefault="00593698" w:rsidP="00593698">
            <w:pPr>
              <w:spacing w:line="360" w:lineRule="auto"/>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593698" w:rsidRPr="00593698" w:rsidRDefault="00593698" w:rsidP="00593698">
            <w:pPr>
              <w:spacing w:line="360" w:lineRule="auto"/>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34C82462" w14:textId="77777777" w:rsidR="00776C96" w:rsidRDefault="00776C96" w:rsidP="001A455C">
      <w:pPr>
        <w:spacing w:line="360" w:lineRule="auto"/>
      </w:pPr>
      <w:r w:rsidRPr="001A455C">
        <w:t xml:space="preserve">In the no-till and surface tillage treatments, all plots were sprayed with HP1 (2018, 2019) or HP2 (2020) before cash crop planting. For the inversion tillage treatments, no herbicide was sprayed before cash crop planting. In 2018 (spring barley), to accommodate the presence of </w:t>
      </w:r>
      <w:r w:rsidRPr="001A455C">
        <w:lastRenderedPageBreak/>
        <w:t>the grass and clover present in the Mix-early plots, those plots were sprayed on 16 May 2018 with an herbicide package that does not affect clover or grasses (HP3); all other plots were sprayed the same day with a different herbicide package (HP4).</w:t>
      </w:r>
      <w:r>
        <w:t xml:space="preserve"> </w:t>
      </w:r>
      <w:r w:rsidR="001A455C" w:rsidRPr="001A455C">
        <w:t>On 29 May 2018, all plots except the Mix-early plots were sprayed (HP5) to control Canada thistle (</w:t>
      </w:r>
      <w:r w:rsidR="001A455C" w:rsidRPr="001A455C">
        <w:rPr>
          <w:i/>
          <w:iCs/>
        </w:rPr>
        <w:t>Cirsium arvense</w:t>
      </w:r>
      <w:r w:rsidR="005B40AA">
        <w:t xml:space="preserve"> (L.) Scop.</w:t>
      </w:r>
      <w:r w:rsidR="001A455C" w:rsidRPr="001A455C">
        <w:t xml:space="preserve">); Mix-early plots were not sprayed because HP5 would have terminated the cover crop. In 2019 (spring oat), on 14 May the Mix-early plots were again sprayed with the same herbicide package used in 2018 (HP3) while all other plots were sprayed with a different </w:t>
      </w:r>
      <w:r w:rsidR="007010D9">
        <w:t xml:space="preserve">‘stronger’ </w:t>
      </w:r>
      <w:r w:rsidR="001A455C" w:rsidRPr="001A455C">
        <w:t>package (HP6)</w:t>
      </w:r>
      <w:r w:rsidR="007010D9">
        <w:t xml:space="preserve"> to control more weeds, based on early spring surveys</w:t>
      </w:r>
      <w:r w:rsidR="001A455C" w:rsidRPr="001A455C">
        <w:t xml:space="preserve">. </w:t>
      </w:r>
      <w:bookmarkStart w:id="4" w:name="_Hlk190689276"/>
    </w:p>
    <w:p w14:paraId="514A346C" w14:textId="42D4FE64" w:rsidR="001A455C" w:rsidRPr="001A455C" w:rsidRDefault="001A455C" w:rsidP="001A455C">
      <w:pPr>
        <w:spacing w:line="360" w:lineRule="auto"/>
        <w:rPr>
          <w:lang w:val="en-US"/>
        </w:rPr>
      </w:pPr>
      <w:r w:rsidRPr="001A455C">
        <w:t>Following faba bean planting in 2020, all plots were sprayed with HP7 on 6 May 2020 and again on 20 May 2020. On 2 June 2020, all plots were sprayed (HP8) to control wild oat (</w:t>
      </w:r>
      <w:r w:rsidRPr="001A455C">
        <w:rPr>
          <w:i/>
          <w:iCs/>
        </w:rPr>
        <w:t>Avena fatua</w:t>
      </w:r>
      <w:r w:rsidR="00E64C10">
        <w:rPr>
          <w:i/>
          <w:iCs/>
        </w:rPr>
        <w:t xml:space="preserve"> </w:t>
      </w:r>
      <w:r w:rsidR="00E64C10">
        <w:t>L.</w:t>
      </w:r>
      <w:r w:rsidRPr="001A455C">
        <w:t xml:space="preserve">). </w:t>
      </w:r>
      <w:bookmarkEnd w:id="4"/>
      <w:r w:rsidRPr="001A455C">
        <w:t>All plots were managed identically for diseases and insect pests according to Dani</w:t>
      </w:r>
      <w:r w:rsidRPr="00A142CB">
        <w:t xml:space="preserve">sh standard recommendations and policies. </w:t>
      </w:r>
      <w:r w:rsidRPr="00A142CB">
        <w:rPr>
          <w:lang w:val="en-US"/>
        </w:rPr>
        <w:t xml:space="preserve">Herbicide use data was translated into potential toxicity loads using the </w:t>
      </w:r>
      <w:r w:rsidR="00A142CB" w:rsidRPr="00A142CB">
        <w:rPr>
          <w:lang w:val="en-US"/>
        </w:rPr>
        <w:t>Danish</w:t>
      </w:r>
      <w:r w:rsidR="002A7D26" w:rsidRPr="00A142CB">
        <w:rPr>
          <w:lang w:val="en-US"/>
        </w:rPr>
        <w:t xml:space="preserve"> </w:t>
      </w:r>
      <w:r w:rsidRPr="00A142CB">
        <w:rPr>
          <w:lang w:val="en-US"/>
        </w:rPr>
        <w:t xml:space="preserve">Pesticide Load </w:t>
      </w:r>
      <w:r w:rsidR="002A7D26" w:rsidRPr="00A142CB">
        <w:rPr>
          <w:lang w:val="en-US"/>
        </w:rPr>
        <w:t xml:space="preserve">Indicator </w:t>
      </w:r>
      <w:r w:rsidR="00A142CB" w:rsidRPr="00A142CB">
        <w:rPr>
          <w:lang w:val="en-US"/>
        </w:rPr>
        <w:t>values</w:t>
      </w:r>
      <w:r w:rsidR="002A7D26" w:rsidRPr="00A142CB">
        <w:rPr>
          <w:lang w:val="en-US"/>
        </w:rPr>
        <w:t xml:space="preserve"> </w:t>
      </w:r>
      <w:r w:rsidR="007010D9" w:rsidRPr="00A142CB">
        <w:rPr>
          <w:lang w:val="en-US"/>
        </w:rPr>
        <w:t>[</w:t>
      </w:r>
      <w:r w:rsidRPr="00A142CB">
        <w:rPr>
          <w:lang w:val="en-US"/>
        </w:rPr>
        <w:t>PLI;</w:t>
      </w:r>
      <w:r w:rsidR="002A7D26" w:rsidRPr="00A142CB">
        <w:rPr>
          <w:lang w:val="en-US"/>
        </w:rPr>
        <w:t xml:space="preserve"> </w:t>
      </w:r>
      <w:r w:rsidR="007010D9" w:rsidRPr="00A142CB">
        <w:rPr>
          <w:lang w:val="en-US"/>
        </w:rPr>
        <w:fldChar w:fldCharType="begin"/>
      </w:r>
      <w:r w:rsidR="00A142CB" w:rsidRPr="00A142CB">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007010D9" w:rsidRPr="00A142CB">
        <w:rPr>
          <w:lang w:val="en-US"/>
        </w:rPr>
        <w:fldChar w:fldCharType="separate"/>
      </w:r>
      <w:r w:rsidR="00A142CB" w:rsidRPr="00A142CB">
        <w:rPr>
          <w:lang w:val="en-US"/>
        </w:rPr>
        <w:t>(Kudsk et al., 2018)</w:t>
      </w:r>
      <w:r w:rsidR="007010D9" w:rsidRPr="00A142CB">
        <w:rPr>
          <w:lang w:val="en-US"/>
        </w:rPr>
        <w:fldChar w:fldCharType="end"/>
      </w:r>
      <w:r w:rsidR="007010D9" w:rsidRPr="00A142CB">
        <w:rPr>
          <w:lang w:val="en-US"/>
        </w:rPr>
        <w:t>]</w:t>
      </w:r>
      <w:r w:rsidRPr="00A142CB">
        <w:rPr>
          <w:lang w:val="en-US"/>
        </w:rPr>
        <w:t>.</w:t>
      </w:r>
    </w:p>
    <w:p w14:paraId="26C9F94A" w14:textId="5D013A61" w:rsidR="001A455C" w:rsidRPr="001A455C" w:rsidRDefault="001A455C" w:rsidP="001A455C">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 June to ensure the establishment of all treatments. Irrigation was done with sprinklers mounted on a boom that was dragged through the experiment.</w:t>
      </w:r>
      <w:r w:rsidR="002A7D26">
        <w:rPr>
          <w:lang w:val="en-US"/>
        </w:rPr>
        <w:t xml:space="preserve"> This was also done on production fields in Denmark with access to irrigation structure. </w:t>
      </w:r>
      <w:r w:rsidRPr="001A455C">
        <w:rPr>
          <w:lang w:val="en-US"/>
        </w:rPr>
        <w:t xml:space="preserve"> </w:t>
      </w:r>
    </w:p>
    <w:p w14:paraId="2D6D4E7F" w14:textId="77777777" w:rsidR="001A455C" w:rsidRPr="001A455C" w:rsidRDefault="001A455C" w:rsidP="001A455C">
      <w:pPr>
        <w:spacing w:line="360" w:lineRule="auto"/>
        <w:rPr>
          <w:lang w:val="en-US"/>
        </w:rPr>
      </w:pPr>
      <w:r w:rsidRPr="001A455C">
        <w:rPr>
          <w:lang w:val="en-US"/>
        </w:rPr>
        <w:t xml:space="preserve">Weather data for the present study was obtained from the Danish Meteorological Institute's (DMI) Open Data API for the Flakkebjerg station (55.322, 11.388). The 30-year (1990-2020) mean annual temperature and precipitation for the site are 8.9 degrees Celsius and 589 mm, respectively.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3A51DCDC" w:rsidR="001A455C" w:rsidRPr="001A455C" w:rsidRDefault="001A455C" w:rsidP="001A455C">
      <w:pPr>
        <w:spacing w:line="360" w:lineRule="auto"/>
      </w:pPr>
      <w:r w:rsidRPr="001A455C">
        <w:t>Each sub-subplot (net size 10 m x 1.5 m) was harvested for grain yield with a plot combine</w:t>
      </w:r>
      <w:r w:rsidR="00DD770E">
        <w:t>r</w:t>
      </w:r>
      <w:r w:rsidRPr="001A455C">
        <w:t xml:space="preserve"> (</w:t>
      </w:r>
      <w:r w:rsidR="00F36B54">
        <w:t xml:space="preserve">spring barley: </w:t>
      </w:r>
      <w:r w:rsidRPr="001A455C">
        <w:t>8 August 2018</w:t>
      </w:r>
      <w:r w:rsidR="00F36B54">
        <w:t xml:space="preserve">, oat: </w:t>
      </w:r>
      <w:r w:rsidRPr="001A455C">
        <w:t>15 August 2019</w:t>
      </w:r>
      <w:r w:rsidR="00F36B54">
        <w:t xml:space="preserve">, faba bean: </w:t>
      </w:r>
      <w:r w:rsidRPr="001A455C">
        <w:t xml:space="preserve">24 August 2020 faba bean). Dry matter content was determined by a near-infrared spectroscopy analyzer </w:t>
      </w:r>
      <w:r w:rsidR="00A8682B">
        <w:t>[</w:t>
      </w:r>
      <w:r w:rsidRPr="001A455C">
        <w:t>InfraTec™ 1241 Grain Analyzer, Foss A/S; </w:t>
      </w:r>
      <w:bookmarkStart w:id="5"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5"/>
      <w:r w:rsidRPr="001A455C">
        <w:t>). Grain yields are reported on a dry matter basis.</w:t>
      </w:r>
    </w:p>
    <w:p w14:paraId="550CAF4F" w14:textId="39516849"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Fall vegetation</w:t>
      </w:r>
    </w:p>
    <w:p w14:paraId="02B90445" w14:textId="7AB3C055" w:rsidR="001A455C" w:rsidRPr="001A455C" w:rsidRDefault="001A455C" w:rsidP="001A455C">
      <w:pPr>
        <w:spacing w:line="360" w:lineRule="auto"/>
        <w:rPr>
          <w:lang w:val="en-US"/>
        </w:rPr>
      </w:pPr>
      <w:r w:rsidRPr="001A455C">
        <w:rPr>
          <w:lang w:val="en-US"/>
        </w:rPr>
        <w:lastRenderedPageBreak/>
        <w:t xml:space="preserve">Three categories of vegetation measurements were taken (Table </w:t>
      </w:r>
      <w:r w:rsidR="00D00598">
        <w:rPr>
          <w:lang w:val="en-US"/>
        </w:rPr>
        <w:t>3</w:t>
      </w:r>
      <w:r w:rsidRPr="001A455C">
        <w:rPr>
          <w:lang w:val="en-US"/>
        </w:rPr>
        <w:t>) and are described in detail below.</w:t>
      </w:r>
    </w:p>
    <w:p w14:paraId="0EE58BCF" w14:textId="1C84D36A" w:rsidR="001A455C" w:rsidRPr="001A455C" w:rsidRDefault="001A455C" w:rsidP="001A455C">
      <w:pPr>
        <w:spacing w:line="360" w:lineRule="auto"/>
        <w:rPr>
          <w:lang w:val="en-US"/>
        </w:rPr>
      </w:pPr>
      <w:r w:rsidRPr="001A455C">
        <w:rPr>
          <w:lang w:val="en-US"/>
        </w:rPr>
        <w:t xml:space="preserve">Table </w:t>
      </w:r>
      <w:r w:rsidR="00D00598">
        <w:rPr>
          <w:lang w:val="en-US"/>
        </w:rPr>
        <w:t>3</w:t>
      </w:r>
      <w:r w:rsidRPr="001A455C">
        <w:rPr>
          <w:lang w:val="en-US"/>
        </w:rPr>
        <w:t xml:space="preserve">. Summary of </w:t>
      </w:r>
      <w:r w:rsidR="00D00598">
        <w:rPr>
          <w:lang w:val="en-US"/>
        </w:rPr>
        <w:t xml:space="preserve">all </w:t>
      </w:r>
      <w:r w:rsidRPr="001A455C">
        <w:rPr>
          <w:lang w:val="en-US"/>
        </w:rPr>
        <w:t>vegetation measurements</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1A455C">
            <w:pPr>
              <w:spacing w:line="360" w:lineRule="auto"/>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1A455C">
            <w:pPr>
              <w:spacing w:line="360" w:lineRule="auto"/>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1A455C">
            <w:pPr>
              <w:spacing w:line="360" w:lineRule="auto"/>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1A455C">
            <w:pPr>
              <w:spacing w:line="360" w:lineRule="auto"/>
              <w:rPr>
                <w:lang w:val="en-US"/>
              </w:rPr>
            </w:pPr>
            <w:r w:rsidRPr="001A455C">
              <w:rPr>
                <w:lang w:val="en-US"/>
              </w:rPr>
              <w:t>Soil</w:t>
            </w:r>
          </w:p>
          <w:p w14:paraId="257F7571" w14:textId="77777777" w:rsidR="001A455C" w:rsidRPr="001A455C" w:rsidRDefault="001A455C" w:rsidP="001A455C">
            <w:pPr>
              <w:spacing w:line="360" w:lineRule="auto"/>
              <w:rPr>
                <w:lang w:val="en-US"/>
              </w:rPr>
            </w:pPr>
            <w:r w:rsidRPr="001A455C">
              <w:rPr>
                <w:lang w:val="en-US"/>
              </w:rPr>
              <w:t>Species (AVESA*, CAPBP, CIRAR, EPHEX, HORVW, LOLPE, MATIN, PAPRH, RAPSR, TAROF, TRFRE)</w:t>
            </w:r>
          </w:p>
          <w:p w14:paraId="25C93F7A" w14:textId="77777777" w:rsidR="001A455C" w:rsidRPr="001A455C" w:rsidRDefault="001A455C" w:rsidP="001A455C">
            <w:pPr>
              <w:spacing w:line="360" w:lineRule="auto"/>
              <w:rPr>
                <w:lang w:val="en-US"/>
              </w:rPr>
            </w:pPr>
            <w:r w:rsidRPr="001A455C">
              <w:rPr>
                <w:lang w:val="en-US"/>
              </w:rPr>
              <w:t>Genus (GERSS,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1A455C">
            <w:pPr>
              <w:spacing w:line="360" w:lineRule="auto"/>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1A455C">
            <w:pPr>
              <w:spacing w:line="360" w:lineRule="auto"/>
              <w:rPr>
                <w:lang w:val="en-US"/>
              </w:rPr>
            </w:pPr>
            <w:r w:rsidRPr="001A455C">
              <w:rPr>
                <w:lang w:val="en-US"/>
              </w:rPr>
              <w:t>Cover crop</w:t>
            </w:r>
          </w:p>
          <w:p w14:paraId="25D184B6" w14:textId="77777777" w:rsidR="001A455C" w:rsidRPr="001A455C" w:rsidRDefault="001A455C" w:rsidP="001A455C">
            <w:pPr>
              <w:spacing w:line="360" w:lineRule="auto"/>
              <w:rPr>
                <w:lang w:val="en-US"/>
              </w:rPr>
            </w:pPr>
            <w:r w:rsidRPr="001A455C">
              <w:rPr>
                <w:lang w:val="en-US"/>
              </w:rPr>
              <w:t>Other (all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536CB832" w:rsidR="001A455C" w:rsidRPr="001A455C" w:rsidRDefault="001A455C" w:rsidP="001A455C">
            <w:pPr>
              <w:spacing w:line="360" w:lineRule="auto"/>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1A455C">
            <w:pPr>
              <w:spacing w:line="360" w:lineRule="auto"/>
              <w:rPr>
                <w:lang w:val="en-US"/>
              </w:rPr>
            </w:pPr>
            <w:r w:rsidRPr="001A455C">
              <w:rPr>
                <w:lang w:val="en-US"/>
              </w:rPr>
              <w:t>CIRAR</w:t>
            </w:r>
          </w:p>
          <w:p w14:paraId="5F0A320A" w14:textId="77777777" w:rsidR="001A455C" w:rsidRPr="001A455C" w:rsidRDefault="001A455C" w:rsidP="001A455C">
            <w:pPr>
              <w:spacing w:line="360" w:lineRule="auto"/>
              <w:rPr>
                <w:lang w:val="en-US"/>
              </w:rPr>
            </w:pPr>
            <w:r w:rsidRPr="001A455C">
              <w:rPr>
                <w:lang w:val="en-US"/>
              </w:rPr>
              <w:t>EQUAR</w:t>
            </w:r>
          </w:p>
          <w:p w14:paraId="252E8220" w14:textId="77777777" w:rsidR="001A455C" w:rsidRPr="001A455C" w:rsidRDefault="001A455C" w:rsidP="001A455C">
            <w:pPr>
              <w:spacing w:line="360" w:lineRule="auto"/>
              <w:rPr>
                <w:lang w:val="en-US"/>
              </w:rPr>
            </w:pPr>
            <w:r w:rsidRPr="001A455C">
              <w:rPr>
                <w:lang w:val="en-US"/>
              </w:rPr>
              <w:t>Dicot</w:t>
            </w:r>
          </w:p>
          <w:p w14:paraId="0442CCF6" w14:textId="77777777" w:rsidR="001A455C" w:rsidRPr="001A455C" w:rsidRDefault="001A455C" w:rsidP="001A455C">
            <w:pPr>
              <w:spacing w:line="360" w:lineRule="auto"/>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1A455C">
            <w:pPr>
              <w:spacing w:line="360" w:lineRule="auto"/>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0CE32EE2" w:rsidR="001A455C" w:rsidRPr="001A455C" w:rsidRDefault="001A455C" w:rsidP="001A455C">
      <w:pPr>
        <w:spacing w:line="360" w:lineRule="auto"/>
        <w:rPr>
          <w:lang w:val="en-US"/>
        </w:rPr>
      </w:pPr>
      <w:r w:rsidRPr="001A455C">
        <w:rPr>
          <w:lang w:val="en-US"/>
        </w:rPr>
        <w:t>Ground cover composition was estimated from digital images taken in the fall (9 November 2018 and 1 November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r w:rsidRPr="001A455C">
        <w:rPr>
          <w:lang w:val="en-US"/>
        </w:rPr>
        <w:t>. Briefly, a 0.5 m</w:t>
      </w:r>
      <w:r w:rsidRPr="001A455C">
        <w:rPr>
          <w:vertAlign w:val="superscript"/>
          <w:lang w:val="en-US"/>
        </w:rPr>
        <w:t>2</w:t>
      </w:r>
      <w:r w:rsidRPr="001A455C">
        <w:rPr>
          <w:lang w:val="en-US"/>
        </w:rPr>
        <w:t> quadrat was placed in the plot, and an image was taken from a height of 1 m above the center of the quadrat. Three images were taken in each plot, meaning 10% of the sub-subplot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Each intersection was classified as a soil or plant. Plant intersections were further classified to the species (12) or genus (4) level (Table 2).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 ‘volunteer’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2BC1974B" w:rsidR="001A455C" w:rsidRPr="001A455C" w:rsidRDefault="001A455C" w:rsidP="001A455C">
      <w:pPr>
        <w:spacing w:line="360" w:lineRule="auto"/>
        <w:rPr>
          <w:lang w:val="en-US"/>
        </w:rPr>
      </w:pPr>
      <w:r w:rsidRPr="001A455C">
        <w:rPr>
          <w:lang w:val="en-US"/>
        </w:rPr>
        <w:t xml:space="preserve">The amount of aboveground vegetative biomass in each treatment was measured shortly after image collection for fall ground cover measurements (15 November 2018 and 13 November 2019, respectively). Two 0.5 m2 quadrats were randomly placed in each plot, and all </w:t>
      </w:r>
      <w:r w:rsidRPr="001A455C">
        <w:rPr>
          <w:lang w:val="en-US"/>
        </w:rPr>
        <w:lastRenderedPageBreak/>
        <w:t xml:space="preserve">aboveground biomass was cut at ground level and removed. The biomass samples from the two quadrats were separated into three fractions: cover crops, </w:t>
      </w:r>
      <w:r w:rsidR="006B4AC3">
        <w:rPr>
          <w:lang w:val="en-US"/>
        </w:rPr>
        <w:t>volunteers, and other</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t>statistics (Table 2).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43525EFB" w:rsidR="001A455C" w:rsidRDefault="001A455C" w:rsidP="001A455C">
      <w:pPr>
        <w:spacing w:line="360" w:lineRule="auto"/>
        <w:rPr>
          <w:lang w:val="en-US"/>
        </w:rPr>
      </w:pPr>
      <w:r w:rsidRPr="001A455C">
        <w:rPr>
          <w:lang w:val="en-US"/>
        </w:rPr>
        <w:t>The flora emerging in spring in the experimental plots was assessed on 22 May 2019 and 27 May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B926BF3" w14:textId="6465813D" w:rsidR="00D00598" w:rsidRDefault="00BC2028" w:rsidP="00045088">
      <w:pPr>
        <w:spacing w:line="360" w:lineRule="auto"/>
      </w:pPr>
      <w:r w:rsidRPr="00BC2028">
        <w:t xml:space="preserve">Potential ecological value was estimated using a methodology </w:t>
      </w:r>
      <w:r w:rsidR="00FD249C">
        <w:t xml:space="preserve">and database </w:t>
      </w:r>
      <w:r w:rsidRPr="00BC2028">
        <w:t xml:space="preserve">from Yvoz et al. 2021, including both pollinator value (the fall vegetation </w:t>
      </w:r>
      <w:r w:rsidR="002A55FC">
        <w:t>in the present study produced flowers</w:t>
      </w:r>
      <w:r w:rsidR="00D00598">
        <w:t>, see photos in supplemental material</w:t>
      </w:r>
      <w:r w:rsidRPr="00BC2028">
        <w:t>) and ecological food web support</w:t>
      </w:r>
      <w:r>
        <w:t xml:space="preserve"> i</w:t>
      </w:r>
      <w:r w:rsidR="002A55FC">
        <w:t xml:space="preserve">ncluding but not limited to </w:t>
      </w:r>
      <w:r>
        <w:t>natural enemies</w:t>
      </w:r>
      <w:r w:rsidRPr="00BC2028">
        <w:t xml:space="preserve"> (</w:t>
      </w:r>
      <w:r>
        <w:t>in the form of green plant and</w:t>
      </w:r>
      <w:r w:rsidR="00D00598">
        <w:t>/or</w:t>
      </w:r>
      <w:r>
        <w:t xml:space="preserve"> seed</w:t>
      </w:r>
      <w:r w:rsidRPr="00BC2028">
        <w:t xml:space="preserve">). Details on this calculation are presented in supplementary material but </w:t>
      </w:r>
      <w:r w:rsidR="002A55FC">
        <w:t>are</w:t>
      </w:r>
      <w:r w:rsidRPr="00BC2028">
        <w:t xml:space="preserve"> described here briefly. The first component, potential benefits to pollinators, was comprised of three sub-indices representing (1a) the absolute benefit to bees (</w:t>
      </w:r>
      <w:r w:rsidRPr="00D00598">
        <w:rPr>
          <w:highlight w:val="yellow"/>
        </w:rPr>
        <w:t>LATIN</w:t>
      </w:r>
      <w:r w:rsidRPr="00BC2028">
        <w:t>), (1b) bumble bees (</w:t>
      </w:r>
      <w:r w:rsidRPr="00D00598">
        <w:rPr>
          <w:highlight w:val="yellow"/>
        </w:rPr>
        <w:t>LATIN</w:t>
      </w:r>
      <w:r w:rsidRPr="00BC2028">
        <w:t>), and (1c) hoverflies (</w:t>
      </w:r>
      <w:r w:rsidRPr="00D00598">
        <w:rPr>
          <w:highlight w:val="yellow"/>
        </w:rPr>
        <w:t>LATIN</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Yvoz et al. 2021 for 155 plant species were used to assign sub-index values. Out of the 11 species in our study, six had exact matches in </w:t>
      </w:r>
      <w:r>
        <w:t>the Yvoz et al.</w:t>
      </w:r>
      <w:r w:rsidRPr="00BC2028">
        <w:t xml:space="preserve"> database. For the other species and genus (Table </w:t>
      </w:r>
      <w:r w:rsidR="00D00598">
        <w:t>3</w:t>
      </w:r>
      <w:r w:rsidRPr="00BC2028">
        <w:t xml:space="preserve">), the mean value for all species within that genus reported in the database were used. </w:t>
      </w:r>
      <w:r w:rsidR="002A55FC" w:rsidRPr="00BC2028">
        <w:t>The volunteer crops (barley, oats) did not have values in the database</w:t>
      </w:r>
      <w:r w:rsidR="00D208C5">
        <w:t>. Cereals are planted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2A55FC">
        <w:t xml:space="preserve">ecological </w:t>
      </w:r>
      <w:r w:rsidR="002A55FC" w:rsidRPr="00BC2028">
        <w:t>values of 0</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 xml:space="preserve">For </w:t>
      </w:r>
      <w:r w:rsidR="006E6121">
        <w:lastRenderedPageBreak/>
        <w:t>comparison, w</w:t>
      </w:r>
      <w:r w:rsidR="00D208C5">
        <w:t>inter</w:t>
      </w:r>
      <w:r w:rsidR="006E6121">
        <w:t xml:space="preserve"> rapeseed (</w:t>
      </w:r>
      <w:r w:rsidR="006E6121" w:rsidRPr="006E6121">
        <w:rPr>
          <w:i/>
          <w:iCs/>
        </w:rPr>
        <w:t>Brassica napus subsp. Napus</w:t>
      </w:r>
      <w:r w:rsidR="006E6121" w:rsidRPr="006E6121">
        <w:t>)</w:t>
      </w:r>
      <w:r w:rsidR="006E6121">
        <w:t xml:space="preserve"> is planted on approximately 0.2M hectares (7% of agricultural land), so the fodder radish cover crop was </w:t>
      </w:r>
      <w:r w:rsidR="00D00598">
        <w:t>assumed to contribute to additional ecological value on the landscape</w:t>
      </w:r>
      <w:r w:rsidR="006E6121">
        <w:t xml:space="preserve">. </w:t>
      </w:r>
      <w:r w:rsidR="00D00598">
        <w:t>The sensitivity of results to this assumption was tested by excluding the value of fodder radish in the calculations.</w:t>
      </w:r>
    </w:p>
    <w:p w14:paraId="00BF3892" w14:textId="5CACDF11"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w:t>
      </w:r>
      <w:r w:rsidR="00C817D7">
        <w:t>ex</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204786">
        <w:t>services (</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77777777"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(described above)</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39A3A94E" w:rsidR="00C817D7" w:rsidRPr="0048135E" w:rsidRDefault="00C817D7" w:rsidP="00C817D7">
      <w:pPr>
        <w:numPr>
          <w:ilvl w:val="0"/>
          <w:numId w:val="2"/>
        </w:numPr>
        <w:spacing w:line="360" w:lineRule="auto"/>
        <w:rPr>
          <w:lang w:val="en-US"/>
        </w:rPr>
      </w:pPr>
      <w:r>
        <w:rPr>
          <w:lang w:val="en-US"/>
        </w:rPr>
        <w:t xml:space="preserve">Potential pesticide toxicity loads (human health, ecosystems, environment – PLI) </w:t>
      </w:r>
    </w:p>
    <w:p w14:paraId="1F56F2EE" w14:textId="3EE687C5" w:rsidR="004639D1" w:rsidRDefault="00700ACD" w:rsidP="00700ACD">
      <w:pPr>
        <w:spacing w:line="360" w:lineRule="auto"/>
      </w:pPr>
      <w:r>
        <w:t>To summarise the performance 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mean values for each cropping system were </w:t>
      </w:r>
      <w:r w:rsidR="00E11F92">
        <w:t>extracted from statistical models</w:t>
      </w:r>
      <w:r w:rsidR="00B27B76">
        <w:t xml:space="preserve"> in the performance metric’s original units. </w:t>
      </w:r>
      <w:r w:rsidR="004639D1">
        <w:t>In all metrics, a value of zero had a physical interpretation, so we scaled the performances by dividing by the maximum performance value observed. This retained a meaningful zero interpretation and avoided exaggeration of small differences in absolute performances. The result was normalized values for all performances on a scale from 0 to 1.</w:t>
      </w:r>
    </w:p>
    <w:p w14:paraId="534375A9" w14:textId="7A656815" w:rsidR="00700ACD" w:rsidRPr="00700ACD" w:rsidRDefault="00B27B76" w:rsidP="00700ACD">
      <w:pPr>
        <w:spacing w:line="360" w:lineRule="auto"/>
      </w:pPr>
      <w:r>
        <w:t xml:space="preserve">In all </w:t>
      </w:r>
      <w:r w:rsidR="00E11F92">
        <w:t>metrics</w:t>
      </w:r>
      <w:r>
        <w:t xml:space="preserve">, a </w:t>
      </w:r>
      <w:r w:rsidR="00E11F92">
        <w:t xml:space="preserve">value of </w:t>
      </w:r>
      <w:r>
        <w:t>zero ha</w:t>
      </w:r>
      <w:r w:rsidR="00E11F92">
        <w:t>d</w:t>
      </w:r>
      <w:r>
        <w:t xml:space="preserve"> a physical interpretation, so we scaled the performances by dividing by the maximum performance value</w:t>
      </w:r>
      <w:r w:rsidR="00E11F92">
        <w:t xml:space="preserve"> observed</w:t>
      </w:r>
      <w:r>
        <w:t xml:space="preserve">, thus retaining a meaningful zero interpretation and avoiding exaggeration of small differences in absolute performances – this </w:t>
      </w:r>
      <w:r>
        <w:lastRenderedPageBreak/>
        <w:t>scaled all performance</w:t>
      </w:r>
      <w:r w:rsidR="00E11F92">
        <w:t xml:space="preserve">s in each metric to </w:t>
      </w:r>
      <w:r>
        <w:t xml:space="preserve">a scale from 0 to 1. When performance metrics represented a situation wherein a higher value is less desirable (e.g., perennial weed counts),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6DC19339"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and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6A1E1922" w:rsidR="00CC097D" w:rsidRPr="00CC097D" w:rsidRDefault="004A247E" w:rsidP="00CC097D">
            <w:pPr>
              <w:spacing w:line="360" w:lineRule="auto"/>
              <w:rPr>
                <w:lang w:val="da-DK"/>
              </w:rPr>
            </w:pPr>
            <w:r w:rsidRPr="004A247E">
              <w:rPr>
                <w:noProof/>
                <w:lang w:val="da-DK"/>
              </w:rPr>
              <w:lastRenderedPageBreak/>
              <w:drawing>
                <wp:inline distT="0" distB="0" distL="0" distR="0" wp14:anchorId="178FF765" wp14:editId="45EC66D0">
                  <wp:extent cx="5731510" cy="4457700"/>
                  <wp:effectExtent l="0" t="0" r="2540" b="0"/>
                  <wp:docPr id="470902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0257A760" w:rsidR="00F07C2C" w:rsidRPr="00F07C2C" w:rsidRDefault="00F07C2C" w:rsidP="00CF32A9">
            <w:pPr>
              <w:rPr>
                <w:i/>
                <w:iCs/>
              </w:rPr>
            </w:pPr>
            <w:r w:rsidRPr="007D24BE">
              <w:rPr>
                <w:i/>
                <w:iCs/>
              </w:rPr>
              <w:t>Figure 1</w:t>
            </w:r>
            <w:r w:rsidR="00953C94">
              <w:rPr>
                <w:i/>
                <w:iCs/>
              </w:rPr>
              <w:t xml:space="preserve">. (Top) </w:t>
            </w:r>
            <w:r w:rsidR="00A75203">
              <w:rPr>
                <w:i/>
                <w:iCs/>
              </w:rPr>
              <w:t>Weather summaries comparing study years to 30-year averages</w:t>
            </w:r>
            <w:r w:rsidR="004639D1">
              <w:rPr>
                <w:i/>
                <w:iCs/>
              </w:rPr>
              <w:t xml:space="preserve"> [long-term (LT) means]</w:t>
            </w:r>
            <w:r w:rsidR="00A75203">
              <w:rPr>
                <w:i/>
                <w:iCs/>
              </w:rPr>
              <w:t xml:space="preserve">. (Bottom) Study yields were comparable to mean yields observed in Denmark for each year (horizontal dashed lines) and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planted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2AC2E2C8" w:rsidR="00953C94" w:rsidRPr="00A75203" w:rsidRDefault="00953C94" w:rsidP="00A75203">
      <w:pPr>
        <w:spacing w:line="360" w:lineRule="auto"/>
      </w:pPr>
      <w:r w:rsidRPr="00A75203">
        <w:t>Yields varied significantly by crop (p&lt;0.001) and by cover crop treatment (p&lt;0.001), but did not vary significantly by any other factors or their interactions. In 2018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1A41697B" w:rsidR="00F07C2C" w:rsidRDefault="00A75203" w:rsidP="00045088">
      <w:pPr>
        <w:spacing w:line="360" w:lineRule="auto"/>
      </w:pPr>
      <w:r>
        <w:t xml:space="preserve">The full statistical model </w:t>
      </w:r>
      <w:r w:rsidR="005070A2">
        <w:t xml:space="preserve">predicting fall biomass </w:t>
      </w:r>
      <w:r>
        <w:t>showed complex interactions</w:t>
      </w:r>
      <w:r w:rsidR="008D2724">
        <w:t xml:space="preserve">, but year </w:t>
      </w:r>
      <w:r w:rsidR="005642B7">
        <w:t xml:space="preserve">explained the largest magnitude of variation </w:t>
      </w:r>
      <w:r w:rsidR="008D2724">
        <w:t xml:space="preserve">(p&lt;0.001). </w:t>
      </w:r>
      <w:r w:rsidR="003E7CBF" w:rsidRPr="003E7CBF">
        <w:t xml:space="preserve">In 2018, average fall biomass </w:t>
      </w:r>
      <w:r w:rsidR="003E7CBF" w:rsidRPr="003E7CBF">
        <w:lastRenderedPageBreak/>
        <w:t>production was 2.27 Mg ha</w:t>
      </w:r>
      <w:r w:rsidR="003E7CBF" w:rsidRPr="006F4E10">
        <w:rPr>
          <w:vertAlign w:val="superscript"/>
        </w:rPr>
        <w:t>-1</w:t>
      </w:r>
      <w:r w:rsidR="003E7CBF">
        <w:t>, while in 2019 the average fall biomass production was less than half</w:t>
      </w:r>
      <w:r w:rsidR="005642B7">
        <w:t xml:space="preserve"> of the 2018 value</w:t>
      </w:r>
      <w:r w:rsidR="003E7CBF">
        <w:t xml:space="preserve"> (0.99 Mg ha</w:t>
      </w:r>
      <w:r w:rsidR="003E7CBF" w:rsidRPr="006F4E10">
        <w:rPr>
          <w:vertAlign w:val="superscript"/>
        </w:rPr>
        <w:t>-1</w:t>
      </w:r>
      <w:r w:rsidR="004346DF">
        <w:t>; Figure 2</w:t>
      </w:r>
      <w:r w:rsidR="003E7CBF">
        <w:t xml:space="preserve">). </w:t>
      </w:r>
      <w:r w:rsidR="000347C5">
        <w:t>Residue treatment had a small but significant (p&lt;0.001) main effect without significant interactions, with residue removal reducing fall biomass by 0.2 Mg ha</w:t>
      </w:r>
      <w:r w:rsidR="000347C5" w:rsidRPr="006F4E10">
        <w:rPr>
          <w:vertAlign w:val="superscript"/>
        </w:rPr>
        <w:t>-1</w:t>
      </w:r>
      <w:r w:rsidR="000347C5">
        <w:t xml:space="preserve">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increasing tillage intensity significantly decreased fall biomass by 27% and 9% when moving from no-till to surface tillage, and surface to inversion respectively. </w:t>
      </w:r>
      <w:r w:rsidR="00DC0149">
        <w:t xml:space="preserve">Tillage effects on biomass were strongest in the RadM and RadL </w:t>
      </w:r>
      <w:r w:rsidR="00DC0149" w:rsidRPr="008D2724">
        <w:t>(p=0.048)</w:t>
      </w:r>
      <w:r w:rsidR="00DC0149">
        <w:t xml:space="preserve"> compared to other treatments, and this pattern was consistent across years. </w:t>
      </w:r>
      <w:r w:rsidR="002314A6">
        <w:t>Growing degree days accumulated from cover crop planting to biomass sampling were not related to fall biomass values</w:t>
      </w:r>
      <w:r w:rsidR="004346DF">
        <w:t xml:space="preserve"> (Figure 2)</w:t>
      </w:r>
      <w:r w:rsidR="002314A6">
        <w:t>.</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A5114B0" w14:textId="06E8559F" w:rsidR="001D3CD3" w:rsidRPr="001D3CD3" w:rsidRDefault="00A52678" w:rsidP="001D3CD3">
            <w:pPr>
              <w:spacing w:line="360" w:lineRule="auto"/>
              <w:rPr>
                <w:lang w:val="da-DK"/>
              </w:rPr>
            </w:pPr>
            <w:r w:rsidRPr="00A52678">
              <w:rPr>
                <w:noProof/>
                <w:lang w:val="da-DK"/>
              </w:rPr>
              <w:drawing>
                <wp:inline distT="0" distB="0" distL="0" distR="0" wp14:anchorId="6139E5E2" wp14:editId="64A5D2DA">
                  <wp:extent cx="5731510" cy="4011930"/>
                  <wp:effectExtent l="0" t="0" r="2540" b="7620"/>
                  <wp:docPr id="208411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5A786248" w:rsidR="00F07C2C" w:rsidRPr="00F07C2C" w:rsidRDefault="00F07C2C" w:rsidP="00AF5044">
            <w:pPr>
              <w:rPr>
                <w:i/>
                <w:iCs/>
              </w:rPr>
            </w:pPr>
            <w:r w:rsidRPr="00F07C2C">
              <w:rPr>
                <w:i/>
                <w:iCs/>
              </w:rPr>
              <w:t>Figure 2</w:t>
            </w:r>
            <w:r w:rsidR="00950EEA">
              <w:rPr>
                <w:i/>
                <w:iCs/>
              </w:rPr>
              <w:t xml:space="preserve"> (Top) Fall biomass was not related to growing degree days (GDDs, italic number in red</w:t>
            </w:r>
            <w:r w:rsidR="00AF5044">
              <w:rPr>
                <w:i/>
                <w:iCs/>
              </w:rPr>
              <w:t>) and exhibited complex treatment interactions (</w:t>
            </w:r>
            <w:r w:rsidR="004346DF">
              <w:rPr>
                <w:i/>
                <w:iCs/>
              </w:rPr>
              <w:t>different</w:t>
            </w:r>
            <w:r w:rsidR="00050CDF">
              <w:rPr>
                <w:i/>
                <w:iCs/>
              </w:rPr>
              <w:t xml:space="preserve"> </w:t>
            </w:r>
            <w:r w:rsidR="00AF5044">
              <w:rPr>
                <w:i/>
                <w:iCs/>
              </w:rPr>
              <w:t>letters within a year indicate significant differences)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56C0BF29" w14:textId="22B9ACAC" w:rsidR="005C0BB4" w:rsidRPr="005C0BB4" w:rsidRDefault="002314A6" w:rsidP="005C0BB4">
      <w:pPr>
        <w:spacing w:line="360" w:lineRule="auto"/>
        <w:rPr>
          <w:lang w:val="en-US"/>
        </w:rPr>
      </w:pPr>
      <w:r>
        <w:lastRenderedPageBreak/>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xml:space="preserve">% (SE:2%) soil </w:t>
      </w:r>
      <w:r w:rsidR="00DC0149">
        <w:t xml:space="preserve">coverage </w:t>
      </w:r>
      <w:r w:rsidR="008B07A4">
        <w:t xml:space="preserve">in 2018 and </w:t>
      </w:r>
      <w:r w:rsidR="006774E5">
        <w:t>7</w:t>
      </w:r>
      <w:r w:rsidR="008B07A4">
        <w:t>0% (SE:3%) in 2019</w:t>
      </w:r>
      <w:r w:rsidR="004346DF">
        <w:t xml:space="preserve"> (Figure 2)</w:t>
      </w:r>
      <w:r>
        <w:t xml:space="preserve">. </w:t>
      </w:r>
      <w:r w:rsidR="00AF348D">
        <w:t xml:space="preserve">Overall, </w:t>
      </w:r>
      <w:r w:rsidR="006774E5">
        <w:t>soil coverage by cover crop</w:t>
      </w:r>
      <w:r w:rsidR="00A3505F">
        <w:t>s</w:t>
      </w:r>
      <w:r w:rsidR="006774E5">
        <w:t xml:space="preserve"> averaged </w:t>
      </w:r>
      <w:r w:rsidR="00AF348D">
        <w:t xml:space="preserve">15%, </w:t>
      </w:r>
      <w:r w:rsidR="00763F20">
        <w:t xml:space="preserve">but this varied significantly by cover crop treatment (p&lt;0.001). </w:t>
      </w:r>
      <w:r w:rsidR="00EA5B2A">
        <w:t xml:space="preserve">Tillage, residue, nor their interactions had significant impacts on </w:t>
      </w:r>
      <w:r w:rsidR="00406592">
        <w:t>how</w:t>
      </w:r>
      <w:r w:rsidR="00EA5B2A">
        <w:t xml:space="preserve"> </w:t>
      </w:r>
      <w:r w:rsidR="00406592">
        <w:t xml:space="preserve">the </w:t>
      </w:r>
      <w:r w:rsidR="00EA5B2A">
        <w:t>categories</w:t>
      </w:r>
      <w:r w:rsidR="00406592">
        <w:t xml:space="preserve"> (cover crop, other) contributed to coverage</w:t>
      </w:r>
      <w:r w:rsidR="00EA5B2A">
        <w:t xml:space="preserve">. The impact of cover crop treatment on </w:t>
      </w:r>
      <w:r w:rsidR="00CF32A9">
        <w:t xml:space="preserve">cover crop </w:t>
      </w:r>
      <w:r w:rsidR="00EA5B2A">
        <w:t xml:space="preserve">coverage depended on the year, an effect driven by MixE: in 2018 the </w:t>
      </w:r>
      <w:r w:rsidR="00A3505F">
        <w:t xml:space="preserve">MixE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average of 58% (SE:6%</w:t>
      </w:r>
      <w:r w:rsidR="004346DF">
        <w:t>; Figure 2</w:t>
      </w:r>
      <w:r w:rsidR="00AF348D">
        <w:t xml:space="preserve">).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with RadM having the highest cover crop coverage (50%, SE:4%), followed by RadL (25%, SE:4%), MixM (7%, SE:3%) and NoCC (&lt;1%, SE:3%)</w:t>
      </w:r>
      <w:r w:rsidR="00AF348D">
        <w:t>.</w:t>
      </w:r>
      <w:r w:rsidR="00F87470">
        <w:t xml:space="preserve"> Cover crop coverage and volunteer/weed coverage was inversely correlated (</w:t>
      </w:r>
      <w:r w:rsidR="009A7EA2">
        <w:t>ρ</w:t>
      </w:r>
      <w:r w:rsidR="00276F65">
        <w:t xml:space="preserve"> = -0.88</w:t>
      </w:r>
      <w:r w:rsidR="009A7EA2">
        <w:t>).</w:t>
      </w:r>
      <w:r w:rsidR="005C0BB4" w:rsidRPr="005C0BB4">
        <w:rPr>
          <w:lang w:val="en-US"/>
        </w:rPr>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575F52C0"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w:t>
      </w:r>
      <w:r w:rsidR="004346DF">
        <w:t xml:space="preserve"> (Figure 3)</w:t>
      </w:r>
      <w:r w:rsidR="00EA65A3">
        <w:t xml:space="preserve">.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(MixE and MixM) had communities distinct from the two radish treatments (RadM and RadL), with the NoCC communities being more similar to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lastRenderedPageBreak/>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5CD32A04" w:rsidR="0038548F" w:rsidRDefault="0038548F" w:rsidP="00045088">
            <w:pPr>
              <w:spacing w:line="360" w:lineRule="auto"/>
            </w:pPr>
            <w:r w:rsidRPr="00D86704">
              <w:rPr>
                <w:b/>
                <w:bCs/>
              </w:rPr>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89183E">
              <w:t>.</w:t>
            </w:r>
            <w:r w:rsidR="009133AC">
              <w:t xml:space="preserve"> </w:t>
            </w:r>
            <w:r w:rsidR="009133AC" w:rsidRPr="00D86704">
              <w:rPr>
                <w:i/>
                <w:iCs/>
              </w:rPr>
              <w:t>(Bottom)</w:t>
            </w:r>
            <w:r w:rsidR="009133AC">
              <w:t xml:space="preserve"> Radish cover crop systems (RadM, RadL) had the highest potential ecosystem value, with the mixes (MixE, MixM) and NoCC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39D262DF" w:rsidR="00CA273C" w:rsidRDefault="00B83835" w:rsidP="00045088">
      <w:pPr>
        <w:spacing w:line="360" w:lineRule="auto"/>
      </w:pPr>
      <w:r>
        <w:t xml:space="preserve">Year and cover crop treatment had significant impacts on the number of species observed in a community (p&lt;0.001). </w:t>
      </w:r>
      <w:r w:rsidR="006D5A73">
        <w:t xml:space="preserve">The number of species observed ranged from one to eight, with a mode of two in 2018 and three in 2019. </w:t>
      </w:r>
      <w:r>
        <w:t>The MixE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RadL and RadM communities, respectively, but the number of species in all other cover crop treatment comparisons were </w:t>
      </w:r>
      <w:r w:rsidR="006804BA">
        <w:lastRenderedPageBreak/>
        <w:t xml:space="preserve">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the early-planted mix, followed by the mid-planted mix and no cover treatments; this pattern was true </w:t>
      </w:r>
      <w:r w:rsidR="00B20190">
        <w:t>regardless of tillage</w:t>
      </w:r>
      <w:r w:rsidR="00770D8A">
        <w:t xml:space="preserve"> system, straw management, and year</w:t>
      </w:r>
      <w:r w:rsidR="00B20190">
        <w:t xml:space="preserve"> (supporting information). </w:t>
      </w:r>
    </w:p>
    <w:p w14:paraId="7815ADC7" w14:textId="75CD1984"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RAPSR coverage </w:t>
      </w:r>
      <w:r w:rsidR="00C75709">
        <w:t>exhibiting</w:t>
      </w:r>
      <w:r w:rsidR="00602B25">
        <w:t xml:space="preserve">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w:t>
      </w:r>
      <w:r w:rsidR="0012446A">
        <w:t xml:space="preserve"> The value of the radish systems was driven by the RAPSR value – when this value was set to zero, those communities had very low ecological value (see supplemental material). </w:t>
      </w:r>
      <w:r w:rsidR="009133AC">
        <w:t xml:space="preserve">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4057C0AA"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residue (p&lt;0.001). Within the no-till system, MixE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w:t>
      </w:r>
      <w:r w:rsidR="0000618C">
        <w:t xml:space="preserve">On average there were twice as many weeds in 2019 (mean:163, SE:10) compared to 2020 (mean:76, SE:5).  </w:t>
      </w:r>
      <w:r w:rsidR="00206215">
        <w:t>On average, t</w:t>
      </w:r>
      <w:r w:rsidR="0086566B" w:rsidRPr="002A6EBF">
        <w:rPr>
          <w:highlight w:val="yellow"/>
        </w:rPr>
        <w:t>he total number of weeds was highest in the inversion tillage systems</w:t>
      </w:r>
      <w:r w:rsidR="00F668A9" w:rsidRPr="002A6EBF">
        <w:rPr>
          <w:highlight w:val="yellow"/>
        </w:rPr>
        <w:t xml:space="preserve"> (mean:</w:t>
      </w:r>
      <w:r w:rsidR="00206215">
        <w:rPr>
          <w:highlight w:val="yellow"/>
        </w:rPr>
        <w:t xml:space="preserve">174 </w:t>
      </w:r>
      <w:r w:rsidR="00F668A9" w:rsidRPr="002A6EBF">
        <w:rPr>
          <w:highlight w:val="yellow"/>
        </w:rPr>
        <w:t>plants m</w:t>
      </w:r>
      <w:r w:rsidR="00F668A9" w:rsidRPr="002A6EBF">
        <w:rPr>
          <w:highlight w:val="yellow"/>
          <w:vertAlign w:val="superscript"/>
        </w:rPr>
        <w:t>-2</w:t>
      </w:r>
      <w:r w:rsidR="00F668A9" w:rsidRPr="002A6EBF">
        <w:rPr>
          <w:highlight w:val="yellow"/>
        </w:rPr>
        <w:t>, SE:</w:t>
      </w:r>
      <w:r w:rsidR="00206215">
        <w:rPr>
          <w:highlight w:val="yellow"/>
        </w:rPr>
        <w:t>14</w:t>
      </w:r>
      <w:r w:rsidR="00F668A9" w:rsidRPr="002A6EBF">
        <w:rPr>
          <w:highlight w:val="yellow"/>
        </w:rPr>
        <w:t>)</w:t>
      </w:r>
      <w:r w:rsidR="0086566B" w:rsidRPr="002A6EBF">
        <w:rPr>
          <w:highlight w:val="yellow"/>
        </w:rPr>
        <w:t>, followed by surface tillage systems</w:t>
      </w:r>
      <w:r w:rsidR="00F668A9" w:rsidRPr="002A6EBF">
        <w:rPr>
          <w:highlight w:val="yellow"/>
        </w:rPr>
        <w:t xml:space="preserve"> (mean:</w:t>
      </w:r>
      <w:r w:rsidR="00206215">
        <w:rPr>
          <w:highlight w:val="yellow"/>
        </w:rPr>
        <w:t>109</w:t>
      </w:r>
      <w:r w:rsidR="00F668A9" w:rsidRPr="002A6EBF">
        <w:rPr>
          <w:highlight w:val="yellow"/>
        </w:rPr>
        <w:t xml:space="preserve"> plants m</w:t>
      </w:r>
      <w:r w:rsidR="00F668A9" w:rsidRPr="002A6EBF">
        <w:rPr>
          <w:highlight w:val="yellow"/>
          <w:vertAlign w:val="superscript"/>
        </w:rPr>
        <w:t>-2</w:t>
      </w:r>
      <w:r w:rsidR="00F668A9" w:rsidRPr="002A6EBF">
        <w:rPr>
          <w:highlight w:val="yellow"/>
        </w:rPr>
        <w:t>, SE:</w:t>
      </w:r>
      <w:r w:rsidR="00206215">
        <w:rPr>
          <w:highlight w:val="yellow"/>
        </w:rPr>
        <w:t>9</w:t>
      </w:r>
      <w:r w:rsidR="00F668A9" w:rsidRPr="002A6EBF">
        <w:rPr>
          <w:highlight w:val="yellow"/>
        </w:rPr>
        <w:t>)</w:t>
      </w:r>
      <w:r w:rsidR="0086566B" w:rsidRPr="002A6EBF">
        <w:rPr>
          <w:highlight w:val="yellow"/>
        </w:rPr>
        <w:t>, with the no-till systems having the smallest number of total weeds</w:t>
      </w:r>
      <w:r w:rsidR="00F668A9" w:rsidRPr="002A6EBF">
        <w:rPr>
          <w:highlight w:val="yellow"/>
        </w:rPr>
        <w:t xml:space="preserve"> (mean:</w:t>
      </w:r>
      <w:r w:rsidR="00206215">
        <w:rPr>
          <w:highlight w:val="yellow"/>
        </w:rPr>
        <w:t>55</w:t>
      </w:r>
      <w:r w:rsidR="00F668A9" w:rsidRPr="002A6EBF">
        <w:rPr>
          <w:highlight w:val="yellow"/>
        </w:rPr>
        <w:t xml:space="preserve"> plants m</w:t>
      </w:r>
      <w:r w:rsidR="00F668A9" w:rsidRPr="002A6EBF">
        <w:rPr>
          <w:highlight w:val="yellow"/>
          <w:vertAlign w:val="superscript"/>
        </w:rPr>
        <w:t>-2</w:t>
      </w:r>
      <w:r w:rsidR="00F668A9" w:rsidRPr="002A6EBF">
        <w:rPr>
          <w:highlight w:val="yellow"/>
        </w:rPr>
        <w:t>, SE:</w:t>
      </w:r>
      <w:r w:rsidR="00206215">
        <w:rPr>
          <w:highlight w:val="yellow"/>
        </w:rPr>
        <w:t>5</w:t>
      </w:r>
      <w:r w:rsidR="0000618C">
        <w:rPr>
          <w:highlight w:val="yellow"/>
        </w:rPr>
        <w:t xml:space="preserve">; </w:t>
      </w:r>
      <w:r w:rsidR="0000618C" w:rsidRPr="0000618C">
        <w:rPr>
          <w:b/>
          <w:bCs/>
          <w:highlight w:val="yellow"/>
        </w:rPr>
        <w:t>Figure 4</w:t>
      </w:r>
      <w:r w:rsidR="00F668A9" w:rsidRPr="002A6EBF">
        <w:rPr>
          <w:highlight w:val="yellow"/>
        </w:rPr>
        <w:t>)</w:t>
      </w:r>
      <w:r w:rsidR="0000618C">
        <w:t xml:space="preserve">. This </w:t>
      </w:r>
      <w:r w:rsidR="00030C38">
        <w:t>pattern</w:t>
      </w:r>
      <w:r w:rsidR="0086566B">
        <w:t xml:space="preserve"> w</w:t>
      </w:r>
      <w:r w:rsidR="00030C38">
        <w:t>as</w:t>
      </w:r>
      <w:r w:rsidR="0086566B">
        <w:t xml:space="preserve"> </w:t>
      </w:r>
      <w:r w:rsidR="0000618C">
        <w:t xml:space="preserve">consistent in both years, but was </w:t>
      </w:r>
      <w:r w:rsidR="0086566B">
        <w:t xml:space="preserve">magnified in 2019 </w:t>
      </w:r>
      <w:r w:rsidR="0000618C">
        <w:t>(when there were more weeds)</w:t>
      </w:r>
      <w:r w:rsidR="0086566B">
        <w:t xml:space="preserve">. </w:t>
      </w:r>
      <w:r w:rsidR="00FE32A7">
        <w:t>The largest observed differences in total spring weed counts were in the no-till system, with MixE having 1.5-1.7 times more weeds compared to the other cover crop treatments.</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2C35802D" w14:textId="0E2FEE95" w:rsidR="005E12EA" w:rsidRPr="005E12EA" w:rsidRDefault="00F960D0" w:rsidP="00030F1C">
            <w:pPr>
              <w:spacing w:line="360" w:lineRule="auto"/>
              <w:rPr>
                <w:lang w:val="da-DK"/>
              </w:rPr>
            </w:pPr>
            <w:r>
              <w:rPr>
                <w:noProof/>
                <w:lang w:val="da-DK"/>
              </w:rPr>
              <w:lastRenderedPageBreak/>
              <w:drawing>
                <wp:inline distT="0" distB="0" distL="0" distR="0" wp14:anchorId="5FE08851" wp14:editId="7C021613">
                  <wp:extent cx="5731510" cy="6550025"/>
                  <wp:effectExtent l="0" t="0" r="2540" b="3175"/>
                  <wp:docPr id="111800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05148" name="Picture 11180051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550025"/>
                          </a:xfrm>
                          <a:prstGeom prst="rect">
                            <a:avLst/>
                          </a:prstGeom>
                        </pic:spPr>
                      </pic:pic>
                    </a:graphicData>
                  </a:graphic>
                </wp:inline>
              </w:drawing>
            </w:r>
          </w:p>
        </w:tc>
      </w:tr>
      <w:tr w:rsidR="005E12EA" w14:paraId="77868ADE" w14:textId="77777777" w:rsidTr="0054576C">
        <w:tc>
          <w:tcPr>
            <w:tcW w:w="9026" w:type="dxa"/>
          </w:tcPr>
          <w:p w14:paraId="0E6944F1" w14:textId="3AD7987F"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F960D0">
              <w:t xml:space="preserve">There were no differences in total or perennial weed counts within the inversion tillage treatment (Inv), but in </w:t>
            </w:r>
            <w:r w:rsidR="00C70707">
              <w:t>the no-till and surface</w:t>
            </w:r>
            <w:r w:rsidR="00F960D0">
              <w:t xml:space="preserve"> (Surf)</w:t>
            </w:r>
            <w:r w:rsidR="00C70707">
              <w:t xml:space="preserve"> tillage systems </w:t>
            </w:r>
            <w:r w:rsidR="00F960D0">
              <w:t>t</w:t>
            </w:r>
            <w:r w:rsidR="00F960D0">
              <w:t xml:space="preserve">he early-planted mix </w:t>
            </w:r>
            <w:r w:rsidR="00C70707">
              <w:t>had significantly higher perennial weed counts</w:t>
            </w:r>
            <w:r w:rsidR="00F960D0">
              <w:t>,</w:t>
            </w:r>
            <w:r w:rsidR="00C70707">
              <w:t xml:space="preserve"> reflecting its different herbicide program</w:t>
            </w:r>
            <w:r w:rsidR="00F960D0">
              <w:t xml:space="preserve"> compared to other cover crop systems</w:t>
            </w:r>
            <w:r w:rsidR="00C70707">
              <w:t xml:space="preserve"> (Table 2)</w:t>
            </w:r>
            <w:r w:rsidR="00623603">
              <w:t>.</w:t>
            </w:r>
          </w:p>
        </w:tc>
      </w:tr>
    </w:tbl>
    <w:p w14:paraId="0FE38C89" w14:textId="77777777" w:rsidR="0054576C" w:rsidRDefault="0054576C" w:rsidP="0054576C">
      <w:pPr>
        <w:spacing w:line="360" w:lineRule="auto"/>
      </w:pPr>
    </w:p>
    <w:p w14:paraId="12FFB7EF" w14:textId="269E8867" w:rsidR="0000618C" w:rsidRDefault="0000618C" w:rsidP="0054576C">
      <w:pPr>
        <w:spacing w:line="360" w:lineRule="auto"/>
      </w:pPr>
      <w:r>
        <w:t xml:space="preserve">Despite having less total weeds, both no-till and surface tillage had significantly increased numbers of perennial weeds compared to inversion tillage. The perennial weeds were mainly CIRAR (82%, versus 18% EQUAR). Averaged over no-till and surface tillage treatments, the </w:t>
      </w:r>
      <w:r>
        <w:lastRenderedPageBreak/>
        <w:t xml:space="preserve">number of perennial weeds in the MixE was 11 times higher (SE:6; p&lt;0.001) compared to the the NoCC treatment, and 2.6-8.6 times higher than the other cover crop treatments; these effects were erased in the inversion tillage treatment. The MixM had a borderline significant increase in perennial weeds compared to the NoCC </w:t>
      </w:r>
      <w:r w:rsidR="00C20C1A">
        <w:t xml:space="preserve">in the no-till system </w:t>
      </w:r>
      <w:r>
        <w:t>(p=0.05), but all other treatments were not significantly different from the NoCC. The</w:t>
      </w:r>
      <w:r w:rsidR="00C20C1A">
        <w:t xml:space="preserve">re was an inverse relationship between </w:t>
      </w:r>
      <w:r>
        <w:t xml:space="preserve">faba bean yields </w:t>
      </w:r>
      <w:r w:rsidR="00C20C1A">
        <w:t xml:space="preserve">and perennial </w:t>
      </w:r>
      <w:r>
        <w:t xml:space="preserve">weeds, with more perennial weeds corresponding to lower faba bean yields </w:t>
      </w:r>
      <w:r w:rsidR="00C20C1A">
        <w:t xml:space="preserve">(see </w:t>
      </w:r>
      <w:r w:rsidR="00C20C1A">
        <w:t>supporting information</w:t>
      </w:r>
      <w:r w:rsidR="00C20C1A">
        <w:t>)</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6E97D04C"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no-till and surface tillage. </w:t>
      </w:r>
      <w:r w:rsidR="00765D21">
        <w:t>In all systems</w:t>
      </w:r>
      <w:r>
        <w:t xml:space="preserve"> and years</w:t>
      </w:r>
      <w:r w:rsidR="00765D21">
        <w:t>, pesticide loads were lowest in the MixE treatments</w:t>
      </w:r>
      <w:r w:rsidR="00C70707">
        <w:t xml:space="preserve"> compared to the other cover crop treatments (</w:t>
      </w:r>
      <w:r w:rsidR="00737D7A">
        <w:t>supporting information</w:t>
      </w:r>
      <w:r w:rsidR="00765D21">
        <w:t xml:space="preserve">). </w:t>
      </w:r>
    </w:p>
    <w:p w14:paraId="28CC9E30" w14:textId="29B33CCF" w:rsidR="007348E9" w:rsidRPr="007348E9" w:rsidRDefault="007348E9" w:rsidP="0054576C">
      <w:pPr>
        <w:spacing w:line="360" w:lineRule="auto"/>
        <w:rPr>
          <w:b/>
          <w:bCs/>
          <w:i/>
          <w:iCs/>
        </w:rPr>
      </w:pPr>
      <w:r w:rsidRPr="007348E9">
        <w:rPr>
          <w:b/>
          <w:bCs/>
          <w:i/>
          <w:iCs/>
        </w:rPr>
        <w:t>3.4 Multi-criteria summary</w:t>
      </w:r>
    </w:p>
    <w:p w14:paraId="7B060C0D" w14:textId="2BAF1EFC" w:rsidR="007348E9" w:rsidRDefault="00A80E50" w:rsidP="0054576C">
      <w:pPr>
        <w:spacing w:line="360" w:lineRule="auto"/>
      </w:pPr>
      <w:r>
        <w:t>The system with the highest overall value (assuming equal weighting for all metrics) was the mid-season planted radish (RadM) implemented in a no-till system with retained residue (</w:t>
      </w:r>
      <w:r w:rsidRPr="00A80E50">
        <w:rPr>
          <w:b/>
          <w:bCs/>
        </w:rPr>
        <w:t>Figure 5</w:t>
      </w:r>
      <w:r>
        <w:t>), while the system with the lowest overall value was the mid-season planted mixture (MixM) implemented in a no-till system with residue removal. Across tillage and residue management systems, the RadM was the best performing cover crop treatment, and the MixM the worst.</w:t>
      </w:r>
      <w:r w:rsidR="00F61077">
        <w:t xml:space="preserve"> The early-planted mixture (MixE) performed well in the inversion tillage system, but poorly in the other tillage systems. The impact of residue management on the total value was marginal in the inversion tillage system, but residue retention in the </w:t>
      </w:r>
      <w:r w:rsidR="00F508EF">
        <w:t xml:space="preserve">surface and no-till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3512D6F3" w14:textId="0B4C8BFE" w:rsidR="005A4CB9" w:rsidRPr="005A4CB9" w:rsidRDefault="005A4CB9" w:rsidP="005A4CB9">
            <w:pPr>
              <w:spacing w:line="360" w:lineRule="auto"/>
              <w:rPr>
                <w:lang w:val="da-DK"/>
              </w:rPr>
            </w:pPr>
            <w:r w:rsidRPr="005A4CB9">
              <w:rPr>
                <w:noProof/>
                <w:lang w:val="da-DK"/>
              </w:rPr>
              <w:lastRenderedPageBreak/>
              <w:drawing>
                <wp:inline distT="0" distB="0" distL="0" distR="0" wp14:anchorId="3BF159E7" wp14:editId="7F659034">
                  <wp:extent cx="5588000" cy="5588000"/>
                  <wp:effectExtent l="0" t="0" r="0" b="0"/>
                  <wp:docPr id="1220575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8837" cy="5588837"/>
                          </a:xfrm>
                          <a:prstGeom prst="rect">
                            <a:avLst/>
                          </a:prstGeom>
                          <a:noFill/>
                          <a:ln>
                            <a:noFill/>
                          </a:ln>
                        </pic:spPr>
                      </pic:pic>
                    </a:graphicData>
                  </a:graphic>
                </wp:inline>
              </w:drawing>
            </w:r>
          </w:p>
          <w:p w14:paraId="6939112F" w14:textId="27535B20" w:rsidR="00F34EA9" w:rsidRPr="00F34EA9" w:rsidRDefault="00F34EA9" w:rsidP="00F34EA9">
            <w:pPr>
              <w:spacing w:line="360" w:lineRule="auto"/>
              <w:rPr>
                <w:lang w:val="da-DK"/>
              </w:rPr>
            </w:pPr>
          </w:p>
          <w:p w14:paraId="7D227F4E" w14:textId="7424A6A3" w:rsidR="007348E9" w:rsidRPr="007348E9" w:rsidRDefault="007348E9" w:rsidP="0054576C">
            <w:pPr>
              <w:spacing w:line="360" w:lineRule="auto"/>
              <w:rPr>
                <w:lang w:val="da-DK"/>
              </w:rPr>
            </w:pPr>
          </w:p>
        </w:tc>
      </w:tr>
      <w:tr w:rsidR="007348E9" w14:paraId="5FB38B66" w14:textId="77777777" w:rsidTr="007348E9">
        <w:tc>
          <w:tcPr>
            <w:tcW w:w="9016" w:type="dxa"/>
          </w:tcPr>
          <w:p w14:paraId="130FC98B" w14:textId="5DAE5A23"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small grain residue management systems.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22B783BA" w:rsidR="005E150B" w:rsidRDefault="000347C5" w:rsidP="00045088">
      <w:pPr>
        <w:spacing w:line="360" w:lineRule="auto"/>
      </w:pPr>
      <w:r w:rsidRPr="00A75203">
        <w:lastRenderedPageBreak/>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averages</w:t>
      </w:r>
      <w:r w:rsidR="00737D7A">
        <w:t xml:space="preserve">, demonstrating </w:t>
      </w:r>
      <w:r w:rsidR="00C20C1A">
        <w:t>the study</w:t>
      </w:r>
      <w:r w:rsidR="00737D7A">
        <w:t xml:space="preserve"> results are 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2B7D00A7" w14:textId="1BF4D1F3" w:rsidR="0053182E" w:rsidRPr="00A52678" w:rsidRDefault="00737D7A" w:rsidP="00045088">
      <w:pPr>
        <w:spacing w:line="360" w:lineRule="auto"/>
        <w:rPr>
          <w:b/>
          <w:bCs/>
          <w:i/>
          <w:iCs/>
        </w:rPr>
      </w:pPr>
      <w:r w:rsidRPr="00A52678">
        <w:rPr>
          <w:b/>
          <w:bCs/>
          <w:i/>
          <w:iCs/>
        </w:rPr>
        <w:t xml:space="preserve"> </w:t>
      </w:r>
      <w:r w:rsidR="005E150B" w:rsidRPr="00A52678">
        <w:rPr>
          <w:b/>
          <w:bCs/>
          <w:i/>
          <w:iCs/>
        </w:rPr>
        <w:t>4.2 Interactions between management practices</w:t>
      </w:r>
    </w:p>
    <w:p w14:paraId="1989F081" w14:textId="7E196853" w:rsidR="00E33D15" w:rsidRDefault="00E33D15" w:rsidP="00E33D15">
      <w:pPr>
        <w:spacing w:line="360" w:lineRule="auto"/>
      </w:pPr>
      <w:r>
        <w:t xml:space="preserve">Our results suggest radish cover crops, especially when planted mid-season, are a robust cover cropping system that performed well </w:t>
      </w:r>
      <w:r w:rsidR="00A52678">
        <w:t xml:space="preserve">in the majority of performance metrics </w:t>
      </w:r>
      <w:r>
        <w:t xml:space="preserve">across tillage systems, straw managements, and weather years in </w:t>
      </w:r>
      <w:r w:rsidR="0098059C">
        <w:t>a</w:t>
      </w:r>
      <w:r>
        <w:t xml:space="preserve"> </w:t>
      </w:r>
      <w:r w:rsidR="00A52678">
        <w:t>temperate oceanic</w:t>
      </w:r>
      <w:r>
        <w:t xml:space="preserve"> climate</w:t>
      </w:r>
      <w:r w:rsidR="0098059C">
        <w:t xml:space="preserve"> </w:t>
      </w:r>
      <w:r w:rsidR="0098059C">
        <w:fldChar w:fldCharType="begin"/>
      </w:r>
      <w:r w:rsidR="0098059C">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98059C">
        <w:fldChar w:fldCharType="separate"/>
      </w:r>
      <w:r w:rsidR="0098059C" w:rsidRPr="0098059C">
        <w:t>(Peel et al., 2007)</w:t>
      </w:r>
      <w:r w:rsidR="0098059C">
        <w:fldChar w:fldCharType="end"/>
      </w:r>
      <w:r>
        <w:t>. Other temperate areas in Europe have likewise found radish cover crop systems perform well in a variety of contexts</w:t>
      </w:r>
      <w:r w:rsidR="006B785A">
        <w:t xml:space="preserve"> </w:t>
      </w:r>
      <w:r w:rsidR="001479F9">
        <w:fldChar w:fldCharType="begin"/>
      </w:r>
      <w:r w:rsidR="001479F9">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rsidR="001479F9">
        <w:fldChar w:fldCharType="separate"/>
      </w:r>
      <w:r w:rsidR="001479F9" w:rsidRPr="001479F9">
        <w:t>(Elhakeem et al., 2023; Leskovšek et al., 2025)</w:t>
      </w:r>
      <w:r w:rsidR="001479F9">
        <w:fldChar w:fldCharType="end"/>
      </w:r>
      <w:r w:rsidR="006B785A">
        <w:t>. In Northern latitudes where available heat units reduce quickly following August cash crop harvests, species that establish and grow quickly such as radish likely provide more reliable performance</w:t>
      </w:r>
      <w:r w:rsidR="00F508EF">
        <w:t xml:space="preserve"> compared to slower growing grass and clover species, which may only perform well under certain conditions </w:t>
      </w:r>
      <w:r w:rsidR="00F508EF" w:rsidRPr="006F4E10">
        <w:rPr>
          <w:highlight w:val="yellow"/>
        </w:rPr>
        <w:t>(CITE)</w:t>
      </w:r>
      <w:r w:rsidR="006B785A">
        <w:t xml:space="preserve">. </w:t>
      </w:r>
      <w:r>
        <w:t xml:space="preserve">     </w:t>
      </w:r>
    </w:p>
    <w:p w14:paraId="746931A3" w14:textId="0C800DF0" w:rsidR="002E4D53" w:rsidRDefault="00260E18" w:rsidP="00045088">
      <w:pPr>
        <w:spacing w:line="360" w:lineRule="auto"/>
      </w:pPr>
      <w:r>
        <w:t>While year had a strong impact on all outcomes</w:t>
      </w:r>
      <w:r w:rsidR="00E33D15">
        <w:t xml:space="preserve"> in this study</w:t>
      </w:r>
      <w:r>
        <w:t xml:space="preserve">, it interacted with management practices by amplifying or dampening effects, rather than inducing cross-over </w:t>
      </w:r>
      <w:r w:rsidR="002E4D53">
        <w:t xml:space="preserve">interactions. A notable exception is performance of the early-planted cover crop mixture – in one year the resulting fall biomass contained very little contribution from the planted cover crop, while in another year it contributed over half of the total </w:t>
      </w:r>
      <w:r w:rsidR="00BD0B68">
        <w:t xml:space="preserve">fall </w:t>
      </w:r>
      <w:r w:rsidR="002E4D53">
        <w:t xml:space="preserve">biomass (Figure 2). However, in both cases the absolute amount of </w:t>
      </w:r>
      <w:r w:rsidR="00BD0B68">
        <w:t xml:space="preserve">cover crop </w:t>
      </w:r>
      <w:r w:rsidR="002E4D53">
        <w:t xml:space="preserve">biomass produced was still low. </w:t>
      </w:r>
    </w:p>
    <w:p w14:paraId="09AB2D1F" w14:textId="45214639" w:rsidR="00E33D15" w:rsidRDefault="00BD0B68" w:rsidP="00045088">
      <w:pPr>
        <w:spacing w:line="360" w:lineRule="auto"/>
      </w:pPr>
      <w:r>
        <w:t>The tillage system also amplified differences between cover crop treatments,</w:t>
      </w:r>
      <w:r w:rsidR="00E33D15">
        <w:t xml:space="preserve"> but in general did not change cover crop systems’ biomass and cover</w:t>
      </w:r>
      <w:r w:rsidR="00F508EF">
        <w:t>age</w:t>
      </w:r>
      <w:r w:rsidR="00E33D15">
        <w:t xml:space="preserve"> rankings</w:t>
      </w:r>
      <w:r w:rsidR="00F508EF">
        <w:t>,</w:t>
      </w:r>
      <w:r w:rsidR="00E33D15">
        <w:t xml:space="preserve"> and had </w:t>
      </w:r>
      <w:r w:rsidR="00F508EF">
        <w:t xml:space="preserve">only minor </w:t>
      </w:r>
      <w:r w:rsidR="00E33D15">
        <w:t>impacts on fall communities compared to the cover crop treatment.</w:t>
      </w:r>
    </w:p>
    <w:p w14:paraId="6FEFBC32" w14:textId="03A5C25D" w:rsidR="00260E18" w:rsidRDefault="00260E18" w:rsidP="00045088">
      <w:pPr>
        <w:spacing w:line="360" w:lineRule="auto"/>
      </w:pPr>
      <w:r>
        <w:t>Of the management practices investigated, s</w:t>
      </w:r>
      <w:r w:rsidR="005E150B">
        <w:t xml:space="preserve">traw </w:t>
      </w:r>
      <w:r>
        <w:t>management (</w:t>
      </w:r>
      <w:r w:rsidR="005E150B">
        <w:t>retention</w:t>
      </w:r>
      <w:r>
        <w:t xml:space="preserve"> or </w:t>
      </w:r>
      <w:r w:rsidR="005E150B">
        <w:t>removal</w:t>
      </w:r>
      <w:r>
        <w:t>)</w:t>
      </w:r>
      <w:r w:rsidR="005E150B">
        <w:t xml:space="preserve"> had </w:t>
      </w:r>
      <w:r>
        <w:t xml:space="preserve">the weakest </w:t>
      </w:r>
      <w:r w:rsidR="005E150B">
        <w:t xml:space="preserve">impacts on the </w:t>
      </w:r>
      <w:r>
        <w:t>outcomes</w:t>
      </w:r>
      <w:r w:rsidR="005E150B">
        <w:t xml:space="preserve"> evaluated in this study. This could be due to the incomplete removal of straw using a two-pass system wherein the </w:t>
      </w:r>
      <w:r>
        <w:t>straw is removed after grain has been harvested, resulting in around 60% of the straw being removed (CITE). A layer of straw mulch is therefore present in both systems,</w:t>
      </w:r>
      <w:r w:rsidR="009A203A">
        <w:t xml:space="preserve"> and </w:t>
      </w:r>
      <w:r w:rsidR="00A82D15">
        <w:t>the impact of the layer thickness may only manifest under certain environmental conditions</w:t>
      </w:r>
      <w:r>
        <w:t xml:space="preserve">. </w:t>
      </w:r>
    </w:p>
    <w:p w14:paraId="722498FE" w14:textId="148EA147" w:rsidR="00737D7A" w:rsidRPr="00602609" w:rsidRDefault="005E150B" w:rsidP="00045088">
      <w:pPr>
        <w:spacing w:line="360" w:lineRule="auto"/>
        <w:rPr>
          <w:lang w:val="da-DK"/>
        </w:rPr>
      </w:pPr>
      <w:r>
        <w:t>In our study the cover crop mixtures performed poorly in the majority of performance metrics employed.</w:t>
      </w:r>
      <w:r w:rsidR="006F15B8">
        <w:t xml:space="preserve"> </w:t>
      </w:r>
      <w:r w:rsidR="00DD04CB">
        <w:t>T</w:t>
      </w:r>
      <w:r w:rsidR="006F15B8">
        <w:t>he presence of the cover crop mixture</w:t>
      </w:r>
      <w:r w:rsidR="00DD04CB">
        <w:t xml:space="preserve"> early in the season prevented the use of </w:t>
      </w:r>
      <w:r w:rsidR="00DD04CB">
        <w:lastRenderedPageBreak/>
        <w:t>herbicides effective against Canadian thistle, and in reduced tillage systems this allowed the agronomically harmful perennial weed to establish, which impacted grain yields. The mixtures</w:t>
      </w:r>
      <w:r w:rsidR="00AE3AE5">
        <w:t>’ performance was not resilient against weather variation, and varied strongly between management systems.</w:t>
      </w:r>
      <w:r w:rsidR="00DD04CB">
        <w:t xml:space="preserve"> </w:t>
      </w:r>
      <w:r w:rsidR="00A82D15">
        <w:t xml:space="preserve">This adds to </w:t>
      </w:r>
      <w:r w:rsidR="00737D7A">
        <w:t xml:space="preserve">a growing body of research suggesting the use of cover crop mixes must be carefully </w:t>
      </w:r>
      <w:r>
        <w:t xml:space="preserve">and thoughtfully </w:t>
      </w:r>
      <w:r w:rsidR="00737D7A">
        <w:t>implemented</w:t>
      </w:r>
      <w:r>
        <w:t>, and the goals for the use of the mixes must be clearly articulated</w:t>
      </w:r>
      <w:r w:rsidR="00A82D15">
        <w:t xml:space="preserve">, as desirable outcomes are not guaranteed through diversity alone </w:t>
      </w:r>
      <w:r w:rsidR="00A82D15">
        <w:fldChar w:fldCharType="begin"/>
      </w:r>
      <w:r w:rsidR="00A142CB">
        <w:instrText xml:space="preserve"> ADDIN ZOTERO_ITEM CSL_CITATION {"citationID":"CwHy9nyI","properties":{"formattedCitation":"(Florence &amp; McGuire, 2020; MacLaren et al., 2019; McKenzie-Gopsill et al., 2022; Smith et al., 2020)","plainCitation":"(Florence &amp; McGuire, 2020; MacLaren et al., 2019; McKenzie-Gopsill et al., 2022;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A142CB" w:rsidRPr="00A142CB">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A82D15">
        <w:fldChar w:fldCharType="separate"/>
      </w:r>
      <w:r w:rsidR="00A142CB" w:rsidRPr="00A142CB">
        <w:rPr>
          <w:lang w:val="da-DK"/>
        </w:rPr>
        <w:t>(Florence &amp; McGuire, 2020; MacLaren et al., 2019; McKenzie-Gopsill et al., 2022; Smith et al., 2020)</w:t>
      </w:r>
      <w:r w:rsidR="00A82D15">
        <w:fldChar w:fldCharType="end"/>
      </w:r>
      <w:r w:rsidRPr="00602609">
        <w:rPr>
          <w:lang w:val="da-DK"/>
        </w:rPr>
        <w:t xml:space="preserve">.  </w:t>
      </w:r>
      <w:r w:rsidR="00737D7A" w:rsidRPr="00602609">
        <w:rPr>
          <w:lang w:val="da-DK"/>
        </w:rPr>
        <w:t xml:space="preserve"> </w:t>
      </w:r>
    </w:p>
    <w:p w14:paraId="055086BC" w14:textId="77777777" w:rsidR="000347C5" w:rsidRPr="00602609" w:rsidRDefault="000347C5" w:rsidP="00045088">
      <w:pPr>
        <w:spacing w:line="360" w:lineRule="auto"/>
        <w:rPr>
          <w:lang w:val="da-DK"/>
        </w:rPr>
      </w:pP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2EA51ED1"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t xml:space="preserve"> (CITE). Our results show that in addition to supporting higher biomass production that effectively competes with other vegetation </w:t>
      </w:r>
      <w:r>
        <w:fldChar w:fldCharType="begin"/>
      </w:r>
      <w:r>
        <w:instrText xml:space="preserve"> ADDIN ZOTERO_ITEM CSL_CITATION {"citationID":"TsnxnQay","properties":{"formattedCitation":"(Lawley et al., 2012)","plainCitation":"(Lawley et al., 2012)","noteIndex":0},"citationItems":[{"id":2223,"uris":["http://zotero.org/users/3599437/items/YBXMEIRX"],"itemData":{"id":2223,"type":"article-journal","abstract":"Little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Pr="00CA273C">
        <w:t>(Lawley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the communities were less even than the radish treatments; the contributions of species to soil cover was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truly evaluate this hypothesis. Additionally, the potential for radish cover crops to provide winter bridges for disease and insect pest propagation requires consideration. </w:t>
      </w:r>
    </w:p>
    <w:p w14:paraId="6B271877" w14:textId="5B26E50D" w:rsidR="000347C5" w:rsidRDefault="00AE3AE5" w:rsidP="00045088">
      <w:pPr>
        <w:spacing w:line="360" w:lineRule="auto"/>
        <w:rPr>
          <w:b/>
          <w:bCs/>
        </w:rPr>
      </w:pPr>
      <w:r w:rsidRPr="009A203A">
        <w:rPr>
          <w:b/>
          <w:bCs/>
        </w:rPr>
        <w:t>4.</w:t>
      </w:r>
      <w:r>
        <w:rPr>
          <w:b/>
          <w:bCs/>
        </w:rPr>
        <w:t>4</w:t>
      </w:r>
      <w:r w:rsidRPr="009A203A">
        <w:rPr>
          <w:b/>
          <w:bCs/>
        </w:rPr>
        <w:t xml:space="preserve"> </w:t>
      </w:r>
      <w:r>
        <w:rPr>
          <w:b/>
          <w:bCs/>
        </w:rPr>
        <w:t>Multiple criteria optimization</w:t>
      </w:r>
    </w:p>
    <w:p w14:paraId="43CAEFBB" w14:textId="3430DB5D" w:rsidR="00AE3AE5" w:rsidRPr="00045088" w:rsidRDefault="00FA1677" w:rsidP="00045088">
      <w:pPr>
        <w:spacing w:line="360" w:lineRule="auto"/>
      </w:pPr>
      <w:r w:rsidRPr="006F4E10">
        <w:t>Through multicriteria analysis, we were able to highlight systems with good performance, while identifying areas for improvement</w:t>
      </w:r>
      <w:r w:rsidR="006F4E10" w:rsidRPr="006F4E10">
        <w:t xml:space="preserve">. </w:t>
      </w:r>
      <w:r w:rsidR="00AE3AE5" w:rsidRPr="006F4E10">
        <w:t xml:space="preserve">In this study we gave equal weight to each category </w:t>
      </w:r>
      <w:r w:rsidR="00AE3AE5" w:rsidRPr="006F4E10">
        <w:lastRenderedPageBreak/>
        <w:t>– in reality these weights would differ according to farmer values and priorities, as well as policy and financial contexts. Utilizing different weightings to represent these different contexts could help identify</w:t>
      </w:r>
      <w:r w:rsidRPr="006F4E10">
        <w:t xml:space="preserve"> systems best suited to certain farm ideotypes, </w:t>
      </w:r>
      <w:r w:rsidR="00AE3AE5" w:rsidRPr="006F4E10">
        <w:t xml:space="preserve"> </w:t>
      </w:r>
      <w:r w:rsidRPr="006F4E10">
        <w:t xml:space="preserve">or identify </w:t>
      </w:r>
      <w:r w:rsidR="00AE3AE5" w:rsidRPr="006F4E10">
        <w:t>policy levers to promote certain outcomes.</w:t>
      </w:r>
      <w:r w:rsidRPr="006F4E10">
        <w:t xml:space="preserve"> Datasets such as the one produced in the present study could also be combined to utilize machine learning techniques to design systems that optimize outcomes.  </w:t>
      </w:r>
      <w:r w:rsidR="00AE3AE5" w:rsidRPr="006F4E10">
        <w:t xml:space="preserve"> </w:t>
      </w:r>
      <w:r w:rsidR="00AE3AE5">
        <w:rPr>
          <w:b/>
          <w:bCs/>
        </w:rPr>
        <w:t xml:space="preserve"> </w:t>
      </w: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2224DE71" w:rsidR="00D00706" w:rsidRDefault="00494819" w:rsidP="00045088">
      <w:pPr>
        <w:spacing w:line="360" w:lineRule="auto"/>
      </w:pPr>
      <w:r>
        <w:t>Will write after getting everyone’s edits…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commentRangeStart w:id="6"/>
      <w:r w:rsidRPr="00045088">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commentRangeEnd w:id="6"/>
      <w:r w:rsidR="00602609" w:rsidRPr="00045088">
        <w:rPr>
          <w:rStyle w:val="CommentReference"/>
          <w:sz w:val="24"/>
          <w:szCs w:val="24"/>
        </w:rPr>
        <w:commentReference w:id="6"/>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3AA21B76" w14:textId="77777777" w:rsidR="00A142CB" w:rsidRDefault="00602609" w:rsidP="00A142CB">
      <w:pPr>
        <w:pStyle w:val="Bibliography"/>
      </w:pPr>
      <w:r>
        <w:rPr>
          <w:b/>
          <w:bCs/>
        </w:rPr>
        <w:fldChar w:fldCharType="begin"/>
      </w:r>
      <w:r w:rsidR="00D276E3">
        <w:rPr>
          <w:b/>
          <w:bCs/>
        </w:rPr>
        <w:instrText xml:space="preserve"> ADDIN ZOTERO_BIBL {"uncited":[],"omitted":[],"custom":[]} CSL_BIBLIOGRAPHY </w:instrText>
      </w:r>
      <w:r>
        <w:rPr>
          <w:b/>
          <w:bCs/>
        </w:rPr>
        <w:fldChar w:fldCharType="separate"/>
      </w:r>
      <w:r w:rsidR="00A142CB">
        <w:t xml:space="preserve">Adeux, G., Cordeau, S., Antichi, D., Carlesi, S., Mazzoncini, M., Munier-Jolain, N., &amp; Bàrberi, P. (2021). Cover crops promote crop productivity but do not enhance weed management in tillage-based cropping systems. </w:t>
      </w:r>
      <w:r w:rsidR="00A142CB">
        <w:rPr>
          <w:i/>
          <w:iCs/>
        </w:rPr>
        <w:t>European Journal of Agronomy</w:t>
      </w:r>
      <w:r w:rsidR="00A142CB">
        <w:t xml:space="preserve">, </w:t>
      </w:r>
      <w:r w:rsidR="00A142CB">
        <w:rPr>
          <w:i/>
          <w:iCs/>
        </w:rPr>
        <w:t>123</w:t>
      </w:r>
      <w:r w:rsidR="00A142CB">
        <w:t>, 126221. https://doi.org/10.1016/j.eja.2020.126221</w:t>
      </w:r>
    </w:p>
    <w:p w14:paraId="7804632B" w14:textId="77777777" w:rsidR="00A142CB" w:rsidRDefault="00A142CB" w:rsidP="00A142CB">
      <w:pPr>
        <w:pStyle w:val="Bibliography"/>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5B5D58A3" w14:textId="77777777" w:rsidR="00A142CB" w:rsidRDefault="00A142CB" w:rsidP="00A142CB">
      <w:pPr>
        <w:pStyle w:val="Bibliography"/>
      </w:pPr>
      <w:r>
        <w:lastRenderedPageBreak/>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271E5456" w14:textId="77777777" w:rsidR="00A142CB" w:rsidRDefault="00A142CB" w:rsidP="00A142CB">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51962907" w14:textId="77777777" w:rsidR="00A142CB" w:rsidRDefault="00A142CB" w:rsidP="00A142CB">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08B0DDD1" w14:textId="77777777" w:rsidR="00A142CB" w:rsidRDefault="00A142CB" w:rsidP="00A142CB">
      <w:pPr>
        <w:pStyle w:val="Bibliography"/>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043A6077" w14:textId="77777777" w:rsidR="00A142CB" w:rsidRDefault="00A142CB" w:rsidP="00A142CB">
      <w:pPr>
        <w:pStyle w:val="Bibliography"/>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4E9357EC" w14:textId="77777777" w:rsidR="00A142CB" w:rsidRDefault="00A142CB" w:rsidP="00A142CB">
      <w:pPr>
        <w:pStyle w:val="Bibliography"/>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05A0D666" w14:textId="77777777" w:rsidR="00A142CB" w:rsidRDefault="00A142CB" w:rsidP="00A142CB">
      <w:pPr>
        <w:pStyle w:val="Bibliography"/>
      </w:pPr>
      <w:r>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064DBC7B" w14:textId="77777777" w:rsidR="00A142CB" w:rsidRDefault="00A142CB" w:rsidP="00A142CB">
      <w:pPr>
        <w:pStyle w:val="Bibliography"/>
      </w:pPr>
      <w:r>
        <w:lastRenderedPageBreak/>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6F4481B7" w14:textId="77777777" w:rsidR="00A142CB" w:rsidRDefault="00A142CB" w:rsidP="00A142CB">
      <w:pPr>
        <w:pStyle w:val="Bibliography"/>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32312AD0" w14:textId="77777777" w:rsidR="00A142CB" w:rsidRPr="00A142CB" w:rsidRDefault="00A142CB" w:rsidP="00A142CB">
      <w:pPr>
        <w:pStyle w:val="Bibliography"/>
        <w:rPr>
          <w:lang w:val="da-DK"/>
        </w:rPr>
      </w:pPr>
      <w:r>
        <w:t xml:space="preserve">Cusser, S., Bahlai, C., Swinton, S. M., Robertson, G. P., &amp; Haddad, N. M. (2020). Long-term research avoids spurious and misleading trends in sustainability attributes of no-till. </w:t>
      </w:r>
      <w:r w:rsidRPr="00A142CB">
        <w:rPr>
          <w:i/>
          <w:iCs/>
          <w:lang w:val="da-DK"/>
        </w:rPr>
        <w:t>Global Change Biology</w:t>
      </w:r>
      <w:r w:rsidRPr="00A142CB">
        <w:rPr>
          <w:lang w:val="da-DK"/>
        </w:rPr>
        <w:t xml:space="preserve">, </w:t>
      </w:r>
      <w:r w:rsidRPr="00A142CB">
        <w:rPr>
          <w:i/>
          <w:iCs/>
          <w:lang w:val="da-DK"/>
        </w:rPr>
        <w:t>26</w:t>
      </w:r>
      <w:r w:rsidRPr="00A142CB">
        <w:rPr>
          <w:lang w:val="da-DK"/>
        </w:rPr>
        <w:t>(6), 3715–3725. https://doi.org/10.1111/gcb.15080</w:t>
      </w:r>
    </w:p>
    <w:p w14:paraId="2344459B" w14:textId="77777777" w:rsidR="00A142CB" w:rsidRDefault="00A142CB" w:rsidP="00A142CB">
      <w:pPr>
        <w:pStyle w:val="Bibliography"/>
      </w:pPr>
      <w:r w:rsidRPr="00A142CB">
        <w:rPr>
          <w:lang w:val="da-DK"/>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0D2F0F32" w14:textId="77777777" w:rsidR="00A142CB" w:rsidRDefault="00A142CB" w:rsidP="00A142CB">
      <w:pPr>
        <w:pStyle w:val="Bibliography"/>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6166BA5E" w14:textId="77777777" w:rsidR="00A142CB" w:rsidRDefault="00A142CB" w:rsidP="00A142CB">
      <w:pPr>
        <w:pStyle w:val="Bibliography"/>
      </w:pPr>
      <w:r>
        <w:t xml:space="preserve">Elhakeem, A., Porre, R. J., Hoffland, E., Van Dam, J. C., Drost, S. M., &amp; De Deyn, G. B. (2023). 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3D0893BF" w14:textId="77777777" w:rsidR="00A142CB" w:rsidRDefault="00A142CB" w:rsidP="00A142CB">
      <w:pPr>
        <w:pStyle w:val="Bibliography"/>
      </w:pPr>
      <w:r>
        <w:lastRenderedPageBreak/>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0D18D9EF" w14:textId="77777777" w:rsidR="00A142CB" w:rsidRDefault="00A142CB" w:rsidP="00A142CB">
      <w:pPr>
        <w:pStyle w:val="Bibliography"/>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0D6D6D9C" w14:textId="77777777" w:rsidR="00A142CB" w:rsidRDefault="00A142CB" w:rsidP="00A142CB">
      <w:pPr>
        <w:pStyle w:val="Bibliography"/>
      </w:pPr>
      <w:r>
        <w:t xml:space="preserve">FAO. (2023). </w:t>
      </w:r>
      <w:r>
        <w:rPr>
          <w:i/>
          <w:iCs/>
        </w:rPr>
        <w:t>Crop and Livestock Products</w:t>
      </w:r>
      <w:r>
        <w:t xml:space="preserve"> [Dataset]. Food and Agriculture Organization of the United Nations. https://www.fao.org/faostat/en/#data/QCL</w:t>
      </w:r>
    </w:p>
    <w:p w14:paraId="3A12AD99" w14:textId="77777777" w:rsidR="00A142CB" w:rsidRDefault="00A142CB" w:rsidP="00A142CB">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799A9BB3" w14:textId="77777777" w:rsidR="00A142CB" w:rsidRDefault="00A142CB" w:rsidP="00A142CB">
      <w:pPr>
        <w:pStyle w:val="Bibliography"/>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3B54090E" w14:textId="77777777" w:rsidR="00A142CB" w:rsidRDefault="00A142CB" w:rsidP="00A142CB">
      <w:pPr>
        <w:pStyle w:val="Bibliography"/>
      </w:pPr>
      <w:r>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21EC2EA3" w14:textId="77777777" w:rsidR="00A142CB" w:rsidRDefault="00A142CB" w:rsidP="00A142CB">
      <w:pPr>
        <w:pStyle w:val="Bibliography"/>
      </w:pPr>
      <w:r w:rsidRPr="00A142CB">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7CC5E0CD" w14:textId="77777777" w:rsidR="00A142CB" w:rsidRDefault="00A142CB" w:rsidP="00A142CB">
      <w:pPr>
        <w:pStyle w:val="Bibliography"/>
      </w:pPr>
      <w:r>
        <w:t xml:space="preserve">Henle, K., Alard, D., Clitherow, J., Cobb, P., Firbank, L., Kull, T., McCracken, D., Moritz, R. F. A., Niemelä, J., Rebane, M., Wascher, D., Watt, A., &amp; Young, J. (2008). </w:t>
      </w:r>
      <w:r>
        <w:lastRenderedPageBreak/>
        <w:t xml:space="preserve">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4E4E2483" w14:textId="77777777" w:rsidR="00A142CB" w:rsidRDefault="00A142CB" w:rsidP="00A142CB">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26DBA22A" w14:textId="77777777" w:rsidR="00A142CB" w:rsidRDefault="00A142CB" w:rsidP="00A142CB">
      <w:pPr>
        <w:pStyle w:val="Bibliography"/>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52E8E04D" w14:textId="77777777" w:rsidR="00A142CB" w:rsidRDefault="00A142CB" w:rsidP="00A142CB">
      <w:pPr>
        <w:pStyle w:val="Bibliography"/>
      </w:pPr>
      <w:r w:rsidRPr="00A142CB">
        <w:rPr>
          <w:lang w:val="da-DK"/>
        </w:rPr>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4AF1C8E8" w14:textId="77777777" w:rsidR="00A142CB" w:rsidRDefault="00A142CB" w:rsidP="00A142CB">
      <w:pPr>
        <w:pStyle w:val="Bibliography"/>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38B54B71" w14:textId="77777777" w:rsidR="00A142CB" w:rsidRDefault="00A142CB" w:rsidP="00A142CB">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1E1BFBC1" w14:textId="77777777" w:rsidR="00A142CB" w:rsidRDefault="00A142CB" w:rsidP="00A142CB">
      <w:pPr>
        <w:pStyle w:val="Bibliography"/>
      </w:pPr>
      <w:r>
        <w:t xml:space="preserve">Lenth, R. V. (2024). </w:t>
      </w:r>
      <w:r>
        <w:rPr>
          <w:i/>
          <w:iCs/>
        </w:rPr>
        <w:t>emmeans: Estimated Marginal Means, aka Least-Squares Means</w:t>
      </w:r>
      <w:r>
        <w:t>. https://CRAN.R-project.org/package=emmeans</w:t>
      </w:r>
    </w:p>
    <w:p w14:paraId="3295DC74" w14:textId="77777777" w:rsidR="00A142CB" w:rsidRDefault="00A142CB" w:rsidP="00A142CB">
      <w:pPr>
        <w:pStyle w:val="Bibliography"/>
      </w:pPr>
      <w:r w:rsidRPr="00A142CB">
        <w:rPr>
          <w:lang w:val="da-DK"/>
        </w:rPr>
        <w:lastRenderedPageBreak/>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3A37109A" w14:textId="77777777" w:rsidR="00A142CB" w:rsidRDefault="00A142CB" w:rsidP="00A142CB">
      <w:pPr>
        <w:pStyle w:val="Bibliography"/>
      </w:pPr>
      <w:r>
        <w:t xml:space="preserve">Lewis, K., Rainford, J., Tzilivakis, J., &amp; Garthwaite, D. (2021). Application of the Danish pesticide load indicator to arable agriculture in the United Kingdom. </w:t>
      </w:r>
      <w:r>
        <w:rPr>
          <w:i/>
          <w:iCs/>
        </w:rPr>
        <w:t>Journal of Environmental Quality</w:t>
      </w:r>
      <w:r>
        <w:t xml:space="preserve">, </w:t>
      </w:r>
      <w:r>
        <w:rPr>
          <w:i/>
          <w:iCs/>
        </w:rPr>
        <w:t>50</w:t>
      </w:r>
      <w:r>
        <w:t>(5), 1110–1122. https://doi.org/10.1002/jeq2.20262</w:t>
      </w:r>
    </w:p>
    <w:p w14:paraId="6D84C234" w14:textId="77777777" w:rsidR="00A142CB" w:rsidRDefault="00A142CB" w:rsidP="00A142CB">
      <w:pPr>
        <w:pStyle w:val="Bibliography"/>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191B3210" w14:textId="77777777" w:rsidR="00A142CB" w:rsidRDefault="00A142CB" w:rsidP="00A142CB">
      <w:pPr>
        <w:pStyle w:val="Bibliography"/>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435C5C50" w14:textId="77777777" w:rsidR="00A142CB" w:rsidRDefault="00A142CB" w:rsidP="00A142CB">
      <w:pPr>
        <w:pStyle w:val="Bibliography"/>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494E545C" w14:textId="77777777" w:rsidR="00A142CB" w:rsidRDefault="00A142CB" w:rsidP="00A142CB">
      <w:pPr>
        <w:pStyle w:val="Bibliography"/>
      </w:pPr>
      <w:r>
        <w:t xml:space="preserve">Melander, B., Holst, N., Jensen, P. K., Hansen, E. M., &amp; Olesen, J. E. (2008). Apera spica-venti population dynamics and impact on crop yield as affected by tillage, crop rotation, location and herbicide programmes. </w:t>
      </w:r>
      <w:r>
        <w:rPr>
          <w:i/>
          <w:iCs/>
        </w:rPr>
        <w:t>Weed Research</w:t>
      </w:r>
      <w:r>
        <w:t xml:space="preserve">, </w:t>
      </w:r>
      <w:r>
        <w:rPr>
          <w:i/>
          <w:iCs/>
        </w:rPr>
        <w:t>48</w:t>
      </w:r>
      <w:r>
        <w:t>(1), 48–57. https://doi.org/10.1111/j.1365-3180.2008.00597.x</w:t>
      </w:r>
    </w:p>
    <w:p w14:paraId="5D072B75" w14:textId="77777777" w:rsidR="00A142CB" w:rsidRDefault="00A142CB" w:rsidP="00A142CB">
      <w:pPr>
        <w:pStyle w:val="Bibliography"/>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771AFFC4" w14:textId="77777777" w:rsidR="00A142CB" w:rsidRDefault="00A142CB" w:rsidP="00A142CB">
      <w:pPr>
        <w:pStyle w:val="Bibliography"/>
      </w:pPr>
      <w:r>
        <w:t xml:space="preserve">Miranda-Vélez, J. F., Simpson, G. L., Hansen, E. M., &amp; Munkholm, L. J. (2026). In-season effects of winter cover crops and tillage on soil NO3- and N leaching – Analysis with </w:t>
      </w:r>
      <w:r>
        <w:lastRenderedPageBreak/>
        <w:t xml:space="preserve">generalized additive models. </w:t>
      </w:r>
      <w:r>
        <w:rPr>
          <w:i/>
          <w:iCs/>
        </w:rPr>
        <w:t>Agriculture, Ecosystems &amp; Environment</w:t>
      </w:r>
      <w:r>
        <w:t xml:space="preserve">, </w:t>
      </w:r>
      <w:r>
        <w:rPr>
          <w:i/>
          <w:iCs/>
        </w:rPr>
        <w:t>396</w:t>
      </w:r>
      <w:r>
        <w:t>, 110011. https://doi.org/10.1016/j.agee.2025.110011</w:t>
      </w:r>
    </w:p>
    <w:p w14:paraId="61D3015B" w14:textId="77777777" w:rsidR="00A142CB" w:rsidRDefault="00A142CB" w:rsidP="00A142CB">
      <w:pPr>
        <w:pStyle w:val="Bibliography"/>
      </w:pPr>
      <w:r>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76E7E356" w14:textId="77777777" w:rsidR="00A142CB" w:rsidRDefault="00A142CB" w:rsidP="00A142CB">
      <w:pPr>
        <w:pStyle w:val="Bibliography"/>
      </w:pPr>
      <w:r>
        <w:t xml:space="preserve">Moreau, D., Pointurier, O., Nicolardot, B., Villerd,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39094DEF" w14:textId="77777777" w:rsidR="00A142CB" w:rsidRDefault="00A142CB" w:rsidP="00A142CB">
      <w:pPr>
        <w:pStyle w:val="Bibliography"/>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34FF8EAF" w14:textId="77777777" w:rsidR="00A142CB" w:rsidRDefault="00A142CB" w:rsidP="00A142CB">
      <w:pPr>
        <w:pStyle w:val="Bibliography"/>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4B11A6A4" w14:textId="77777777" w:rsidR="00A142CB" w:rsidRDefault="00A142CB" w:rsidP="00A142CB">
      <w:pPr>
        <w:pStyle w:val="Bibliography"/>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7F32BDF6" w14:textId="77777777" w:rsidR="00A142CB" w:rsidRDefault="00A142CB" w:rsidP="00A142CB">
      <w:pPr>
        <w:pStyle w:val="Bibliography"/>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t>Environmental Management</w:t>
      </w:r>
      <w:r>
        <w:t xml:space="preserve">, </w:t>
      </w:r>
      <w:r>
        <w:rPr>
          <w:i/>
          <w:iCs/>
        </w:rPr>
        <w:t>56</w:t>
      </w:r>
      <w:r>
        <w:t>(5), 1078–1090. https://doi.org/10.1007/s00267-015-0554-5</w:t>
      </w:r>
    </w:p>
    <w:p w14:paraId="58AE8525" w14:textId="77777777" w:rsidR="00A142CB" w:rsidRDefault="00A142CB" w:rsidP="00A142CB">
      <w:pPr>
        <w:pStyle w:val="Bibliography"/>
      </w:pPr>
      <w:r>
        <w:lastRenderedPageBreak/>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A36C32B" w14:textId="77777777" w:rsidR="00A142CB" w:rsidRDefault="00A142CB" w:rsidP="00A142CB">
      <w:pPr>
        <w:pStyle w:val="Bibliography"/>
      </w:pPr>
      <w:r>
        <w:t xml:space="preserve">R Core Team. (2024). </w:t>
      </w:r>
      <w:r>
        <w:rPr>
          <w:i/>
          <w:iCs/>
        </w:rPr>
        <w:t>R: A Language and Environment for Statistical Computing</w:t>
      </w:r>
      <w:r>
        <w:t>. R Foundation for Statistical Computing. https://www.R-project.org/</w:t>
      </w:r>
    </w:p>
    <w:p w14:paraId="61EA2395" w14:textId="77777777" w:rsidR="00A142CB" w:rsidRDefault="00A142CB" w:rsidP="00A142CB">
      <w:pPr>
        <w:pStyle w:val="Bibliography"/>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6E63F899" w14:textId="77777777" w:rsidR="00A142CB" w:rsidRDefault="00A142CB" w:rsidP="00A142CB">
      <w:pPr>
        <w:pStyle w:val="Bibliography"/>
      </w:pPr>
      <w:r>
        <w:t xml:space="preserve">Ritchie, H., &amp; Roser, M. (2019). Half of the world’s habitable land is used for agriculture. </w:t>
      </w:r>
      <w:r>
        <w:rPr>
          <w:i/>
          <w:iCs/>
        </w:rPr>
        <w:t>Our World in Data</w:t>
      </w:r>
      <w:r>
        <w:t>.</w:t>
      </w:r>
    </w:p>
    <w:p w14:paraId="0C44EDE3" w14:textId="77777777" w:rsidR="00A142CB" w:rsidRDefault="00A142CB" w:rsidP="00A142CB">
      <w:pPr>
        <w:pStyle w:val="Bibliography"/>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4B66CAF2" w14:textId="77777777" w:rsidR="00A142CB" w:rsidRDefault="00A142CB" w:rsidP="00A142CB">
      <w:pPr>
        <w:pStyle w:val="Bibliography"/>
      </w:pPr>
      <w:r>
        <w:t xml:space="preserve">Salonen, J., Andersson, L., Andreasen, C., &amp; Semb Torresen, K. (2008). </w:t>
      </w:r>
      <w:r>
        <w:rPr>
          <w:i/>
          <w:iCs/>
        </w:rPr>
        <w:t>Key perennial weeds in arable crops in the Nordic countries</w:t>
      </w:r>
      <w:r>
        <w:t>.</w:t>
      </w:r>
    </w:p>
    <w:p w14:paraId="41848992" w14:textId="77777777" w:rsidR="00A142CB" w:rsidRDefault="00A142CB" w:rsidP="00A142CB">
      <w:pPr>
        <w:pStyle w:val="Bibliography"/>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149E6FD9" w14:textId="77777777" w:rsidR="00A142CB" w:rsidRDefault="00A142CB" w:rsidP="00A142CB">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1D358817" w14:textId="77777777" w:rsidR="00A142CB" w:rsidRDefault="00A142CB" w:rsidP="00A142CB">
      <w:pPr>
        <w:pStyle w:val="Bibliography"/>
      </w:pPr>
      <w:r>
        <w:lastRenderedPageBreak/>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29B28CEF" w14:textId="77777777" w:rsidR="00A142CB" w:rsidRDefault="00A142CB" w:rsidP="00A142CB">
      <w:pPr>
        <w:pStyle w:val="Bibliography"/>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41D5779A" w14:textId="77777777" w:rsidR="00A142CB" w:rsidRDefault="00A142CB" w:rsidP="00A142CB">
      <w:pPr>
        <w:pStyle w:val="Bibliography"/>
      </w:pPr>
      <w:r>
        <w:t xml:space="preserve">Silge, J., &amp; Robinson, D. (2016). tidytext: Text Mining and Analysis Using Tidy Data Principles in R. </w:t>
      </w:r>
      <w:r>
        <w:rPr>
          <w:i/>
          <w:iCs/>
        </w:rPr>
        <w:t>JOSS</w:t>
      </w:r>
      <w:r>
        <w:t xml:space="preserve">, </w:t>
      </w:r>
      <w:r>
        <w:rPr>
          <w:i/>
          <w:iCs/>
        </w:rPr>
        <w:t>1</w:t>
      </w:r>
      <w:r>
        <w:t>(3). https://doi.org/10.21105/joss.00037</w:t>
      </w:r>
    </w:p>
    <w:p w14:paraId="355A336D" w14:textId="77777777" w:rsidR="00A142CB" w:rsidRDefault="00A142CB" w:rsidP="00A142CB">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6073A653" w14:textId="77777777" w:rsidR="00A142CB" w:rsidRDefault="00A142CB" w:rsidP="00A142CB">
      <w:pPr>
        <w:pStyle w:val="Bibliography"/>
      </w:pPr>
      <w:r>
        <w:t xml:space="preserve">Smith, R. G., Warren, N. D., &amp; Cordeau, S. (2020). Are cover crop mixtures better at suppressing weeds than cover crop monocultures? </w:t>
      </w:r>
      <w:r>
        <w:rPr>
          <w:i/>
          <w:iCs/>
        </w:rPr>
        <w:t>Weed Science</w:t>
      </w:r>
      <w:r>
        <w:t xml:space="preserve">, </w:t>
      </w:r>
      <w:r>
        <w:rPr>
          <w:i/>
          <w:iCs/>
        </w:rPr>
        <w:t>68</w:t>
      </w:r>
      <w:r>
        <w:t>(2), 186–194. https://doi.org/10.1017/wsc.2020.12</w:t>
      </w:r>
    </w:p>
    <w:p w14:paraId="4FC0B42A" w14:textId="77777777" w:rsidR="00A142CB" w:rsidRDefault="00A142CB" w:rsidP="00A142CB">
      <w:pPr>
        <w:pStyle w:val="Bibliography"/>
      </w:pPr>
      <w:r>
        <w:t xml:space="preserve">Statistics Denmark. (2025). </w:t>
      </w:r>
      <w:r>
        <w:rPr>
          <w:i/>
          <w:iCs/>
        </w:rPr>
        <w:t>Cropland</w:t>
      </w:r>
      <w:r>
        <w:t>. https://www.dst.dk/en/Statistik/emner/erhvervsliv/landbrug-gartneri-og-skovbrug/det-dyrkede-areal</w:t>
      </w:r>
    </w:p>
    <w:p w14:paraId="2ECC8C52" w14:textId="77777777" w:rsidR="00A142CB" w:rsidRDefault="00A142CB" w:rsidP="00A142CB">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782FF031" w14:textId="77777777" w:rsidR="00A142CB" w:rsidRDefault="00A142CB" w:rsidP="00A142CB">
      <w:pPr>
        <w:pStyle w:val="Bibliography"/>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621E6FCD" w14:textId="77777777" w:rsidR="00A142CB" w:rsidRDefault="00A142CB" w:rsidP="00A142CB">
      <w:pPr>
        <w:pStyle w:val="Bibliography"/>
      </w:pPr>
      <w:r>
        <w:lastRenderedPageBreak/>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44B3E9CF" w14:textId="77777777" w:rsidR="00A142CB" w:rsidRDefault="00A142CB" w:rsidP="00A142CB">
      <w:pPr>
        <w:pStyle w:val="Bibliography"/>
      </w:pPr>
      <w:r>
        <w:t xml:space="preserve">Vandevoorde, N., Kudsk, P., Agnan, Y., &amp; Baret, P. V. (2025). Five methodological updates of the Danish Pesticide Load Indicator to support EU-wide pesticide risk reduction policies. </w:t>
      </w:r>
      <w:r>
        <w:rPr>
          <w:i/>
          <w:iCs/>
        </w:rPr>
        <w:t>Environmental Research Letters</w:t>
      </w:r>
      <w:r>
        <w:t xml:space="preserve">, </w:t>
      </w:r>
      <w:r>
        <w:rPr>
          <w:i/>
          <w:iCs/>
        </w:rPr>
        <w:t>20</w:t>
      </w:r>
      <w:r>
        <w:t>(12), 124070. https://doi.org/10.1088/1748-9326/ae269b</w:t>
      </w:r>
    </w:p>
    <w:p w14:paraId="451D77FA" w14:textId="77777777" w:rsidR="00A142CB" w:rsidRDefault="00A142CB" w:rsidP="00A142CB">
      <w:pPr>
        <w:pStyle w:val="Bibliography"/>
      </w:pPr>
      <w:r>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16907A21" w14:textId="77777777" w:rsidR="00A142CB" w:rsidRDefault="00A142CB" w:rsidP="00A142CB">
      <w:pPr>
        <w:pStyle w:val="Bibliography"/>
      </w:pPr>
      <w:r>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3FAA0254" w14:textId="77777777" w:rsidR="00A142CB" w:rsidRDefault="00A142CB" w:rsidP="00A142CB">
      <w:pPr>
        <w:pStyle w:val="Bibliography"/>
      </w:pPr>
      <w:r>
        <w:t xml:space="preserve">Westh, T. B., Hauschild, M. Z., Birkved, M., Jørgensen, M. S., Rosenbaum, R. K., &amp; Fantke, P. (2015). The USEtox story: A survey of model developer visions and user requirements. </w:t>
      </w:r>
      <w:r>
        <w:rPr>
          <w:i/>
          <w:iCs/>
        </w:rPr>
        <w:t>The International Journal of Life Cycle Assessment</w:t>
      </w:r>
      <w:r>
        <w:t xml:space="preserve">, </w:t>
      </w:r>
      <w:r>
        <w:rPr>
          <w:i/>
          <w:iCs/>
        </w:rPr>
        <w:t>20</w:t>
      </w:r>
      <w:r>
        <w:t>(2), 299–310. https://doi.org/10.1007/s11367-014-0829-8</w:t>
      </w:r>
    </w:p>
    <w:p w14:paraId="78282F26" w14:textId="77777777" w:rsidR="00A142CB" w:rsidRDefault="00A142CB" w:rsidP="00A142CB">
      <w:pPr>
        <w:pStyle w:val="Bibliography"/>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38A5AE74" w14:textId="77777777" w:rsidR="00A142CB" w:rsidRDefault="00A142CB" w:rsidP="00A142CB">
      <w:pPr>
        <w:pStyle w:val="Bibliography"/>
      </w:pPr>
      <w:r>
        <w:t xml:space="preserve">Wickham, H., &amp; Bryan, J. (2023). </w:t>
      </w:r>
      <w:r>
        <w:rPr>
          <w:i/>
          <w:iCs/>
        </w:rPr>
        <w:t>readxl: Read Excel Files</w:t>
      </w:r>
      <w:r>
        <w:t>. https://CRAN.R-project.org/package=readxl</w:t>
      </w:r>
    </w:p>
    <w:p w14:paraId="4722767A" w14:textId="77777777" w:rsidR="00A142CB" w:rsidRDefault="00A142CB" w:rsidP="00A142CB">
      <w:pPr>
        <w:pStyle w:val="Bibliography"/>
      </w:pPr>
      <w:r>
        <w:lastRenderedPageBreak/>
        <w:t xml:space="preserve">Wickham, H., Pedersen, T. L., &amp; Seidel, D. (2025). </w:t>
      </w:r>
      <w:r>
        <w:rPr>
          <w:i/>
          <w:iCs/>
        </w:rPr>
        <w:t>scales: Scale Functions for Visualization</w:t>
      </w:r>
      <w:r>
        <w:t>. https://CRAN.R-project.org/package=scales</w:t>
      </w:r>
    </w:p>
    <w:p w14:paraId="1027F419" w14:textId="77777777" w:rsidR="00A142CB" w:rsidRDefault="00A142CB" w:rsidP="00A142CB">
      <w:pPr>
        <w:pStyle w:val="Bibliography"/>
      </w:pPr>
      <w:r>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1EA959AC"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1-22T08:32:00Z" w:initials="VN">
    <w:p w14:paraId="7A375AD7" w14:textId="77777777" w:rsidR="00541BA9" w:rsidRDefault="00541BA9" w:rsidP="00541BA9">
      <w:pPr>
        <w:pStyle w:val="CommentText"/>
      </w:pPr>
      <w:r>
        <w:rPr>
          <w:rStyle w:val="CommentReference"/>
        </w:rPr>
        <w:annotationRef/>
      </w:r>
      <w:r>
        <w:t>Add to reference list</w:t>
      </w:r>
    </w:p>
  </w:comment>
  <w:comment w:id="3" w:author="Virginia Anne Nichols" w:date="2026-01-22T09:16:00Z" w:initials="VN">
    <w:p w14:paraId="302ABAD3" w14:textId="77777777" w:rsidR="001151AB" w:rsidRDefault="001151AB" w:rsidP="001151AB">
      <w:pPr>
        <w:pStyle w:val="CommentText"/>
      </w:pPr>
      <w:r>
        <w:rPr>
          <w:rStyle w:val="CommentReference"/>
        </w:rPr>
        <w:annotationRef/>
      </w:r>
      <w:r>
        <w:t>Bo you didn’t answer my question here about how the different row spacings were accommodated, so I guessed - does this seem reasonable?</w:t>
      </w:r>
    </w:p>
  </w:comment>
  <w:comment w:id="6" w:author="Virginia Anne Nichols" w:date="2025-11-26T10:39:00Z" w:initials="VN">
    <w:p w14:paraId="30569D99" w14:textId="2937DD7A" w:rsidR="00602609" w:rsidRDefault="00602609" w:rsidP="00602609">
      <w:pPr>
        <w:pStyle w:val="CommentText"/>
      </w:pPr>
      <w:r>
        <w:rPr>
          <w:rStyle w:val="CommentReference"/>
        </w:rPr>
        <w:annotationRef/>
      </w:r>
      <w:r>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75AD7" w15:done="0"/>
  <w15:commentEx w15:paraId="302ABAD3" w15:done="0"/>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976B4B" w16cex:dateUtc="2026-01-22T07:32:00Z"/>
  <w16cex:commentExtensible w16cex:durableId="33B89A46" w16cex:dateUtc="2026-01-22T08:16: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75AD7" w16cid:durableId="0C976B4B"/>
  <w16cid:commentId w16cid:paraId="302ABAD3" w16cid:durableId="33B89A46"/>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D9179" w14:textId="77777777" w:rsidR="00434EDD" w:rsidRDefault="00434EDD">
      <w:r>
        <w:separator/>
      </w:r>
    </w:p>
  </w:endnote>
  <w:endnote w:type="continuationSeparator" w:id="0">
    <w:p w14:paraId="269235DF" w14:textId="77777777" w:rsidR="00434EDD" w:rsidRDefault="0043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E1DB5" w14:textId="77777777" w:rsidR="00434EDD" w:rsidRDefault="00434EDD">
      <w:r>
        <w:separator/>
      </w:r>
    </w:p>
  </w:footnote>
  <w:footnote w:type="continuationSeparator" w:id="0">
    <w:p w14:paraId="2758376B" w14:textId="77777777" w:rsidR="00434EDD" w:rsidRDefault="00434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2E2"/>
    <w:rsid w:val="00002830"/>
    <w:rsid w:val="000043B8"/>
    <w:rsid w:val="0000618C"/>
    <w:rsid w:val="0001054F"/>
    <w:rsid w:val="00030C38"/>
    <w:rsid w:val="00030F1C"/>
    <w:rsid w:val="00033458"/>
    <w:rsid w:val="00033FDA"/>
    <w:rsid w:val="000347C5"/>
    <w:rsid w:val="00041F28"/>
    <w:rsid w:val="00045088"/>
    <w:rsid w:val="000508B5"/>
    <w:rsid w:val="00050CDF"/>
    <w:rsid w:val="00057203"/>
    <w:rsid w:val="00062BFA"/>
    <w:rsid w:val="000701DF"/>
    <w:rsid w:val="00075466"/>
    <w:rsid w:val="00091299"/>
    <w:rsid w:val="00092530"/>
    <w:rsid w:val="000A074B"/>
    <w:rsid w:val="000A78B8"/>
    <w:rsid w:val="000B0944"/>
    <w:rsid w:val="000B2786"/>
    <w:rsid w:val="000B6D43"/>
    <w:rsid w:val="000B7E46"/>
    <w:rsid w:val="000C25A5"/>
    <w:rsid w:val="000E0ED3"/>
    <w:rsid w:val="000E7436"/>
    <w:rsid w:val="00101B88"/>
    <w:rsid w:val="00111917"/>
    <w:rsid w:val="001151AB"/>
    <w:rsid w:val="0012160D"/>
    <w:rsid w:val="00121AD9"/>
    <w:rsid w:val="00123F93"/>
    <w:rsid w:val="0012446A"/>
    <w:rsid w:val="00125166"/>
    <w:rsid w:val="00126F2F"/>
    <w:rsid w:val="00133612"/>
    <w:rsid w:val="0014626F"/>
    <w:rsid w:val="001479F9"/>
    <w:rsid w:val="00156D97"/>
    <w:rsid w:val="00197824"/>
    <w:rsid w:val="001A00CE"/>
    <w:rsid w:val="001A1339"/>
    <w:rsid w:val="001A1A26"/>
    <w:rsid w:val="001A2BE0"/>
    <w:rsid w:val="001A455C"/>
    <w:rsid w:val="001B5010"/>
    <w:rsid w:val="001C0F78"/>
    <w:rsid w:val="001C2FB2"/>
    <w:rsid w:val="001C52EB"/>
    <w:rsid w:val="001C7E86"/>
    <w:rsid w:val="001C7F6C"/>
    <w:rsid w:val="001D3CD3"/>
    <w:rsid w:val="001E79BC"/>
    <w:rsid w:val="001F07F6"/>
    <w:rsid w:val="00204786"/>
    <w:rsid w:val="00206215"/>
    <w:rsid w:val="00216616"/>
    <w:rsid w:val="0022360D"/>
    <w:rsid w:val="00226AAF"/>
    <w:rsid w:val="002314A6"/>
    <w:rsid w:val="00231E9B"/>
    <w:rsid w:val="0025438D"/>
    <w:rsid w:val="00257317"/>
    <w:rsid w:val="00260E18"/>
    <w:rsid w:val="00274552"/>
    <w:rsid w:val="00276F65"/>
    <w:rsid w:val="00297F70"/>
    <w:rsid w:val="002A08AE"/>
    <w:rsid w:val="002A4453"/>
    <w:rsid w:val="002A518A"/>
    <w:rsid w:val="002A55FC"/>
    <w:rsid w:val="002A5F86"/>
    <w:rsid w:val="002A6EBF"/>
    <w:rsid w:val="002A7D26"/>
    <w:rsid w:val="002B6F1A"/>
    <w:rsid w:val="002B6F7E"/>
    <w:rsid w:val="002C160E"/>
    <w:rsid w:val="002C3BDB"/>
    <w:rsid w:val="002D10E5"/>
    <w:rsid w:val="002D5BD0"/>
    <w:rsid w:val="002E4152"/>
    <w:rsid w:val="002E4D53"/>
    <w:rsid w:val="002F485B"/>
    <w:rsid w:val="002F5DE4"/>
    <w:rsid w:val="00300184"/>
    <w:rsid w:val="0032308D"/>
    <w:rsid w:val="0034221E"/>
    <w:rsid w:val="003479FB"/>
    <w:rsid w:val="00381089"/>
    <w:rsid w:val="0038548F"/>
    <w:rsid w:val="003A1B51"/>
    <w:rsid w:val="003B122A"/>
    <w:rsid w:val="003C0D24"/>
    <w:rsid w:val="003C7F19"/>
    <w:rsid w:val="003D3B6E"/>
    <w:rsid w:val="003E7454"/>
    <w:rsid w:val="003E7CBF"/>
    <w:rsid w:val="00402490"/>
    <w:rsid w:val="0040336B"/>
    <w:rsid w:val="00406592"/>
    <w:rsid w:val="004246D5"/>
    <w:rsid w:val="004346DF"/>
    <w:rsid w:val="00434E4D"/>
    <w:rsid w:val="00434EDD"/>
    <w:rsid w:val="00436E4A"/>
    <w:rsid w:val="004564AC"/>
    <w:rsid w:val="00462BFF"/>
    <w:rsid w:val="004639D1"/>
    <w:rsid w:val="00484C33"/>
    <w:rsid w:val="00494819"/>
    <w:rsid w:val="00496DB9"/>
    <w:rsid w:val="004A247E"/>
    <w:rsid w:val="004B32D1"/>
    <w:rsid w:val="004C06F7"/>
    <w:rsid w:val="004C0D61"/>
    <w:rsid w:val="004C4425"/>
    <w:rsid w:val="004E1E8C"/>
    <w:rsid w:val="004E29C7"/>
    <w:rsid w:val="004E7F25"/>
    <w:rsid w:val="004F07A5"/>
    <w:rsid w:val="004F47C3"/>
    <w:rsid w:val="00506067"/>
    <w:rsid w:val="005070A2"/>
    <w:rsid w:val="00513033"/>
    <w:rsid w:val="00523DF1"/>
    <w:rsid w:val="0053182E"/>
    <w:rsid w:val="00541BA9"/>
    <w:rsid w:val="00542AB7"/>
    <w:rsid w:val="00542FF3"/>
    <w:rsid w:val="0054576C"/>
    <w:rsid w:val="0054664B"/>
    <w:rsid w:val="00553D8F"/>
    <w:rsid w:val="00556DE2"/>
    <w:rsid w:val="005579A3"/>
    <w:rsid w:val="00563083"/>
    <w:rsid w:val="005642B7"/>
    <w:rsid w:val="00572988"/>
    <w:rsid w:val="00583A92"/>
    <w:rsid w:val="00593698"/>
    <w:rsid w:val="00593E72"/>
    <w:rsid w:val="005A4CB9"/>
    <w:rsid w:val="005A746C"/>
    <w:rsid w:val="005B40AA"/>
    <w:rsid w:val="005B774F"/>
    <w:rsid w:val="005C0BB4"/>
    <w:rsid w:val="005C27E0"/>
    <w:rsid w:val="005C3B4B"/>
    <w:rsid w:val="005D5FF2"/>
    <w:rsid w:val="005E12EA"/>
    <w:rsid w:val="005E150B"/>
    <w:rsid w:val="005E5E7E"/>
    <w:rsid w:val="005F1FF2"/>
    <w:rsid w:val="005F4DAC"/>
    <w:rsid w:val="00602609"/>
    <w:rsid w:val="0060270F"/>
    <w:rsid w:val="00602B25"/>
    <w:rsid w:val="00604776"/>
    <w:rsid w:val="006067D9"/>
    <w:rsid w:val="00614437"/>
    <w:rsid w:val="00623603"/>
    <w:rsid w:val="0062645F"/>
    <w:rsid w:val="00646AD5"/>
    <w:rsid w:val="00647DEF"/>
    <w:rsid w:val="006774E5"/>
    <w:rsid w:val="006804BA"/>
    <w:rsid w:val="00680EF7"/>
    <w:rsid w:val="00686048"/>
    <w:rsid w:val="006A110F"/>
    <w:rsid w:val="006A4060"/>
    <w:rsid w:val="006B4AC3"/>
    <w:rsid w:val="006B6B39"/>
    <w:rsid w:val="006B785A"/>
    <w:rsid w:val="006C04E3"/>
    <w:rsid w:val="006C0AA5"/>
    <w:rsid w:val="006C3DC0"/>
    <w:rsid w:val="006D5A73"/>
    <w:rsid w:val="006E0E49"/>
    <w:rsid w:val="006E36A2"/>
    <w:rsid w:val="006E6121"/>
    <w:rsid w:val="006F15B8"/>
    <w:rsid w:val="006F3CE0"/>
    <w:rsid w:val="006F4E10"/>
    <w:rsid w:val="006F54D7"/>
    <w:rsid w:val="00700ACD"/>
    <w:rsid w:val="007010D9"/>
    <w:rsid w:val="00704184"/>
    <w:rsid w:val="00707657"/>
    <w:rsid w:val="0071502D"/>
    <w:rsid w:val="00715DB1"/>
    <w:rsid w:val="00717BE6"/>
    <w:rsid w:val="00733FC7"/>
    <w:rsid w:val="007348E9"/>
    <w:rsid w:val="00737D7A"/>
    <w:rsid w:val="007604BF"/>
    <w:rsid w:val="00763F20"/>
    <w:rsid w:val="00765D21"/>
    <w:rsid w:val="00770D8A"/>
    <w:rsid w:val="00774D16"/>
    <w:rsid w:val="00776C96"/>
    <w:rsid w:val="00781333"/>
    <w:rsid w:val="00782F03"/>
    <w:rsid w:val="00785EAA"/>
    <w:rsid w:val="007974E5"/>
    <w:rsid w:val="007A1907"/>
    <w:rsid w:val="007B00DA"/>
    <w:rsid w:val="007B2BE5"/>
    <w:rsid w:val="007C0649"/>
    <w:rsid w:val="007C2B45"/>
    <w:rsid w:val="007D24BE"/>
    <w:rsid w:val="007E73A6"/>
    <w:rsid w:val="00802EF3"/>
    <w:rsid w:val="00806BB5"/>
    <w:rsid w:val="00806D32"/>
    <w:rsid w:val="008141BB"/>
    <w:rsid w:val="008302FF"/>
    <w:rsid w:val="00840816"/>
    <w:rsid w:val="00842881"/>
    <w:rsid w:val="00864051"/>
    <w:rsid w:val="0086566B"/>
    <w:rsid w:val="0086596F"/>
    <w:rsid w:val="008845F0"/>
    <w:rsid w:val="008877EC"/>
    <w:rsid w:val="00890183"/>
    <w:rsid w:val="0089183E"/>
    <w:rsid w:val="008935F3"/>
    <w:rsid w:val="00897714"/>
    <w:rsid w:val="008A45D0"/>
    <w:rsid w:val="008B07A4"/>
    <w:rsid w:val="008C1C95"/>
    <w:rsid w:val="008D2724"/>
    <w:rsid w:val="008D3E81"/>
    <w:rsid w:val="008E0AD1"/>
    <w:rsid w:val="00901263"/>
    <w:rsid w:val="009133AC"/>
    <w:rsid w:val="009217F6"/>
    <w:rsid w:val="009432A7"/>
    <w:rsid w:val="00950EEA"/>
    <w:rsid w:val="00953C94"/>
    <w:rsid w:val="00962AFD"/>
    <w:rsid w:val="0098059C"/>
    <w:rsid w:val="009915C2"/>
    <w:rsid w:val="00997243"/>
    <w:rsid w:val="009A203A"/>
    <w:rsid w:val="009A3A5B"/>
    <w:rsid w:val="009A55B2"/>
    <w:rsid w:val="009A7EA2"/>
    <w:rsid w:val="009B1DCF"/>
    <w:rsid w:val="009C058A"/>
    <w:rsid w:val="009C1E41"/>
    <w:rsid w:val="009D06A0"/>
    <w:rsid w:val="009E4F40"/>
    <w:rsid w:val="009E6CDC"/>
    <w:rsid w:val="00A04631"/>
    <w:rsid w:val="00A142CB"/>
    <w:rsid w:val="00A20044"/>
    <w:rsid w:val="00A20B07"/>
    <w:rsid w:val="00A240D9"/>
    <w:rsid w:val="00A249FA"/>
    <w:rsid w:val="00A31C4F"/>
    <w:rsid w:val="00A3505F"/>
    <w:rsid w:val="00A41B89"/>
    <w:rsid w:val="00A43FCF"/>
    <w:rsid w:val="00A453E4"/>
    <w:rsid w:val="00A52678"/>
    <w:rsid w:val="00A62539"/>
    <w:rsid w:val="00A75203"/>
    <w:rsid w:val="00A80E50"/>
    <w:rsid w:val="00A81ACF"/>
    <w:rsid w:val="00A82D15"/>
    <w:rsid w:val="00A83B4F"/>
    <w:rsid w:val="00A8682B"/>
    <w:rsid w:val="00A90095"/>
    <w:rsid w:val="00A935FC"/>
    <w:rsid w:val="00A9790A"/>
    <w:rsid w:val="00AA2DBB"/>
    <w:rsid w:val="00AC10C6"/>
    <w:rsid w:val="00AC574D"/>
    <w:rsid w:val="00AC6691"/>
    <w:rsid w:val="00AD04C7"/>
    <w:rsid w:val="00AD6F9E"/>
    <w:rsid w:val="00AE1EFC"/>
    <w:rsid w:val="00AE2C54"/>
    <w:rsid w:val="00AE3AE5"/>
    <w:rsid w:val="00AE6687"/>
    <w:rsid w:val="00AF0363"/>
    <w:rsid w:val="00AF348D"/>
    <w:rsid w:val="00AF5044"/>
    <w:rsid w:val="00B20190"/>
    <w:rsid w:val="00B2115D"/>
    <w:rsid w:val="00B27B76"/>
    <w:rsid w:val="00B3112B"/>
    <w:rsid w:val="00B409A1"/>
    <w:rsid w:val="00B4141B"/>
    <w:rsid w:val="00B76139"/>
    <w:rsid w:val="00B83835"/>
    <w:rsid w:val="00BA7F3D"/>
    <w:rsid w:val="00BB112E"/>
    <w:rsid w:val="00BB220E"/>
    <w:rsid w:val="00BB2262"/>
    <w:rsid w:val="00BB7322"/>
    <w:rsid w:val="00BB7C9B"/>
    <w:rsid w:val="00BC2028"/>
    <w:rsid w:val="00BC7DE8"/>
    <w:rsid w:val="00BD0B68"/>
    <w:rsid w:val="00BD2394"/>
    <w:rsid w:val="00BD5966"/>
    <w:rsid w:val="00BE5883"/>
    <w:rsid w:val="00BF3618"/>
    <w:rsid w:val="00C10FAD"/>
    <w:rsid w:val="00C1138B"/>
    <w:rsid w:val="00C16073"/>
    <w:rsid w:val="00C20C1A"/>
    <w:rsid w:val="00C23509"/>
    <w:rsid w:val="00C33AD4"/>
    <w:rsid w:val="00C35B15"/>
    <w:rsid w:val="00C37AD5"/>
    <w:rsid w:val="00C459D5"/>
    <w:rsid w:val="00C651C3"/>
    <w:rsid w:val="00C70707"/>
    <w:rsid w:val="00C75545"/>
    <w:rsid w:val="00C75709"/>
    <w:rsid w:val="00C817D7"/>
    <w:rsid w:val="00C91C94"/>
    <w:rsid w:val="00CA1D8C"/>
    <w:rsid w:val="00CA273C"/>
    <w:rsid w:val="00CA2FBE"/>
    <w:rsid w:val="00CB1BFB"/>
    <w:rsid w:val="00CC097D"/>
    <w:rsid w:val="00CC0DC2"/>
    <w:rsid w:val="00CC1AAD"/>
    <w:rsid w:val="00CC4F03"/>
    <w:rsid w:val="00CC5D66"/>
    <w:rsid w:val="00CC6C30"/>
    <w:rsid w:val="00CD19F2"/>
    <w:rsid w:val="00CD7E08"/>
    <w:rsid w:val="00CF198B"/>
    <w:rsid w:val="00CF1E52"/>
    <w:rsid w:val="00CF32A9"/>
    <w:rsid w:val="00D00598"/>
    <w:rsid w:val="00D00706"/>
    <w:rsid w:val="00D066A5"/>
    <w:rsid w:val="00D12203"/>
    <w:rsid w:val="00D208C5"/>
    <w:rsid w:val="00D215C3"/>
    <w:rsid w:val="00D276E3"/>
    <w:rsid w:val="00D34E34"/>
    <w:rsid w:val="00D37FA3"/>
    <w:rsid w:val="00D52562"/>
    <w:rsid w:val="00D56F4F"/>
    <w:rsid w:val="00D60536"/>
    <w:rsid w:val="00D86704"/>
    <w:rsid w:val="00D87780"/>
    <w:rsid w:val="00D92540"/>
    <w:rsid w:val="00D96229"/>
    <w:rsid w:val="00DA275B"/>
    <w:rsid w:val="00DA3E7B"/>
    <w:rsid w:val="00DA570F"/>
    <w:rsid w:val="00DB07CC"/>
    <w:rsid w:val="00DB3916"/>
    <w:rsid w:val="00DC0149"/>
    <w:rsid w:val="00DC0967"/>
    <w:rsid w:val="00DC3511"/>
    <w:rsid w:val="00DC3E09"/>
    <w:rsid w:val="00DC7880"/>
    <w:rsid w:val="00DD04CB"/>
    <w:rsid w:val="00DD770E"/>
    <w:rsid w:val="00DE3417"/>
    <w:rsid w:val="00DE4D97"/>
    <w:rsid w:val="00DF07E9"/>
    <w:rsid w:val="00E04EB0"/>
    <w:rsid w:val="00E11F92"/>
    <w:rsid w:val="00E1366F"/>
    <w:rsid w:val="00E20D20"/>
    <w:rsid w:val="00E33D15"/>
    <w:rsid w:val="00E35659"/>
    <w:rsid w:val="00E41219"/>
    <w:rsid w:val="00E458E4"/>
    <w:rsid w:val="00E45AC5"/>
    <w:rsid w:val="00E50039"/>
    <w:rsid w:val="00E50922"/>
    <w:rsid w:val="00E64C10"/>
    <w:rsid w:val="00E67272"/>
    <w:rsid w:val="00E75CD1"/>
    <w:rsid w:val="00E77106"/>
    <w:rsid w:val="00E83610"/>
    <w:rsid w:val="00E84791"/>
    <w:rsid w:val="00E9789B"/>
    <w:rsid w:val="00EA5B2A"/>
    <w:rsid w:val="00EA65A3"/>
    <w:rsid w:val="00EC5CCC"/>
    <w:rsid w:val="00EE1254"/>
    <w:rsid w:val="00EE52D6"/>
    <w:rsid w:val="00EF288A"/>
    <w:rsid w:val="00EF3506"/>
    <w:rsid w:val="00EF62F9"/>
    <w:rsid w:val="00F07C2C"/>
    <w:rsid w:val="00F26976"/>
    <w:rsid w:val="00F34EA9"/>
    <w:rsid w:val="00F35751"/>
    <w:rsid w:val="00F36B54"/>
    <w:rsid w:val="00F371C1"/>
    <w:rsid w:val="00F4447D"/>
    <w:rsid w:val="00F508EF"/>
    <w:rsid w:val="00F51540"/>
    <w:rsid w:val="00F61077"/>
    <w:rsid w:val="00F667EB"/>
    <w:rsid w:val="00F668A9"/>
    <w:rsid w:val="00F87470"/>
    <w:rsid w:val="00F949F1"/>
    <w:rsid w:val="00F960D0"/>
    <w:rsid w:val="00FA1677"/>
    <w:rsid w:val="00FA499F"/>
    <w:rsid w:val="00FB0203"/>
    <w:rsid w:val="00FC4A41"/>
    <w:rsid w:val="00FD05FC"/>
    <w:rsid w:val="00FD249C"/>
    <w:rsid w:val="00FD373D"/>
    <w:rsid w:val="00FD5287"/>
    <w:rsid w:val="00FD74C7"/>
    <w:rsid w:val="00FE32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390</TotalTime>
  <Pages>34</Pages>
  <Words>32224</Words>
  <Characters>196568</Characters>
  <Application>Microsoft Office Word</Application>
  <DocSecurity>0</DocSecurity>
  <Lines>1638</Lines>
  <Paragraphs>456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228336</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9</cp:revision>
  <cp:lastPrinted>2020-05-11T07:49:00Z</cp:lastPrinted>
  <dcterms:created xsi:type="dcterms:W3CDTF">2026-01-20T13:19:00Z</dcterms:created>
  <dcterms:modified xsi:type="dcterms:W3CDTF">2026-03-04T15:29:00Z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id="Zutu2JlD"/&gt;&lt;style id="http://www.zotero.org/styles/apa" locale="en-US" hasBibliography="1" bibliographyStyleHasBeenSet="1"/&gt;&lt;prefs&gt;&lt;pref name="fieldType" value="Field"/&gt;&lt;/prefs&gt;&lt;/data&gt;</vt:lpwstr>
  </property>
</Properties>
</file>