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r>
        <w:rPr>
          <w:lang w:val="en-US"/>
        </w:rPr>
        <w:lastRenderedPageBreak/>
        <w:t>CRediT</w:t>
      </w:r>
      <w:commentRangeEnd w:id="1"/>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9C5D40" w:rsidRDefault="003C5483" w:rsidP="003C5483">
      <w:pPr>
        <w:spacing w:line="360" w:lineRule="auto"/>
        <w:rPr>
          <w:lang w:val="en-US"/>
          <w:rPrChange w:id="2" w:author="Virginia Anne Nichols" w:date="2026-04-16T06:43:00Z" w16du:dateUtc="2026-04-16T04:43:00Z">
            <w:rPr>
              <w:lang w:val="da-DK"/>
            </w:rPr>
          </w:rPrChange>
        </w:rPr>
      </w:pPr>
      <w:r w:rsidRPr="009C5D40">
        <w:rPr>
          <w:lang w:val="en-US"/>
          <w:rPrChange w:id="3" w:author="Virginia Anne Nichols" w:date="2026-04-16T06:43:00Z" w16du:dateUtc="2026-04-16T04:43:00Z">
            <w:rPr>
              <w:lang w:val="da-DK"/>
            </w:rPr>
          </w:rPrChange>
        </w:rPr>
        <w:t xml:space="preserve">Data curation </w:t>
      </w:r>
      <w:r w:rsidR="006767A7" w:rsidRPr="009C5D40">
        <w:rPr>
          <w:lang w:val="en-US"/>
          <w:rPrChange w:id="4" w:author="Virginia Anne Nichols" w:date="2026-04-16T06:43:00Z" w16du:dateUtc="2026-04-16T04:43:00Z">
            <w:rPr>
              <w:lang w:val="da-DK"/>
            </w:rPr>
          </w:rPrChange>
        </w:rPr>
        <w:t>–</w:t>
      </w:r>
      <w:r w:rsidRPr="009C5D40">
        <w:rPr>
          <w:lang w:val="en-US"/>
          <w:rPrChange w:id="5" w:author="Virginia Anne Nichols" w:date="2026-04-16T06:43:00Z" w16du:dateUtc="2026-04-16T04:43:00Z">
            <w:rPr>
              <w:lang w:val="da-DK"/>
            </w:rPr>
          </w:rPrChange>
        </w:rPr>
        <w:t xml:space="preserve"> VN</w:t>
      </w:r>
      <w:r w:rsidR="006767A7" w:rsidRPr="009C5D40">
        <w:rPr>
          <w:lang w:val="en-US"/>
          <w:rPrChange w:id="6" w:author="Virginia Anne Nichols" w:date="2026-04-16T06:43:00Z" w16du:dateUtc="2026-04-16T04:43:00Z">
            <w:rPr>
              <w:lang w:val="da-DK"/>
            </w:rPr>
          </w:rPrChange>
        </w:rPr>
        <w:t>, BM</w:t>
      </w:r>
    </w:p>
    <w:p w14:paraId="5835109F" w14:textId="6B92BCBF" w:rsidR="003C5483" w:rsidRPr="009C5D40" w:rsidRDefault="003C5483" w:rsidP="003C5483">
      <w:pPr>
        <w:spacing w:line="360" w:lineRule="auto"/>
        <w:rPr>
          <w:lang w:val="en-US"/>
          <w:rPrChange w:id="7" w:author="Virginia Anne Nichols" w:date="2026-04-16T06:43:00Z" w16du:dateUtc="2026-04-16T04:43:00Z">
            <w:rPr>
              <w:lang w:val="da-DK"/>
            </w:rPr>
          </w:rPrChange>
        </w:rPr>
      </w:pPr>
      <w:r w:rsidRPr="009C5D40">
        <w:rPr>
          <w:lang w:val="en-US"/>
          <w:rPrChange w:id="8" w:author="Virginia Anne Nichols" w:date="2026-04-16T06:43:00Z" w16du:dateUtc="2026-04-16T04:43:00Z">
            <w:rPr>
              <w:lang w:val="da-DK"/>
            </w:rPr>
          </w:rPrChange>
        </w:rPr>
        <w:t xml:space="preserve">Formal analysis </w:t>
      </w:r>
      <w:r w:rsidR="000E7511" w:rsidRPr="009C5D40">
        <w:rPr>
          <w:lang w:val="en-US"/>
          <w:rPrChange w:id="9" w:author="Virginia Anne Nichols" w:date="2026-04-16T06:43:00Z" w16du:dateUtc="2026-04-16T04:43:00Z">
            <w:rPr>
              <w:lang w:val="da-DK"/>
            </w:rPr>
          </w:rPrChange>
        </w:rPr>
        <w:t>–</w:t>
      </w:r>
      <w:r w:rsidRPr="009C5D40">
        <w:rPr>
          <w:lang w:val="en-US"/>
          <w:rPrChange w:id="10" w:author="Virginia Anne Nichols" w:date="2026-04-16T06:43:00Z" w16du:dateUtc="2026-04-16T04:43:00Z">
            <w:rPr>
              <w:lang w:val="da-DK"/>
            </w:rPr>
          </w:rPrChange>
        </w:rPr>
        <w:t xml:space="preserve"> VN</w:t>
      </w:r>
      <w:r w:rsidR="000E7511" w:rsidRPr="009C5D40">
        <w:rPr>
          <w:lang w:val="en-US"/>
          <w:rPrChange w:id="11" w:author="Virginia Anne Nichols" w:date="2026-04-16T06:43:00Z" w16du:dateUtc="2026-04-16T04:43:00Z">
            <w:rPr>
              <w:lang w:val="da-DK"/>
            </w:rPr>
          </w:rPrChange>
        </w:rPr>
        <w:t>, ERB, MG</w:t>
      </w:r>
    </w:p>
    <w:p w14:paraId="48AC8276" w14:textId="1026A887" w:rsidR="003C5483" w:rsidRPr="003C5483" w:rsidRDefault="003C5483" w:rsidP="003C5483">
      <w:pPr>
        <w:spacing w:line="360" w:lineRule="auto"/>
        <w:rPr>
          <w:lang w:val="en-US"/>
        </w:rPr>
      </w:pPr>
      <w:r w:rsidRPr="003C5483">
        <w:rPr>
          <w:lang w:val="en-US"/>
        </w:rPr>
        <w:t>Funding acquisition</w:t>
      </w:r>
      <w:r>
        <w:rPr>
          <w:lang w:val="en-US"/>
        </w:rPr>
        <w:t xml:space="preserve"> - </w:t>
      </w:r>
      <w:r w:rsidR="006767A7">
        <w:rPr>
          <w:lang w:val="en-US"/>
        </w:rPr>
        <w:t>BM</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6C78CC8A"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(RadM) and post-harvest (RadL)</w:t>
      </w:r>
      <w:r w:rsidR="00BC6842">
        <w:rPr>
          <w:lang w:val="en-US"/>
        </w:rPr>
        <w:t>;</w:t>
      </w:r>
      <w:r w:rsidR="00E04EB0" w:rsidRPr="00E04EB0">
        <w:rPr>
          <w:lang w:val="en-US"/>
        </w:rPr>
        <w:t xml:space="preserve"> no-cover control (NoCC)</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r w:rsidR="00E04EB0" w:rsidRPr="00E04EB0">
        <w:rPr>
          <w:lang w:val="en-US"/>
        </w:rPr>
        <w:t xml:space="preserve">RadM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r w:rsidR="00E04EB0" w:rsidRPr="00E04EB0">
        <w:rPr>
          <w:lang w:val="en-US"/>
        </w:rPr>
        <w:t>MixE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MixE </w:t>
      </w:r>
      <w:r w:rsidR="00EA2B5E">
        <w:rPr>
          <w:lang w:val="en-US"/>
        </w:rPr>
        <w:t>overall value was</w:t>
      </w:r>
      <w:r w:rsidR="00AA1DBC">
        <w:rPr>
          <w:lang w:val="en-US"/>
        </w:rPr>
        <w:t xml:space="preserve"> </w:t>
      </w:r>
      <w:r w:rsidR="00876749">
        <w:rPr>
          <w:lang w:val="en-US"/>
        </w:rPr>
        <w:t>higher</w:t>
      </w:r>
      <w:r w:rsidR="00AA1DBC">
        <w:rPr>
          <w:lang w:val="en-US"/>
        </w:rPr>
        <w:t xml:space="preserve"> than NoCC,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r w:rsidR="00EA2B5E">
        <w:rPr>
          <w:lang w:val="en-US"/>
        </w:rPr>
        <w:t xml:space="preserve">The MixM and RadL performed </w:t>
      </w:r>
      <w:r w:rsidR="00876749">
        <w:rPr>
          <w:lang w:val="en-US"/>
        </w:rPr>
        <w:t xml:space="preserve">similarly to </w:t>
      </w:r>
      <w:r w:rsidR="00EA2B5E">
        <w:rPr>
          <w:lang w:val="en-US"/>
        </w:rPr>
        <w:t>NoCC</w:t>
      </w:r>
      <w:r w:rsidR="003028C3">
        <w:rPr>
          <w:lang w:val="en-US"/>
        </w:rPr>
        <w:t xml:space="preserve"> in all systems</w:t>
      </w:r>
      <w:r w:rsidR="00EA2B5E">
        <w:rPr>
          <w:lang w:val="en-US"/>
        </w:rPr>
        <w:t xml:space="preserve">. </w:t>
      </w:r>
      <w:r w:rsidR="00E04EB0" w:rsidRPr="00E04EB0">
        <w:rPr>
          <w:lang w:val="en-US"/>
        </w:rPr>
        <w:t xml:space="preserve">Overall, </w:t>
      </w:r>
      <w:r w:rsidR="00AA1DBC">
        <w:rPr>
          <w:lang w:val="en-US"/>
        </w:rPr>
        <w:t>RadM</w:t>
      </w:r>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crop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r w:rsidRPr="00045088">
        <w:rPr>
          <w:b/>
          <w:bCs/>
        </w:rPr>
        <w:lastRenderedPageBreak/>
        <w:t>1  INTRODUCTION</w:t>
      </w:r>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3D26F6A4"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w:t>
      </w:r>
      <w:r w:rsidR="00B32419">
        <w:rPr>
          <w:lang w:val="en-US"/>
        </w:rPr>
        <w:t>weed 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w:t>
      </w:r>
      <w:r w:rsidR="00AF0363">
        <w:lastRenderedPageBreak/>
        <w:t xml:space="preserve">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12"/>
      <w:r w:rsidR="00774D16">
        <w:rPr>
          <w:lang w:val="en-US"/>
        </w:rPr>
        <w:t>(e.g.,</w:t>
      </w:r>
      <w:commentRangeEnd w:id="12"/>
      <w:r w:rsidR="00E44FA0">
        <w:rPr>
          <w:rStyle w:val="CommentReference"/>
          <w:sz w:val="24"/>
          <w:szCs w:val="24"/>
          <w:lang w:val="en-US"/>
        </w:rPr>
        <w:commentReference w:id="1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r w:rsidR="0047780D" w:rsidRPr="00541BA9">
        <w:t xml:space="preserve">esticides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6A1FE5">
        <w:rPr>
          <w:lang w:val="en-US"/>
        </w:rPr>
        <w:t xml:space="preserve">the USEtox database </w:t>
      </w:r>
      <w:r w:rsidR="0047780D">
        <w:rPr>
          <w:lang w:val="en-US"/>
        </w:rPr>
        <w:fldChar w:fldCharType="begin"/>
      </w:r>
      <w:r w:rsidR="0047780D" w:rsidRPr="006A1FE5">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3"/>
      <w:r w:rsidR="00E44FA0">
        <w:rPr>
          <w:rStyle w:val="CommentReference"/>
          <w:sz w:val="24"/>
          <w:szCs w:val="24"/>
          <w:lang w:val="en-US"/>
        </w:rPr>
        <w:commentReference w:id="1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3EDF7EC5" w14:textId="23271525"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w:t>
      </w:r>
      <w:r w:rsidR="00274A47">
        <w:rPr>
          <w:lang w:val="en-US"/>
        </w:rPr>
        <w:t>residue</w:t>
      </w:r>
      <w:r w:rsidR="00C90536">
        <w:rPr>
          <w:lang w:val="en-US"/>
        </w:rPr>
        <w:t xml:space="preserve">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4"/>
      <w:commentRangeEnd w:id="14"/>
      <w:r>
        <w:rPr>
          <w:rStyle w:val="CommentReference"/>
          <w:sz w:val="24"/>
          <w:szCs w:val="24"/>
          <w:lang w:val="en-US"/>
        </w:rPr>
        <w:commentReference w:id="14"/>
      </w:r>
      <w:r w:rsidR="00422F6F">
        <w:rPr>
          <w:lang w:val="en-US"/>
        </w:rPr>
        <w:t xml:space="preserve">For the present study, </w:t>
      </w:r>
      <w:r w:rsidR="00274A47">
        <w:rPr>
          <w:lang w:val="en-US"/>
        </w:rPr>
        <w:t>residue</w:t>
      </w:r>
      <w:r w:rsidR="002317FF">
        <w:rPr>
          <w:lang w:val="en-US"/>
        </w:rPr>
        <w:t xml:space="preserve"> management represented the </w:t>
      </w:r>
      <w:r w:rsidR="001A455C" w:rsidRPr="001A455C">
        <w:rPr>
          <w:lang w:val="en-US"/>
        </w:rPr>
        <w:t xml:space="preserve">main-plot treatment. </w:t>
      </w:r>
      <w:r w:rsidR="008D32E3">
        <w:rPr>
          <w:lang w:val="en-US"/>
        </w:rPr>
        <w:t xml:space="preserve">Nested within </w:t>
      </w:r>
      <w:r w:rsidR="00274A47">
        <w:rPr>
          <w:lang w:val="en-US"/>
        </w:rPr>
        <w:t>residue</w:t>
      </w:r>
      <w:r w:rsidR="008D32E3">
        <w:rPr>
          <w:lang w:val="en-US"/>
        </w:rPr>
        <w:t xml:space="preserve">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w:t>
      </w:r>
      <w:r w:rsidR="00274A47">
        <w:rPr>
          <w:lang w:val="en-US"/>
        </w:rPr>
        <w:t>residue</w:t>
      </w:r>
      <w:r w:rsidR="001A455C" w:rsidRPr="001A455C">
        <w:rPr>
          <w:lang w:val="en-US"/>
        </w:rPr>
        <w:t xml:space="preserve">-managements,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381D2575" w:rsidR="001A455C" w:rsidRPr="001A455C" w:rsidRDefault="001A455C" w:rsidP="001A455C">
      <w:pPr>
        <w:spacing w:line="360" w:lineRule="auto"/>
        <w:rPr>
          <w:b/>
          <w:bCs/>
          <w:lang w:val="en-US"/>
        </w:rPr>
      </w:pPr>
      <w:r w:rsidRPr="003C7F19">
        <w:rPr>
          <w:b/>
          <w:bCs/>
        </w:rPr>
        <w:t>2.1.</w:t>
      </w:r>
      <w:r w:rsidR="002317FF">
        <w:rPr>
          <w:b/>
          <w:bCs/>
        </w:rPr>
        <w:t>2</w:t>
      </w:r>
      <w:r w:rsidRPr="003C7F19">
        <w:rPr>
          <w:b/>
          <w:bCs/>
        </w:rPr>
        <w:t xml:space="preserve">  </w:t>
      </w:r>
      <w:r w:rsidR="00274A47">
        <w:rPr>
          <w:b/>
          <w:bCs/>
          <w:lang w:val="en-US"/>
        </w:rPr>
        <w:t>Residue</w:t>
      </w:r>
      <w:r w:rsidRPr="001A455C">
        <w:rPr>
          <w:b/>
          <w:bCs/>
          <w:lang w:val="en-US"/>
        </w:rPr>
        <w:t xml:space="preserve"> and tillage treatments</w:t>
      </w:r>
    </w:p>
    <w:p w14:paraId="73CAF7F4" w14:textId="1A7B432B" w:rsidR="00D5253E" w:rsidRDefault="001A455C" w:rsidP="001A455C">
      <w:pPr>
        <w:spacing w:line="360" w:lineRule="auto"/>
        <w:rPr>
          <w:lang w:val="en-US"/>
        </w:rPr>
      </w:pPr>
      <w:r w:rsidRPr="001A455C">
        <w:rPr>
          <w:lang w:val="en-US"/>
        </w:rPr>
        <w:t xml:space="preserve">The same </w:t>
      </w:r>
      <w:r w:rsidR="00274A47">
        <w:rPr>
          <w:lang w:val="en-US"/>
        </w:rPr>
        <w:t>residue</w:t>
      </w:r>
      <w:r w:rsidRPr="001A455C">
        <w:rPr>
          <w:lang w:val="en-US"/>
        </w:rPr>
        <w:t xml:space="preserve"> managements</w:t>
      </w:r>
      <w:r w:rsidR="00DF04BA">
        <w:rPr>
          <w:lang w:val="en-US"/>
        </w:rPr>
        <w:t xml:space="preserve"> (retain, remove)</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w:t>
      </w:r>
      <w:r w:rsidR="00274A47">
        <w:rPr>
          <w:lang w:val="en-US"/>
        </w:rPr>
        <w:t>residue</w:t>
      </w:r>
      <w:r w:rsidRPr="001A455C">
        <w:rPr>
          <w:lang w:val="en-US"/>
        </w:rPr>
        <w:t xml:space="preserve">-removal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w:t>
      </w:r>
      <w:r w:rsidR="00274A47">
        <w:rPr>
          <w:lang w:val="en-US"/>
        </w:rPr>
        <w:t>residue</w:t>
      </w:r>
      <w:r w:rsidR="004F07A5">
        <w:rPr>
          <w:lang w:val="en-US"/>
        </w:rPr>
        <w:t xml:space="preserve">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w:t>
      </w:r>
      <w:r w:rsidR="00274A47">
        <w:rPr>
          <w:lang w:val="en-US"/>
        </w:rPr>
        <w:t>residue</w:t>
      </w:r>
      <w:r w:rsidRPr="001A455C">
        <w:rPr>
          <w:lang w:val="en-US"/>
        </w:rPr>
        <w:t xml:space="preserve">-retained treatments, </w:t>
      </w:r>
      <w:r w:rsidR="00D5253E">
        <w:rPr>
          <w:lang w:val="en-US"/>
        </w:rPr>
        <w:t xml:space="preserve">residue remained in the field </w:t>
      </w:r>
      <w:r w:rsidR="001A1339">
        <w:rPr>
          <w:lang w:val="en-US"/>
        </w:rPr>
        <w:t>following harvest</w:t>
      </w:r>
      <w:r w:rsidRPr="001A455C">
        <w:rPr>
          <w:lang w:val="en-US"/>
        </w:rPr>
        <w:t xml:space="preserve">. </w:t>
      </w:r>
    </w:p>
    <w:p w14:paraId="3D917A18" w14:textId="250716C1"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r w:rsidR="001A455C" w:rsidRPr="001A455C">
        <w:t xml:space="preserve">rops were then sown with a traditional seed drill (Nordsten Lift-o-matic CLH300) with row spacings of 12.5 cm. </w:t>
      </w:r>
      <w:r w:rsidR="00DF04BA">
        <w:t>In the late-planted radish cover crop treatment, plots were also harrowed to a depth of 3-4 cm after cash crop harvest to prepare the soil for cover crop planting (see Table 1)</w:t>
      </w:r>
      <w:r w:rsidR="00DF04BA" w:rsidRPr="001A455C">
        <w:t>.</w:t>
      </w:r>
    </w:p>
    <w:p w14:paraId="1D52ABA7" w14:textId="085A0F69"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a </w:t>
      </w:r>
      <w:r w:rsidRPr="001A455C">
        <w:rPr>
          <w:vertAlign w:val="subscript"/>
          <w:lang w:val="en-US"/>
        </w:rPr>
        <w:t xml:space="preserve"> </w:t>
      </w:r>
      <w:r w:rsidRPr="001A455C">
        <w:t>Horsch Terrano 3 FX stubble tine cultivator was used to till to a depth 8-10 cm in the spring before cash crop planting</w:t>
      </w:r>
      <w:r w:rsidR="00DF04BA">
        <w:t xml:space="preserve">, and harrowed (3-4 cm depth) before the </w:t>
      </w:r>
      <w:r w:rsidR="009B6949">
        <w:t>late-planted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systems, </w:t>
      </w:r>
      <w:r w:rsidR="002317FF">
        <w:t xml:space="preserve">cash </w:t>
      </w:r>
      <w:r w:rsidRPr="001A455C">
        <w:t xml:space="preserve">crops were sown with a chisel coulter (Horsch Airseeder CO 3) with row spacings of 17.5 cm for </w:t>
      </w:r>
      <w:r w:rsidR="00D276E3">
        <w:t>all crops</w:t>
      </w:r>
      <w:r w:rsidR="009B6949">
        <w:t xml:space="preserve"> (compared to 12.5 cm for the </w:t>
      </w:r>
      <w:r w:rsidR="00423AE6">
        <w:t>inversion</w:t>
      </w:r>
      <w:r w:rsidR="009B6949">
        <w:t xml:space="preserve"> systems)</w:t>
      </w:r>
      <w:r w:rsidRPr="001A455C">
        <w:t xml:space="preserve">. Row spacings were different for the </w:t>
      </w:r>
      <w:r w:rsidR="00423AE6">
        <w:t>inversion</w:t>
      </w:r>
      <w:r w:rsidR="007A49E4">
        <w:t xml:space="preserve"> system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r w:rsidRPr="003C7F19">
        <w:rPr>
          <w:b/>
          <w:bCs/>
        </w:rPr>
        <w:t>2.1.</w:t>
      </w:r>
      <w:r w:rsidR="00C04813">
        <w:rPr>
          <w:b/>
          <w:bCs/>
        </w:rPr>
        <w:t>4</w:t>
      </w:r>
      <w:r w:rsidRPr="003C7F19">
        <w:rPr>
          <w:b/>
          <w:bCs/>
        </w:rPr>
        <w:t xml:space="preserve">  </w:t>
      </w:r>
      <w:r>
        <w:rPr>
          <w:b/>
          <w:bCs/>
          <w:lang w:val="en-US"/>
        </w:rPr>
        <w:t>Cover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the </w:t>
      </w:r>
      <w:r w:rsidR="007A49E4">
        <w:rPr>
          <w:lang w:val="en-US"/>
        </w:rPr>
        <w:t>micro-plot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was located in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lastRenderedPageBreak/>
        <w:t>Table 1. Summary of the five cover crop systems</w:t>
      </w:r>
      <w:r w:rsidR="00CF6D65" w:rsidRPr="007A00AB">
        <w:rPr>
          <w:i/>
          <w:iCs/>
          <w:lang w:val="en-US"/>
        </w:rPr>
        <w:t xml:space="preserve"> including an early-season planted mixture (MixE), </w:t>
      </w:r>
      <w:r w:rsidR="00423AE6" w:rsidRPr="007A00AB">
        <w:rPr>
          <w:i/>
          <w:iCs/>
          <w:lang w:val="en-US"/>
        </w:rPr>
        <w:t>a mixture (MixM) and forage radish (RadM)</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(RadL)</w:t>
      </w:r>
      <w:r w:rsidR="00423AE6" w:rsidRPr="007A00AB">
        <w:rPr>
          <w:i/>
          <w:iCs/>
          <w:lang w:val="en-US"/>
        </w:rPr>
        <w:t>, and a no-cover control (NoCC).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r w:rsidRPr="001A455C">
              <w:rPr>
                <w:lang w:val="en-US"/>
              </w:rPr>
              <w:t>MixE</w:t>
            </w:r>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5"/>
            <w:r w:rsidR="00A83EB3" w:rsidRPr="001A455C">
              <w:rPr>
                <w:lang w:val="en-US"/>
              </w:rPr>
              <w:t>12.5 cm</w:t>
            </w:r>
            <w:r w:rsidR="00A83EB3">
              <w:rPr>
                <w:lang w:val="en-US"/>
              </w:rPr>
              <w:t xml:space="preserve"> or 17.5 cm, see section 2.1.2</w:t>
            </w:r>
            <w:commentRangeEnd w:id="15"/>
            <w:r w:rsidR="002505D4">
              <w:rPr>
                <w:rStyle w:val="CommentReference"/>
                <w:sz w:val="24"/>
                <w:szCs w:val="24"/>
                <w:lang w:val="en-US"/>
              </w:rPr>
              <w:commentReference w:id="15"/>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r w:rsidRPr="001A455C">
              <w:rPr>
                <w:lang w:val="en-US"/>
              </w:rPr>
              <w:t>MixM</w:t>
            </w:r>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r w:rsidRPr="001A455C">
              <w:rPr>
                <w:lang w:val="en-US"/>
              </w:rPr>
              <w:t>RadM</w:t>
            </w:r>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r w:rsidRPr="001A455C">
              <w:rPr>
                <w:lang w:val="en-US"/>
              </w:rPr>
              <w:t>RadL</w:t>
            </w:r>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r w:rsidRPr="001A455C">
              <w:rPr>
                <w:lang w:val="en-US"/>
              </w:rPr>
              <w:t>NoCC</w:t>
            </w:r>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r w:rsidRPr="003C7F19">
        <w:rPr>
          <w:b/>
          <w:bCs/>
        </w:rPr>
        <w:t>2.1.</w:t>
      </w:r>
      <w:r w:rsidR="00C04813">
        <w:rPr>
          <w:b/>
          <w:bCs/>
        </w:rPr>
        <w:t>5</w:t>
      </w:r>
      <w:r w:rsidRPr="003C7F19">
        <w:rPr>
          <w:b/>
          <w:bCs/>
        </w:rPr>
        <w:t xml:space="preserve">  </w:t>
      </w:r>
      <w:r w:rsidR="007A00AB">
        <w:rPr>
          <w:b/>
          <w:bCs/>
        </w:rPr>
        <w:t>H</w:t>
      </w:r>
      <w:r>
        <w:rPr>
          <w:b/>
          <w:bCs/>
          <w:lang w:val="en-US"/>
        </w:rPr>
        <w:t>erbicides</w:t>
      </w:r>
    </w:p>
    <w:p w14:paraId="041B093F" w14:textId="2F612683"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r w:rsidR="00E15B8E">
        <w:t xml:space="preserve">Each herbicide package is described in detail in supplemental material (SM1). </w:t>
      </w:r>
    </w:p>
    <w:p w14:paraId="27459135" w14:textId="77777777" w:rsidR="009C1E41" w:rsidRDefault="009C1E41" w:rsidP="009C1E41">
      <w:pPr>
        <w:spacing w:line="360" w:lineRule="auto"/>
      </w:pPr>
    </w:p>
    <w:p w14:paraId="1C3E713C" w14:textId="5F12D935" w:rsidR="009C1E41" w:rsidRPr="007A00AB" w:rsidRDefault="009C1E41" w:rsidP="009C1E41">
      <w:pPr>
        <w:spacing w:line="360" w:lineRule="auto"/>
        <w:rPr>
          <w:i/>
          <w:iCs/>
        </w:rPr>
      </w:pPr>
      <w:r w:rsidRPr="007A00AB">
        <w:rPr>
          <w:i/>
          <w:iCs/>
        </w:rPr>
        <w:t xml:space="preserve">Table 2. Summary of trial’s herbicide applications; each herbicide package (HP) is described in detail in </w:t>
      </w:r>
      <w:r w:rsidR="00D65AFA">
        <w:rPr>
          <w:i/>
          <w:iCs/>
        </w:rPr>
        <w:t>SM1</w:t>
      </w:r>
      <w:r w:rsidR="000F7586" w:rsidRPr="007A00AB">
        <w:rPr>
          <w:i/>
          <w:iCs/>
        </w:rPr>
        <w:t>; MixE</w:t>
      </w:r>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All except MixE</w:t>
            </w:r>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All except MixE</w:t>
            </w:r>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All except MixE</w:t>
            </w:r>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39236619"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MixE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those same herbicides could not be used in the MixE plots</w:t>
      </w:r>
      <w:r w:rsidR="00063C63">
        <w:t>, so the best available option was instead used</w:t>
      </w:r>
      <w:r w:rsidR="000E7511">
        <w:t xml:space="preserve"> with the intention of controlling the perennial weeds</w:t>
      </w:r>
      <w:r w:rsidR="00AC0E09">
        <w:t xml:space="preserve">. </w:t>
      </w:r>
      <w:bookmarkStart w:id="16"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Avena fatua</w:t>
      </w:r>
      <w:r w:rsidR="00E64C10">
        <w:rPr>
          <w:i/>
          <w:iCs/>
        </w:rPr>
        <w:t xml:space="preserve"> </w:t>
      </w:r>
      <w:r w:rsidR="00E64C10">
        <w:t>L.</w:t>
      </w:r>
      <w:r w:rsidR="001A455C" w:rsidRPr="001A455C">
        <w:t xml:space="preserve">). </w:t>
      </w:r>
      <w:bookmarkEnd w:id="16"/>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r w:rsidRPr="003C7F19">
        <w:rPr>
          <w:b/>
          <w:bCs/>
        </w:rPr>
        <w:t>2.1.</w:t>
      </w:r>
      <w:r>
        <w:rPr>
          <w:b/>
          <w:bCs/>
        </w:rPr>
        <w:t>2</w:t>
      </w:r>
      <w:r w:rsidRPr="003C7F19">
        <w:rPr>
          <w:b/>
          <w:bCs/>
        </w:rPr>
        <w:t xml:space="preserve">  </w:t>
      </w:r>
      <w:r>
        <w:rPr>
          <w:b/>
          <w:bCs/>
        </w:rPr>
        <w:t>General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w:t>
      </w:r>
      <w:r w:rsidRPr="001A455C">
        <w:lastRenderedPageBreak/>
        <w:t>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The long-term experiment is rainfed, but in 2018 an exception was made due to an extremely hot and dry early growing season. In order to maintain the long-term viability of the 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structure, and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17"/>
      <w:r w:rsidR="001A455C" w:rsidRPr="001A455C">
        <w:t>). Grain yields are reported on a dry matter basis.</w:t>
      </w:r>
    </w:p>
    <w:p w14:paraId="550CAF4F" w14:textId="449D0A18"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 xml:space="preserve">Fall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8"/>
      <w:r w:rsidRPr="001A455C">
        <w:rPr>
          <w:lang w:val="en-US"/>
        </w:rPr>
        <w:t>.</w:t>
      </w:r>
      <w:commentRangeEnd w:id="18"/>
      <w:r w:rsidR="00AC4115" w:rsidRPr="001A455C">
        <w:rPr>
          <w:rStyle w:val="CommentReference"/>
          <w:sz w:val="24"/>
          <w:szCs w:val="24"/>
          <w:lang w:val="en-US"/>
        </w:rPr>
        <w:commentReference w:id="1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t>
      </w:r>
      <w:r w:rsidRPr="001A455C">
        <w:rPr>
          <w:lang w:val="en-US"/>
        </w:rPr>
        <w:lastRenderedPageBreak/>
        <w:t xml:space="preserve">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xml:space="preserve">, each species/genus was classified as ‘cover crop’, </w:t>
      </w:r>
      <w:r w:rsidR="000103DD">
        <w:rPr>
          <w:lang w:val="en-US"/>
        </w:rPr>
        <w:t xml:space="preserve">‘weed’, </w:t>
      </w:r>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74B838E2" w:rsidR="00247F49" w:rsidRDefault="00BC2028" w:rsidP="00045088">
      <w:pPr>
        <w:spacing w:line="360" w:lineRule="auto"/>
      </w:pPr>
      <w:r w:rsidRPr="00BC2028">
        <w:t xml:space="preserve">Potential ecological value was estimated using a methodology </w:t>
      </w:r>
      <w:r w:rsidR="00FD249C">
        <w:t xml:space="preserve">and database </w:t>
      </w:r>
      <w:r w:rsidRPr="00BC2028">
        <w:t>from Yvoz et al. 2021</w:t>
      </w:r>
      <w:r w:rsidR="009B158E">
        <w:t>. The fall vegetation produced blooms (</w:t>
      </w:r>
      <w:r w:rsidR="00D65AFA">
        <w:t>SM1</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but a high level description is provided below</w:t>
      </w:r>
      <w:r w:rsidRPr="00BC2028">
        <w:t xml:space="preserve">. </w:t>
      </w:r>
    </w:p>
    <w:p w14:paraId="2B926BF3" w14:textId="3A49970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xml:space="preserve">), </w:t>
      </w:r>
      <w:r w:rsidRPr="00BC2028">
        <w:lastRenderedPageBreak/>
        <w:t>(1b)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Yvoz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lastRenderedPageBreak/>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0F1DF917" w14:textId="4708EFFF"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4639D1">
        <w:t>.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3D40268A"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r w:rsidR="00955506" w:rsidRPr="00955506">
        <w:rPr>
          <w:i/>
          <w:iCs/>
        </w:rPr>
        <w:t>multcomp</w:t>
      </w:r>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D65AFA">
        <w:t xml:space="preserve"> (SM</w:t>
      </w:r>
      <w:r w:rsidR="00E15B8E">
        <w:t>1</w:t>
      </w:r>
      <w:r w:rsidR="00D65AFA">
        <w:t>)</w:t>
      </w:r>
      <w:r w:rsidR="000D47E1">
        <w:t>. A</w:t>
      </w:r>
      <w:r w:rsidR="0014626F">
        <w:t>ll</w:t>
      </w:r>
      <w:r w:rsidRPr="001C7F6C">
        <w:t xml:space="preserve"> R code </w:t>
      </w:r>
      <w:r w:rsidR="00F452AF">
        <w:t xml:space="preserve">and data </w:t>
      </w:r>
      <w:r w:rsidRPr="001C7F6C">
        <w:t xml:space="preserve">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lastRenderedPageBreak/>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300478CE"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 xml:space="preserve">(colored points and lines) </w:t>
            </w:r>
            <w:r w:rsidR="00A75203">
              <w:rPr>
                <w:i/>
                <w:iCs/>
              </w:rPr>
              <w:t>to 30-year averages</w:t>
            </w:r>
            <w:r w:rsidR="004639D1">
              <w:rPr>
                <w:i/>
                <w:iCs/>
              </w:rPr>
              <w:t xml:space="preserve"> [long-term (LT) means</w:t>
            </w:r>
            <w:r w:rsidR="005D2702">
              <w:rPr>
                <w:i/>
                <w:iCs/>
              </w:rPr>
              <w:t>, gray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colored</w:t>
            </w:r>
            <w:r w:rsidR="002B4C35">
              <w:rPr>
                <w:i/>
                <w:iCs/>
              </w:rPr>
              <w:t xml:space="preserve"> 95% confidence intervals</w:t>
            </w:r>
            <w:r w:rsidR="005941F6">
              <w:rPr>
                <w:i/>
                <w:iCs/>
              </w:rPr>
              <w:t xml:space="preserve">, </w:t>
            </w:r>
            <w:r w:rsidR="007D665A">
              <w:rPr>
                <w:i/>
                <w:iCs/>
              </w:rPr>
              <w:t xml:space="preserve">gray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planted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8B684CC"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w:t>
      </w:r>
      <w:r w:rsidR="00E15B8E">
        <w:t>SM2</w:t>
      </w:r>
      <w:r w:rsidR="00452AA0">
        <w:t>)</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xml:space="preserve">, and in 2020 faba bean yields </w:t>
      </w:r>
      <w:r w:rsidRPr="00A75203">
        <w:lastRenderedPageBreak/>
        <w:t>averaged 3.47 Mg ha</w:t>
      </w:r>
      <w:r w:rsidRPr="006F4E10">
        <w:rPr>
          <w:vertAlign w:val="superscript"/>
        </w:rPr>
        <w:t>-1</w:t>
      </w:r>
      <w:r w:rsidRPr="00A75203">
        <w:t xml:space="preserve">. </w:t>
      </w:r>
      <w:r w:rsidR="0092460A">
        <w:t>While the interaction between cover crop and crop year was not significant</w:t>
      </w:r>
      <w:r w:rsidR="009B158E">
        <w:t xml:space="preserve"> (p</w:t>
      </w:r>
      <w:r w:rsidR="006263B4">
        <w:t>=0.20)</w:t>
      </w:r>
      <w:r w:rsidR="0092460A">
        <w:t xml:space="preserve">, there was an amplification of the differences over time (Figure 1). </w:t>
      </w:r>
      <w:r w:rsidRPr="00A75203">
        <w:t>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726BB763"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w:t>
      </w:r>
      <w:r w:rsidR="00E15B8E">
        <w:t>SM2</w:t>
      </w:r>
      <w:r w:rsidR="000D47E1">
        <w:t>)</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NT, and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in the RadM and RadL compared to other treatments</w:t>
      </w:r>
      <w:r w:rsidR="003165E8">
        <w:t>;</w:t>
      </w:r>
      <w:r w:rsidR="00DC0149">
        <w:t xml:space="preserve"> this pattern was consistent across years</w:t>
      </w:r>
      <w:r w:rsidR="0033669D">
        <w:t>, with the NT combined with RadM offering the highest fall biomass in both years</w:t>
      </w:r>
      <w:r w:rsidR="003165E8">
        <w:t xml:space="preserve"> (Figure 2)</w:t>
      </w:r>
      <w:r w:rsidR="00DC0149">
        <w:t xml:space="preserve">. </w:t>
      </w:r>
      <w:r w:rsidR="002314A6">
        <w:t>Growing degree days accumulated from cover crop planting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55D55D5D" w14:textId="0B63FF8D" w:rsidR="00F31642" w:rsidRPr="00F31642" w:rsidRDefault="00F31642" w:rsidP="00F31642">
            <w:pPr>
              <w:spacing w:line="360" w:lineRule="auto"/>
              <w:rPr>
                <w:lang w:val="da-DK"/>
              </w:rPr>
            </w:pPr>
            <w:r w:rsidRPr="00F31642">
              <w:rPr>
                <w:noProof/>
                <w:lang w:val="da-DK"/>
              </w:rPr>
              <w:lastRenderedPageBreak/>
              <w:drawing>
                <wp:inline distT="0" distB="0" distL="0" distR="0" wp14:anchorId="4F3F98CA" wp14:editId="19672004">
                  <wp:extent cx="5731510" cy="4011930"/>
                  <wp:effectExtent l="0" t="0" r="2540" b="7620"/>
                  <wp:docPr id="1598459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4CE35BD2" w14:textId="15945614" w:rsidR="008D70A4" w:rsidRPr="003165E8" w:rsidRDefault="008D70A4" w:rsidP="008D70A4">
            <w:pPr>
              <w:spacing w:line="360" w:lineRule="auto"/>
              <w:rPr>
                <w:lang w:val="en-US"/>
              </w:rPr>
            </w:pP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72B15DC4"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w:t>
            </w:r>
            <w:r w:rsidR="00F31642">
              <w:rPr>
                <w:i/>
                <w:iCs/>
              </w:rPr>
              <w:t>95% confidence intervals</w:t>
            </w:r>
            <w:r w:rsidR="0092460A">
              <w:rPr>
                <w:i/>
                <w:iCs/>
              </w:rPr>
              <w:t>)</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mid-season planted radish (RadM)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xml:space="preserve">, with cover crop coverage ranging from </w:t>
            </w:r>
            <w:r w:rsidR="00F31642">
              <w:rPr>
                <w:i/>
                <w:iCs/>
              </w:rPr>
              <w:t>2</w:t>
            </w:r>
            <w:r w:rsidR="001D3CD3">
              <w:rPr>
                <w:i/>
                <w:iCs/>
              </w:rPr>
              <w:t>-</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3069E736" w14:textId="77777777" w:rsidR="009B41E6" w:rsidRDefault="00452AA0" w:rsidP="00055C8C">
      <w:pPr>
        <w:spacing w:line="360" w:lineRule="auto"/>
      </w:pPr>
      <w:r>
        <w:t xml:space="preserve">The percentage of the soil covered by vegetation </w:t>
      </w:r>
      <w:r w:rsidR="00081453">
        <w:t>exhibited complex interactions (</w:t>
      </w:r>
      <w:r w:rsidR="00E15B8E">
        <w:t>SM2</w:t>
      </w:r>
      <w:r w:rsidR="00081453">
        <w:t xml:space="preserve">), but while this conveyed statistically significant differences in soil cover, differences of less than 5% coverage were not considered physically meaningful and are not discussed here. </w:t>
      </w:r>
    </w:p>
    <w:p w14:paraId="012D488D" w14:textId="4EB872C1" w:rsidR="009B41E6" w:rsidRDefault="009B41E6" w:rsidP="00055C8C">
      <w:pPr>
        <w:spacing w:line="360" w:lineRule="auto"/>
      </w:pPr>
      <w:r>
        <w:t>Inversion tillage increased MixE coverage</w:t>
      </w:r>
      <w:r w:rsidR="00520FF2">
        <w:t xml:space="preserve">, </w:t>
      </w:r>
    </w:p>
    <w:p w14:paraId="68E436AE" w14:textId="0C52950C" w:rsidR="002F7A4A" w:rsidRDefault="009B41E6" w:rsidP="00055C8C">
      <w:pPr>
        <w:spacing w:line="360" w:lineRule="auto"/>
        <w:rPr>
          <w:lang w:val="en-US"/>
        </w:rPr>
      </w:pPr>
      <w:r>
        <w:t>Of the cover crop treatments, t</w:t>
      </w:r>
      <w:r w:rsidR="002F7A4A">
        <w:rPr>
          <w:lang w:val="en-US"/>
        </w:rPr>
        <w:t>he NoCC vegetation coverage was the most impacted by the weather conditions</w:t>
      </w:r>
      <w:r w:rsidR="00611E95">
        <w:rPr>
          <w:lang w:val="en-US"/>
        </w:rPr>
        <w:t xml:space="preserve"> (</w:t>
      </w:r>
      <w:r w:rsidR="00E15B8E">
        <w:rPr>
          <w:lang w:val="en-US"/>
        </w:rPr>
        <w:t>SM2</w:t>
      </w:r>
      <w:r w:rsidR="00611E95">
        <w:rPr>
          <w:lang w:val="en-US"/>
        </w:rPr>
        <w:t>)</w:t>
      </w:r>
      <w:r w:rsidR="002F7A4A">
        <w:rPr>
          <w:lang w:val="en-US"/>
        </w:rPr>
        <w:t xml:space="preserve">, </w:t>
      </w:r>
      <w:r w:rsidR="00D65AFA">
        <w:rPr>
          <w:lang w:val="en-US"/>
        </w:rPr>
        <w:t>ranging</w:t>
      </w:r>
      <w:r w:rsidR="002F7A4A">
        <w:rPr>
          <w:lang w:val="en-US"/>
        </w:rPr>
        <w:t xml:space="preserve"> from </w:t>
      </w:r>
      <w:r w:rsidR="002B770A">
        <w:rPr>
          <w:lang w:val="en-US"/>
        </w:rPr>
        <w:t xml:space="preserve">80% soil coverage (CI: 76-83%) in 2018 to 61% (CI:56-66%) in 2019. The </w:t>
      </w:r>
      <w:r w:rsidR="008F3A79">
        <w:rPr>
          <w:lang w:val="en-US"/>
        </w:rPr>
        <w:t>cover crop mixe</w:t>
      </w:r>
      <w:r w:rsidR="00EE5000">
        <w:rPr>
          <w:lang w:val="en-US"/>
        </w:rPr>
        <w:t>s</w:t>
      </w:r>
      <w:r w:rsidR="008F3A79">
        <w:rPr>
          <w:lang w:val="en-US"/>
        </w:rPr>
        <w:t xml:space="preserve"> </w:t>
      </w:r>
      <w:r w:rsidR="00EE5000">
        <w:rPr>
          <w:lang w:val="en-US"/>
        </w:rPr>
        <w:t>offered</w:t>
      </w:r>
      <w:r w:rsidR="002B770A">
        <w:rPr>
          <w:lang w:val="en-US"/>
        </w:rPr>
        <w:t xml:space="preserve"> stable </w:t>
      </w:r>
      <w:r w:rsidR="00EE5000">
        <w:rPr>
          <w:lang w:val="en-US"/>
        </w:rPr>
        <w:t xml:space="preserve">coverage </w:t>
      </w:r>
      <w:r w:rsidR="002B770A">
        <w:rPr>
          <w:lang w:val="en-US"/>
        </w:rPr>
        <w:t>across years</w:t>
      </w:r>
      <w:r w:rsidR="00EE5000">
        <w:rPr>
          <w:lang w:val="en-US"/>
        </w:rPr>
        <w:t>, at 83% (CI: 79-86%) and 74% (CI: 69-78%) soil coverage for MixE and MixM, respectively</w:t>
      </w:r>
      <w:r w:rsidR="00ED04D4">
        <w:rPr>
          <w:lang w:val="en-US"/>
        </w:rPr>
        <w:t>, while t</w:t>
      </w:r>
      <w:r w:rsidR="008F3A79">
        <w:rPr>
          <w:lang w:val="en-US"/>
        </w:rPr>
        <w:t xml:space="preserve">he </w:t>
      </w:r>
      <w:r w:rsidR="00EE5000">
        <w:rPr>
          <w:lang w:val="en-US"/>
        </w:rPr>
        <w:lastRenderedPageBreak/>
        <w:t>radish</w:t>
      </w:r>
      <w:r w:rsidR="008F3A79">
        <w:rPr>
          <w:lang w:val="en-US"/>
        </w:rPr>
        <w:t xml:space="preserve"> cover crop treatments showed moderate differences in soil coverage by year</w:t>
      </w:r>
      <w:r w:rsidR="00D65AFA">
        <w:rPr>
          <w:lang w:val="en-US"/>
        </w:rPr>
        <w:t xml:space="preserve"> (</w:t>
      </w:r>
      <w:r w:rsidR="00E15B8E">
        <w:rPr>
          <w:lang w:val="en-US"/>
        </w:rPr>
        <w:t>SM2</w:t>
      </w:r>
      <w:r w:rsidR="00D65AFA">
        <w:rPr>
          <w:lang w:val="en-US"/>
        </w:rPr>
        <w:t>)</w:t>
      </w:r>
      <w:r w:rsidR="00ED04D4">
        <w:rPr>
          <w:lang w:val="en-US"/>
        </w:rPr>
        <w:t>. Therefore, the use of a cover crop</w:t>
      </w:r>
      <w:r w:rsidR="00520FF2">
        <w:rPr>
          <w:lang w:val="en-US"/>
        </w:rPr>
        <w:t xml:space="preserve"> resulted in more stable soil coverage compared to no cover crop. Inversion tillage increased the soil coverage offered by the MixE </w:t>
      </w:r>
      <w:r w:rsidR="00BD21D4">
        <w:rPr>
          <w:lang w:val="en-US"/>
        </w:rPr>
        <w:t xml:space="preserve">(86%; CI:84-90%) </w:t>
      </w:r>
      <w:r w:rsidR="00520FF2">
        <w:rPr>
          <w:lang w:val="en-US"/>
        </w:rPr>
        <w:t>compared to other tillage treatments (</w:t>
      </w:r>
      <w:r w:rsidR="00BD21D4">
        <w:rPr>
          <w:lang w:val="en-US"/>
        </w:rPr>
        <w:t>80%</w:t>
      </w:r>
      <w:r w:rsidR="00520FF2">
        <w:rPr>
          <w:lang w:val="en-US"/>
        </w:rPr>
        <w:t>;</w:t>
      </w:r>
      <w:r w:rsidR="00BD21D4">
        <w:rPr>
          <w:lang w:val="en-US"/>
        </w:rPr>
        <w:t xml:space="preserve"> CI:77-84%), but did not strongly impact the coverage in the other cover crop treatments (SM2).</w:t>
      </w:r>
      <w:r w:rsidR="008F3A79">
        <w:rPr>
          <w:lang w:val="en-US"/>
        </w:rPr>
        <w:t xml:space="preserve">   </w:t>
      </w:r>
    </w:p>
    <w:p w14:paraId="1EACA3CC" w14:textId="72E2264C" w:rsidR="00C13EAE" w:rsidRDefault="0091595E" w:rsidP="00055C8C">
      <w:pPr>
        <w:spacing w:line="360" w:lineRule="auto"/>
      </w:pPr>
      <w:r>
        <w:t>Within the vegetative cover contribution, cash crop volunteers</w:t>
      </w:r>
      <w:r w:rsidR="00C13EAE">
        <w:t xml:space="preserve"> </w:t>
      </w:r>
      <w:r>
        <w:t>constituted an average of 61% of the vegetation cover, followed by cover crops (average of 35%) with weeds contributing an average of 4% to the total vegetation cover</w:t>
      </w:r>
      <w:r w:rsidR="00C13EAE">
        <w:t xml:space="preserve">. </w:t>
      </w:r>
    </w:p>
    <w:p w14:paraId="56C0BF29" w14:textId="4F56D6B0" w:rsidR="005C0BB4" w:rsidRPr="002F7A4A" w:rsidRDefault="00055C8C" w:rsidP="005C0BB4">
      <w:pPr>
        <w:spacing w:line="360" w:lineRule="auto"/>
        <w:rPr>
          <w:color w:val="EE0000"/>
          <w:lang w:val="en-US"/>
        </w:rPr>
      </w:pPr>
      <w:r w:rsidRPr="002F7A4A">
        <w:rPr>
          <w:color w:val="EE0000"/>
        </w:rPr>
        <w:t>The cover crop</w:t>
      </w:r>
      <w:r w:rsidR="00A71CA9" w:rsidRPr="002F7A4A">
        <w:rPr>
          <w:color w:val="EE0000"/>
        </w:rPr>
        <w:t xml:space="preserve"> contribution to coverage</w:t>
      </w:r>
      <w:r w:rsidRPr="002F7A4A">
        <w:rPr>
          <w:color w:val="EE0000"/>
        </w:rPr>
        <w:t xml:space="preserve"> </w:t>
      </w:r>
      <w:r w:rsidR="000E7EB9">
        <w:rPr>
          <w:color w:val="EE0000"/>
        </w:rPr>
        <w:t xml:space="preserve">likewise exhibited complex interactions which were mainly driven by the variability of MixE from year to year, and </w:t>
      </w:r>
      <w:r w:rsidR="000E3872">
        <w:rPr>
          <w:color w:val="EE0000"/>
        </w:rPr>
        <w:t>its</w:t>
      </w:r>
      <w:r w:rsidR="001147AE">
        <w:rPr>
          <w:color w:val="EE0000"/>
        </w:rPr>
        <w:t xml:space="preserve"> higher cover crop coverage in inversion tillage compared to other tillages</w:t>
      </w:r>
      <w:r w:rsidR="000E7EB9">
        <w:rPr>
          <w:color w:val="EE0000"/>
        </w:rPr>
        <w:t xml:space="preserve"> (SM2). </w:t>
      </w:r>
      <w:r w:rsidR="001147AE">
        <w:rPr>
          <w:color w:val="EE0000"/>
        </w:rPr>
        <w:t>I</w:t>
      </w:r>
      <w:r w:rsidR="00EA5B2A" w:rsidRPr="002F7A4A">
        <w:rPr>
          <w:color w:val="EE0000"/>
        </w:rPr>
        <w:t xml:space="preserve">n 2018 the </w:t>
      </w:r>
      <w:r w:rsidR="00A3505F" w:rsidRPr="002F7A4A">
        <w:rPr>
          <w:color w:val="EE0000"/>
        </w:rPr>
        <w:t xml:space="preserve">MixE </w:t>
      </w:r>
      <w:r w:rsidR="00EA5B2A" w:rsidRPr="002F7A4A">
        <w:rPr>
          <w:color w:val="EE0000"/>
        </w:rPr>
        <w:t>cover crop</w:t>
      </w:r>
      <w:r w:rsidR="00CF32A9" w:rsidRPr="002F7A4A">
        <w:rPr>
          <w:color w:val="EE0000"/>
        </w:rPr>
        <w:t>s</w:t>
      </w:r>
      <w:r w:rsidR="00EA5B2A" w:rsidRPr="002F7A4A">
        <w:rPr>
          <w:color w:val="EE0000"/>
        </w:rPr>
        <w:t xml:space="preserve"> contributed an average of </w:t>
      </w:r>
      <w:r w:rsidR="001147AE">
        <w:rPr>
          <w:color w:val="EE0000"/>
        </w:rPr>
        <w:t>14</w:t>
      </w:r>
      <w:r w:rsidR="00EA5B2A" w:rsidRPr="002F7A4A">
        <w:rPr>
          <w:color w:val="EE0000"/>
        </w:rPr>
        <w:t>% (</w:t>
      </w:r>
      <w:r w:rsidR="001147AE">
        <w:rPr>
          <w:color w:val="EE0000"/>
        </w:rPr>
        <w:t>CI</w:t>
      </w:r>
      <w:r w:rsidR="00AF348D" w:rsidRPr="002F7A4A">
        <w:rPr>
          <w:color w:val="EE0000"/>
        </w:rPr>
        <w:t>:</w:t>
      </w:r>
      <w:r w:rsidR="001147AE">
        <w:rPr>
          <w:color w:val="EE0000"/>
        </w:rPr>
        <w:t>12-17</w:t>
      </w:r>
      <w:r w:rsidR="00AF348D" w:rsidRPr="002F7A4A">
        <w:rPr>
          <w:color w:val="EE0000"/>
        </w:rPr>
        <w:t xml:space="preserve">%) </w:t>
      </w:r>
      <w:r w:rsidR="00CF32A9" w:rsidRPr="002F7A4A">
        <w:rPr>
          <w:color w:val="EE0000"/>
        </w:rPr>
        <w:t xml:space="preserve">coverage, </w:t>
      </w:r>
      <w:r w:rsidR="00AF348D" w:rsidRPr="002F7A4A">
        <w:rPr>
          <w:color w:val="EE0000"/>
        </w:rPr>
        <w:t xml:space="preserve">while in 2019 </w:t>
      </w:r>
      <w:r w:rsidR="00226AAF" w:rsidRPr="002F7A4A">
        <w:rPr>
          <w:color w:val="EE0000"/>
        </w:rPr>
        <w:t xml:space="preserve">they contributed an </w:t>
      </w:r>
      <w:r w:rsidR="00AF348D" w:rsidRPr="002F7A4A">
        <w:rPr>
          <w:color w:val="EE0000"/>
        </w:rPr>
        <w:t>average of 5</w:t>
      </w:r>
      <w:r w:rsidR="001147AE">
        <w:rPr>
          <w:color w:val="EE0000"/>
        </w:rPr>
        <w:t>7</w:t>
      </w:r>
      <w:r w:rsidR="00AF348D" w:rsidRPr="002F7A4A">
        <w:rPr>
          <w:color w:val="EE0000"/>
        </w:rPr>
        <w:t>% (</w:t>
      </w:r>
      <w:r w:rsidR="001147AE">
        <w:rPr>
          <w:color w:val="EE0000"/>
        </w:rPr>
        <w:t>CI</w:t>
      </w:r>
      <w:r w:rsidR="00AF348D" w:rsidRPr="002F7A4A">
        <w:rPr>
          <w:color w:val="EE0000"/>
        </w:rPr>
        <w:t>:</w:t>
      </w:r>
      <w:r w:rsidR="000E3872">
        <w:rPr>
          <w:color w:val="EE0000"/>
        </w:rPr>
        <w:t>52</w:t>
      </w:r>
      <w:r w:rsidR="001147AE">
        <w:rPr>
          <w:color w:val="EE0000"/>
        </w:rPr>
        <w:t>-</w:t>
      </w:r>
      <w:r w:rsidR="000E3872">
        <w:rPr>
          <w:color w:val="EE0000"/>
        </w:rPr>
        <w:t>62</w:t>
      </w:r>
      <w:r w:rsidR="00AF348D" w:rsidRPr="002F7A4A">
        <w:rPr>
          <w:color w:val="EE0000"/>
        </w:rPr>
        <w:t>%</w:t>
      </w:r>
      <w:r w:rsidR="004346DF" w:rsidRPr="002F7A4A">
        <w:rPr>
          <w:color w:val="EE0000"/>
        </w:rPr>
        <w:t>; Figure 2</w:t>
      </w:r>
      <w:r w:rsidR="00AF348D" w:rsidRPr="002F7A4A">
        <w:rPr>
          <w:color w:val="EE0000"/>
        </w:rPr>
        <w:t>).</w:t>
      </w:r>
      <w:r w:rsidR="00992CC6">
        <w:rPr>
          <w:color w:val="EE0000"/>
        </w:rPr>
        <w:t xml:space="preserve"> Rad</w:t>
      </w:r>
      <w:r w:rsidR="00535D27">
        <w:rPr>
          <w:color w:val="EE0000"/>
        </w:rPr>
        <w:t>M</w:t>
      </w:r>
      <w:r w:rsidR="00992CC6">
        <w:rPr>
          <w:color w:val="EE0000"/>
        </w:rPr>
        <w:t xml:space="preserve"> offered the highest cover crop coverage at 50% (CI:46-55%) and did not vary by year (p=0.80)</w:t>
      </w:r>
      <w:r w:rsidR="00AF348D" w:rsidRPr="002F7A4A">
        <w:rPr>
          <w:color w:val="EE0000"/>
        </w:rPr>
        <w:t>.</w:t>
      </w:r>
      <w:r w:rsidR="00992CC6">
        <w:rPr>
          <w:color w:val="EE0000"/>
        </w:rPr>
        <w:t xml:space="preserve"> </w:t>
      </w:r>
      <w:r w:rsidR="00535D27">
        <w:rPr>
          <w:color w:val="EE0000"/>
        </w:rPr>
        <w:t>Both MixM and RadL</w:t>
      </w:r>
      <w:r w:rsidR="00F87470" w:rsidRPr="002F7A4A">
        <w:rPr>
          <w:color w:val="EE0000"/>
        </w:rPr>
        <w:t xml:space="preserve"> </w:t>
      </w:r>
      <w:r w:rsidR="00535D27">
        <w:rPr>
          <w:color w:val="EE0000"/>
        </w:rPr>
        <w:t xml:space="preserve">cover crop coverage was moderate, with moderate variability between years.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0907AE03" w:rsidR="00EA65A3" w:rsidRDefault="004579AD" w:rsidP="00045088">
      <w:pPr>
        <w:spacing w:line="360" w:lineRule="auto"/>
      </w:pPr>
      <w:r>
        <w:t>Cash crop volunteers were assigned a dummy code consistent across years to allow for more generalized inference of patterns across years. C</w:t>
      </w:r>
      <w:r w:rsidR="00EA65A3">
        <w:t xml:space="preserve">over crop treatment explained </w:t>
      </w:r>
      <w:r w:rsidR="008D4A9E">
        <w:t xml:space="preserve">over half of the </w:t>
      </w:r>
      <w:r w:rsidR="00EA65A3">
        <w:t>variance</w:t>
      </w:r>
      <w:r w:rsidR="008D4A9E">
        <w:t xml:space="preserve"> (SM2)</w:t>
      </w:r>
      <w:r w:rsidR="00EA65A3">
        <w:t xml:space="preserve"> and had a significant effect on community structure (p&lt;0.001), </w:t>
      </w:r>
      <w:r w:rsidR="008D4A9E">
        <w:t xml:space="preserve">year explaining 8% of the variance, and </w:t>
      </w:r>
      <w:r w:rsidR="00EA65A3">
        <w:t xml:space="preserve">tillage and </w:t>
      </w:r>
      <w:r w:rsidR="00274A47">
        <w:t>residue</w:t>
      </w:r>
      <w:r w:rsidR="00EA65A3">
        <w:t xml:space="preserve"> </w:t>
      </w:r>
      <w:r w:rsidR="008D4A9E">
        <w:t xml:space="preserve">management </w:t>
      </w:r>
      <w:r w:rsidR="00EA65A3">
        <w:t>explaining less than 1% of the total variance each, respectively</w:t>
      </w:r>
      <w:r w:rsidR="00E276EE">
        <w:t xml:space="preserve"> (SM2)</w:t>
      </w:r>
      <w:r w:rsidR="00EA65A3">
        <w:t xml:space="preserve">. </w:t>
      </w:r>
      <w:r w:rsidR="00041F28">
        <w:t>The</w:t>
      </w:r>
      <w:r w:rsidR="008D4A9E">
        <w:t xml:space="preserve"> radish cover crop (RAPSR) drove the two radish treatments (RadM and RadL) communities, </w:t>
      </w:r>
      <w:r w:rsidR="00BA549D">
        <w:t xml:space="preserve">and the high RAPSR coverage in the RadM treatment rendered that coverage community completely distinct from the mixes and NoCC treatments </w:t>
      </w:r>
      <w:r w:rsidR="00691C03">
        <w:t>(Figure 3). T</w:t>
      </w:r>
      <w:r w:rsidR="00041F28">
        <w:t xml:space="preserve">he </w:t>
      </w:r>
      <w:r w:rsidR="00691C03">
        <w:t>MixE community had a higher presence of the grass/clover cover crop species, but shared many of the same species with the MixM and NoCC. The higher soil exposure in the NoCC and radish cover crop treatments (Figure 2) is also shown in the community assemblies</w:t>
      </w:r>
      <w:r w:rsidR="00041F28">
        <w:t xml:space="preserve">.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04F1211D" w14:textId="7CC1D6A5" w:rsidR="0038548F" w:rsidRPr="00A53D2C" w:rsidRDefault="00A53D2C" w:rsidP="00045088">
            <w:pPr>
              <w:spacing w:line="360" w:lineRule="auto"/>
              <w:rPr>
                <w:lang w:val="da-DK"/>
              </w:rPr>
            </w:pPr>
            <w:r w:rsidRPr="00A53D2C">
              <w:rPr>
                <w:noProof/>
                <w:lang w:val="da-DK"/>
              </w:rPr>
              <w:lastRenderedPageBreak/>
              <w:drawing>
                <wp:inline distT="0" distB="0" distL="0" distR="0" wp14:anchorId="54E144CD" wp14:editId="6FDFA78F">
                  <wp:extent cx="5731510" cy="2865755"/>
                  <wp:effectExtent l="0" t="0" r="2540" b="0"/>
                  <wp:docPr id="162803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tc>
      </w:tr>
      <w:tr w:rsidR="0038548F" w14:paraId="3D438F13" w14:textId="77777777" w:rsidTr="0038548F">
        <w:tc>
          <w:tcPr>
            <w:tcW w:w="9016" w:type="dxa"/>
          </w:tcPr>
          <w:p w14:paraId="7E23C4D8" w14:textId="76BBEC1C" w:rsidR="0038548F" w:rsidRDefault="0038548F" w:rsidP="00045088">
            <w:pPr>
              <w:spacing w:line="360" w:lineRule="auto"/>
            </w:pPr>
            <w:r w:rsidRPr="00D86704">
              <w:rPr>
                <w:b/>
                <w:bCs/>
              </w:rPr>
              <w:t>Figure 3</w:t>
            </w:r>
            <w:r w:rsidR="009133AC">
              <w:t xml:space="preserve"> </w:t>
            </w:r>
            <w:r w:rsidR="009133AC" w:rsidRPr="00D86704">
              <w:rPr>
                <w:i/>
                <w:iCs/>
              </w:rPr>
              <w:t>(</w:t>
            </w:r>
            <w:r w:rsidR="00A53D2C">
              <w:rPr>
                <w:i/>
                <w:iCs/>
              </w:rPr>
              <w:t>Left</w:t>
            </w:r>
            <w:r w:rsidR="009133AC" w:rsidRPr="00D86704">
              <w:rPr>
                <w:i/>
                <w:iCs/>
              </w:rPr>
              <w:t>)</w:t>
            </w:r>
            <w:r w:rsidR="009133AC">
              <w:t xml:space="preserve"> </w:t>
            </w:r>
            <w:r w:rsidR="00170EBC">
              <w:t>Non-metric multi-dimensional scaling (NMDS) analyses show c</w:t>
            </w:r>
            <w:r w:rsidR="009133AC">
              <w:t>over crop system had the largest impact on fall vegetation communities, with a minor impact of</w:t>
            </w:r>
            <w:r w:rsidR="00A53D2C">
              <w:t xml:space="preserve"> year,</w:t>
            </w:r>
            <w:r w:rsidR="009133AC">
              <w:t xml:space="preserve"> tillage system</w:t>
            </w:r>
            <w:r w:rsidR="00EF62F9">
              <w:t xml:space="preserve"> and </w:t>
            </w:r>
            <w:r w:rsidR="00274A47">
              <w:t>residue</w:t>
            </w:r>
            <w:r w:rsidR="00EF62F9">
              <w:t xml:space="preserve"> </w:t>
            </w:r>
            <w:r w:rsidR="00A53D2C">
              <w:t>removal</w:t>
            </w:r>
            <w:r w:rsidR="0089183E">
              <w:t>.</w:t>
            </w:r>
            <w:r w:rsidR="009133AC">
              <w:t xml:space="preserve"> </w:t>
            </w:r>
            <w:r w:rsidR="009133AC" w:rsidRPr="00D86704">
              <w:rPr>
                <w:i/>
                <w:iCs/>
              </w:rPr>
              <w:t>(</w:t>
            </w:r>
            <w:r w:rsidR="00A53D2C">
              <w:rPr>
                <w:i/>
                <w:iCs/>
              </w:rPr>
              <w:t>Right</w:t>
            </w:r>
            <w:r w:rsidR="009133AC" w:rsidRPr="00D86704">
              <w:rPr>
                <w:i/>
                <w:iCs/>
              </w:rPr>
              <w:t>)</w:t>
            </w:r>
            <w:r w:rsidR="009133AC">
              <w:t xml:space="preserve"> Radish cover crop systems (RadM, RadL) had the highest potential ecosystem value, with the mixes (MixE, MixM) and NoCC systems having similarly low ecosystem value, due to a high percent</w:t>
            </w:r>
            <w:r w:rsidR="00D86704">
              <w:t xml:space="preserve"> coverage</w:t>
            </w:r>
            <w:r w:rsidR="009133AC">
              <w:t xml:space="preserve"> of low value </w:t>
            </w:r>
            <w:r w:rsidR="00A53D2C">
              <w:t xml:space="preserve">cash </w:t>
            </w:r>
            <w:r w:rsidR="009133AC">
              <w:t>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7815ADC7" w14:textId="655C032F"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w:t>
      </w:r>
      <w:r w:rsidR="00D65AFA">
        <w:t>SM1</w:t>
      </w:r>
      <w:r w:rsidR="0012446A">
        <w:t xml:space="preserve">). </w:t>
      </w:r>
      <w:r w:rsidR="009133AC">
        <w:t xml:space="preserve"> </w:t>
      </w:r>
    </w:p>
    <w:p w14:paraId="14A70F8B" w14:textId="34163A7C" w:rsidR="00CD258C" w:rsidRDefault="00CD258C" w:rsidP="00045088">
      <w:pPr>
        <w:spacing w:line="360" w:lineRule="auto"/>
      </w:pPr>
      <w:r>
        <w:t xml:space="preserve">Year and cover crop treatment had significant impacts on the number of species (Table 3) observed in a community (p&lt;0.001; SM2). The number of species observed ranged from one to eight, with a mode of two in 2018 and three in 2019. The MixE had more species than the radish cover crops (p&lt;0.001; SM2), but overall the number of species present was low in all communities. The evenness of the communities ranged from 0.09 to 1, and there was an amplifying interaction between cover crop treatment and year (p&lt;0.001). Evenness was </w:t>
      </w:r>
      <w:r>
        <w:lastRenderedPageBreak/>
        <w:t xml:space="preserve">generally higher in the radish cover crop treatments because those communities were not dominated by the cash crop volunteers (Figure 2), followed by MixE, followed by MixM and NoCC treatments; this pattern was true regardless of tillage system, </w:t>
      </w:r>
      <w:r w:rsidR="00274A47">
        <w:t>residue</w:t>
      </w:r>
      <w:r>
        <w:t xml:space="preserve"> management, and year (SM2).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279DF38B"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w:t>
      </w:r>
      <w:r w:rsidR="00274A47">
        <w:t>residue</w:t>
      </w:r>
      <w:r w:rsidR="00E9167E">
        <w:t xml:space="preserve"> management</w:t>
      </w:r>
      <w:r>
        <w:t xml:space="preserve"> (p&lt;0.001</w:t>
      </w:r>
      <w:r w:rsidR="00505EBA">
        <w:t>; SM2</w:t>
      </w:r>
      <w:r>
        <w:t xml:space="preserve">). </w:t>
      </w:r>
      <w:r w:rsidR="00E9167E">
        <w:t xml:space="preserve">In 2019 retaining </w:t>
      </w:r>
      <w:r w:rsidR="00274A47">
        <w:t>residue</w:t>
      </w:r>
      <w:r w:rsidR="00E9167E">
        <w:t xml:space="preserve"> resulted in significantly more total weeds (p&lt;0.0001), while in 2020 it had no impact. </w:t>
      </w:r>
      <w:r w:rsidR="00274A47">
        <w:t>Residue</w:t>
      </w:r>
      <w:r w:rsidR="00E9167E">
        <w:t xml:space="preserve"> did not interact with any other treatments. </w:t>
      </w:r>
      <w:r>
        <w:t xml:space="preserve">Within the </w:t>
      </w:r>
      <w:r w:rsidR="005515FA">
        <w:t>NT</w:t>
      </w:r>
      <w:r>
        <w:t xml:space="preserve"> system, MixE had </w:t>
      </w:r>
      <w:r w:rsidR="00030F1C">
        <w:t xml:space="preserve">significantly more </w:t>
      </w:r>
      <w:r w:rsidR="00D215C3">
        <w:t xml:space="preserve">weeds compared to all other </w:t>
      </w:r>
      <w:r w:rsidR="00774F53">
        <w:t xml:space="preserve">cover crop </w:t>
      </w:r>
      <w:r w:rsidR="00D215C3">
        <w:t>treatments (</w:t>
      </w:r>
      <w:r w:rsidR="00774F53">
        <w:t xml:space="preserve">1.5-1.7 times more, </w:t>
      </w:r>
      <w:r w:rsidR="00D215C3">
        <w:t>p&lt;0.001)</w:t>
      </w:r>
      <w:r w:rsidR="00774F53">
        <w:t xml:space="preserve">. These differences were </w:t>
      </w:r>
      <w:r w:rsidR="0048309A">
        <w:t xml:space="preserve">dampened </w:t>
      </w:r>
      <w:r w:rsidR="00774F53">
        <w:t>in the surface tillage</w:t>
      </w:r>
      <w:r w:rsidR="0048309A">
        <w:t xml:space="preserve"> and </w:t>
      </w:r>
      <w:r w:rsidR="00774F53">
        <w:t>disappeared in the inversion tillage systems (</w:t>
      </w:r>
      <w:r w:rsidR="00774F53" w:rsidRPr="00E9167E">
        <w:rPr>
          <w:b/>
          <w:bCs/>
        </w:rPr>
        <w:t>Figure 4</w:t>
      </w:r>
      <w:r w:rsidR="00774F53">
        <w:t>). T</w:t>
      </w:r>
      <w:r w:rsidR="00D215C3">
        <w:t>h</w:t>
      </w:r>
      <w:r w:rsidR="00774F53">
        <w:t xml:space="preserve">e elevated spring weed count in the MixE implemented in the NT system </w:t>
      </w:r>
      <w:r w:rsidR="00D215C3">
        <w:t xml:space="preserve">was </w:t>
      </w:r>
      <w:r w:rsidR="00030F1C">
        <w:t xml:space="preserve">significantly </w:t>
      </w:r>
      <w:r w:rsidR="00D215C3">
        <w:t xml:space="preserve">more pronounced in 2019 </w:t>
      </w:r>
      <w:r w:rsidR="00030F1C">
        <w:t>(2.6-3.7 times more weeds</w:t>
      </w:r>
      <w:r w:rsidR="00774F53">
        <w:t xml:space="preserve"> than other systems</w:t>
      </w:r>
      <w:r w:rsidR="00030F1C">
        <w:t xml:space="preserve">) </w:t>
      </w:r>
      <w:r w:rsidR="00774F53">
        <w:t>compared</w:t>
      </w:r>
      <w:r w:rsidR="00D215C3">
        <w:t xml:space="preserve"> to 2020</w:t>
      </w:r>
      <w:r w:rsidR="00030F1C">
        <w:t xml:space="preserve"> (1.6-1.7 times more weeds), but the patterns were the same. </w:t>
      </w:r>
      <w:r w:rsidR="0000618C" w:rsidRPr="00D215DB">
        <w:t xml:space="preserve">On average there were </w:t>
      </w:r>
      <w:r w:rsidR="00774F53">
        <w:t xml:space="preserve">almost </w:t>
      </w:r>
      <w:r w:rsidR="0000618C" w:rsidRPr="00D215DB">
        <w:t xml:space="preserve">twice as many weeds in 2019 (mean:163, </w:t>
      </w:r>
      <w:r w:rsidR="00774F53">
        <w:t>CI</w:t>
      </w:r>
      <w:r w:rsidR="0000618C" w:rsidRPr="00D215DB">
        <w:t>:</w:t>
      </w:r>
      <w:r w:rsidR="00774F53">
        <w:t>118-157</w:t>
      </w:r>
      <w:r w:rsidR="0000618C" w:rsidRPr="00D215DB">
        <w:t>) compared to 2020 (mean:</w:t>
      </w:r>
      <w:r w:rsidR="00774F53">
        <w:t>76</w:t>
      </w:r>
      <w:r w:rsidR="0000618C" w:rsidRPr="00D215DB">
        <w:t xml:space="preserve">, </w:t>
      </w:r>
      <w:r w:rsidR="00774F53">
        <w:t>CI</w:t>
      </w:r>
      <w:r w:rsidR="0000618C" w:rsidRPr="00D215DB">
        <w:t>:</w:t>
      </w:r>
      <w:r w:rsidR="00774F53">
        <w:t>66-88</w:t>
      </w:r>
      <w:r w:rsidR="0000618C" w:rsidRPr="00D215DB">
        <w:t xml:space="preserve">). </w:t>
      </w:r>
      <w:r w:rsidR="00774F53">
        <w:t xml:space="preserve">Averaged across tillage systems, </w:t>
      </w:r>
      <w:r w:rsidR="00206215" w:rsidRPr="00D215DB">
        <w:t>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xml:space="preserve">, </w:t>
      </w:r>
      <w:r w:rsidR="0092246D">
        <w:t>CI</w:t>
      </w:r>
      <w:r w:rsidR="00F668A9" w:rsidRPr="00D215DB">
        <w:t>:</w:t>
      </w:r>
      <w:r w:rsidR="0092246D">
        <w:t>147-206</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92-129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46-66</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years, but was </w:t>
      </w:r>
      <w:r w:rsidR="0092246D">
        <w:t xml:space="preserve">again significantly </w:t>
      </w:r>
      <w:r w:rsidR="0086566B">
        <w:t xml:space="preserve">magnified in 2019 </w:t>
      </w:r>
      <w:r w:rsidR="0000618C">
        <w:t>(when there were more weeds)</w:t>
      </w:r>
      <w:r w:rsidR="0086566B">
        <w:t xml:space="preserve">. </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4CD12FDD" w14:textId="4DD3078C" w:rsidR="005E2C47" w:rsidRPr="005E2C47" w:rsidRDefault="005E2C47" w:rsidP="005E2C47">
            <w:pPr>
              <w:spacing w:line="360" w:lineRule="auto"/>
              <w:rPr>
                <w:lang w:val="da-DK"/>
              </w:rPr>
            </w:pPr>
            <w:r w:rsidRPr="005E2C47">
              <w:rPr>
                <w:noProof/>
                <w:lang w:val="da-DK"/>
              </w:rPr>
              <w:lastRenderedPageBreak/>
              <w:drawing>
                <wp:inline distT="0" distB="0" distL="0" distR="0" wp14:anchorId="38FFEA6D" wp14:editId="06FC7667">
                  <wp:extent cx="5609267" cy="6410325"/>
                  <wp:effectExtent l="0" t="0" r="0" b="0"/>
                  <wp:docPr id="1025362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1847" cy="6413274"/>
                          </a:xfrm>
                          <a:prstGeom prst="rect">
                            <a:avLst/>
                          </a:prstGeom>
                          <a:noFill/>
                          <a:ln>
                            <a:noFill/>
                          </a:ln>
                        </pic:spPr>
                      </pic:pic>
                    </a:graphicData>
                  </a:graphic>
                </wp:inline>
              </w:drawing>
            </w:r>
          </w:p>
          <w:p w14:paraId="3CA67C49" w14:textId="7A22C57B" w:rsidR="00925DAA" w:rsidRPr="00925DAA" w:rsidRDefault="00925DAA" w:rsidP="00925DAA">
            <w:pPr>
              <w:spacing w:line="360" w:lineRule="auto"/>
              <w:rPr>
                <w:lang w:val="da-DK"/>
              </w:rPr>
            </w:pP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0FE9DA68"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r w:rsidR="00D215DB" w:rsidRPr="00D215DB">
              <w:t xml:space="preserve">Marginal mean estimates </w:t>
            </w:r>
            <w:r w:rsidR="003B1029">
              <w:t xml:space="preserve">averaged </w:t>
            </w:r>
            <w:r w:rsidR="00D215DB" w:rsidRPr="00D215DB">
              <w:t xml:space="preserve">over years and </w:t>
            </w:r>
            <w:r w:rsidR="00274A47">
              <w:t>straw</w:t>
            </w:r>
            <w:r w:rsidR="00D215DB" w:rsidRPr="00D215DB">
              <w:t xml:space="preserv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 xml:space="preserve">(MixE)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p>
        </w:tc>
      </w:tr>
    </w:tbl>
    <w:p w14:paraId="0FE38C89" w14:textId="77777777" w:rsidR="0054576C" w:rsidRDefault="0054576C" w:rsidP="0054576C">
      <w:pPr>
        <w:spacing w:line="360" w:lineRule="auto"/>
      </w:pPr>
    </w:p>
    <w:p w14:paraId="32498B44" w14:textId="77777777" w:rsidR="002C2EF4" w:rsidRDefault="002C2EF4" w:rsidP="0054576C">
      <w:pPr>
        <w:spacing w:line="360" w:lineRule="auto"/>
      </w:pPr>
    </w:p>
    <w:p w14:paraId="12FFB7EF" w14:textId="79A75726" w:rsidR="0000618C" w:rsidRDefault="0000618C" w:rsidP="0054576C">
      <w:pPr>
        <w:spacing w:line="360" w:lineRule="auto"/>
      </w:pPr>
      <w:r>
        <w:t xml:space="preserve">Despite having less total weeds, both </w:t>
      </w:r>
      <w:r w:rsidR="005515FA">
        <w:t>NT</w:t>
      </w:r>
      <w:r>
        <w:t xml:space="preserve"> and </w:t>
      </w:r>
      <w:r w:rsidR="003C4420">
        <w:t>surface tillage</w:t>
      </w:r>
      <w:r>
        <w:t xml:space="preserve"> had significantly increased numbers of perennial weeds compared to inversion tillage</w:t>
      </w:r>
      <w:r w:rsidR="00DC5916">
        <w:t xml:space="preserve"> (SM2)</w:t>
      </w:r>
      <w:r>
        <w:t xml:space="preserve">. The perennial weeds were mainly CIRAR (82%, versus 18% EQUAR). </w:t>
      </w:r>
      <w:r w:rsidR="00145174">
        <w:t>While the NoCC treatment averaged less than 1 perennial weed</w:t>
      </w:r>
      <w:r w:rsidR="003E3EB8">
        <w:t xml:space="preserve"> per m</w:t>
      </w:r>
      <w:r w:rsidR="003E3EB8" w:rsidRPr="003E3EB8">
        <w:rPr>
          <w:vertAlign w:val="superscript"/>
        </w:rPr>
        <w:t>-2</w:t>
      </w:r>
      <w:r w:rsidR="00145174">
        <w:t xml:space="preserve">, </w:t>
      </w:r>
      <w:r>
        <w:t xml:space="preserve">MixE </w:t>
      </w:r>
      <w:r w:rsidR="00145174">
        <w:t xml:space="preserve">averaged </w:t>
      </w:r>
      <w:r w:rsidR="003E3EB8">
        <w:t>significantly more in the NT (</w:t>
      </w:r>
      <w:r w:rsidR="00145174">
        <w:t>10</w:t>
      </w:r>
      <w:r w:rsidR="003E3EB8">
        <w:t xml:space="preserve">, </w:t>
      </w:r>
      <w:r w:rsidR="00145174">
        <w:t>CI:7-16) and</w:t>
      </w:r>
      <w:r w:rsidR="003E3EB8">
        <w:t xml:space="preserve"> surface tillage (</w:t>
      </w:r>
      <w:r w:rsidR="00145174">
        <w:t>5</w:t>
      </w:r>
      <w:r w:rsidR="003E3EB8">
        <w:t xml:space="preserve">, </w:t>
      </w:r>
      <w:r w:rsidR="00145174">
        <w:t>CI:3-7)</w:t>
      </w:r>
      <w:r w:rsidR="003E3EB8">
        <w:t xml:space="preserve">, but did not differ in the inversion tillage. None of the other cover crop treatment’s perennial weed count differed each other. </w:t>
      </w:r>
      <w:commentRangeStart w:id="19"/>
      <w:r w:rsidR="00542A67">
        <w:t>Removal of residue resulted in a small but significant increase in perennial weeds in 2019, but not in 2020 (SM2).</w:t>
      </w:r>
      <w:commentRangeEnd w:id="19"/>
      <w:r w:rsidR="005E2C47">
        <w:rPr>
          <w:rStyle w:val="CommentReference"/>
          <w:sz w:val="24"/>
          <w:szCs w:val="24"/>
        </w:rPr>
        <w:commentReference w:id="19"/>
      </w:r>
      <w:r w:rsidR="00542A67">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w:t>
      </w:r>
      <w:r w:rsidR="0048309A">
        <w:t>SM2</w:t>
      </w:r>
      <w:r w:rsidR="00C20C1A">
        <w:t>)</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2AE547B3"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pesticide loads were lowest in the MixE treatments</w:t>
      </w:r>
      <w:r w:rsidR="00C70707">
        <w:t xml:space="preserve"> compared to the other cover crop treatments (</w:t>
      </w:r>
      <w:r w:rsidR="005E2C47">
        <w:t>SM1</w:t>
      </w:r>
      <w:r w:rsidR="00765D21">
        <w:t xml:space="preserve">). </w:t>
      </w:r>
      <w:r w:rsidR="005E2C47" w:rsidRPr="00F279D7">
        <w:rPr>
          <w:highlight w:val="yellow"/>
        </w:rPr>
        <w:t>STOPPED</w:t>
      </w:r>
    </w:p>
    <w:p w14:paraId="59F9E93E" w14:textId="77777777" w:rsidR="002F64DC" w:rsidRDefault="007348E9" w:rsidP="002F64DC">
      <w:pPr>
        <w:spacing w:line="360" w:lineRule="auto"/>
        <w:rPr>
          <w:b/>
          <w:bCs/>
          <w:i/>
          <w:iCs/>
        </w:rPr>
      </w:pPr>
      <w:r w:rsidRPr="007348E9">
        <w:rPr>
          <w:b/>
          <w:bCs/>
          <w:i/>
          <w:iCs/>
        </w:rPr>
        <w:t>3.4 Multi-criteria summary</w:t>
      </w:r>
    </w:p>
    <w:p w14:paraId="7B060C0D" w14:textId="4AA52C4B" w:rsidR="007348E9" w:rsidRDefault="00A80E50" w:rsidP="002F64DC">
      <w:pPr>
        <w:spacing w:line="360" w:lineRule="auto"/>
      </w:pPr>
      <w:r>
        <w:t xml:space="preserve">The system with the highest overall value (assuming equal weighting for all metrics) was the mid-season planted radish (RadM) implemented in a </w:t>
      </w:r>
      <w:r w:rsidR="005515FA">
        <w:t>NT</w:t>
      </w:r>
      <w:r>
        <w:t xml:space="preserve"> system with retained </w:t>
      </w:r>
      <w:r w:rsidR="00274A47">
        <w:t>straw</w:t>
      </w:r>
      <w:r>
        <w:t xml:space="preserve"> (</w:t>
      </w:r>
      <w:r w:rsidRPr="00A80E50">
        <w:rPr>
          <w:b/>
          <w:bCs/>
        </w:rPr>
        <w:t>Figure 5</w:t>
      </w:r>
      <w:r>
        <w:t xml:space="preserve">), while the system with the lowest overall value was the mid-season planted mixture (MixM) implemented in a </w:t>
      </w:r>
      <w:r w:rsidR="005515FA">
        <w:t>NT</w:t>
      </w:r>
      <w:r>
        <w:t xml:space="preserve"> system with </w:t>
      </w:r>
      <w:r w:rsidR="00274A47">
        <w:t>straw</w:t>
      </w:r>
      <w:r>
        <w:t xml:space="preserve"> removal. </w:t>
      </w:r>
      <w:r w:rsidR="003C4420">
        <w:t>Averaged a</w:t>
      </w:r>
      <w:r>
        <w:t xml:space="preserve">cross tillage and </w:t>
      </w:r>
      <w:r w:rsidR="00274A47">
        <w:t>straw</w:t>
      </w:r>
      <w:r>
        <w:t xml:space="preserve"> management systems, the RadM was the best performing cover crop treatment, and the MixM the worst.</w:t>
      </w:r>
      <w:r w:rsidR="00F61077">
        <w:t xml:space="preserve"> The early-planted mixture (MixE) performed well in the inversion tillage system, but poorly in the other tillage systems. The impact of </w:t>
      </w:r>
      <w:r w:rsidR="00274A47">
        <w:t>straw</w:t>
      </w:r>
      <w:r w:rsidR="00F61077">
        <w:t xml:space="preserve"> management on the total value was marginal in the inversion tillage system, but </w:t>
      </w:r>
      <w:r w:rsidR="00274A47">
        <w:t>straw</w:t>
      </w:r>
      <w:r w:rsidR="00F61077">
        <w:t xml:space="preserv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7D227F4E" w14:textId="53F9635B" w:rsidR="007348E9" w:rsidRPr="007348E9" w:rsidRDefault="006A1FE5" w:rsidP="0054576C">
            <w:pPr>
              <w:spacing w:line="360" w:lineRule="auto"/>
              <w:rPr>
                <w:lang w:val="da-DK"/>
              </w:rPr>
            </w:pPr>
            <w:r w:rsidRPr="006A1FE5">
              <w:rPr>
                <w:lang w:val="da-DK"/>
              </w:rPr>
              <w:lastRenderedPageBreak/>
              <w:drawing>
                <wp:inline distT="0" distB="0" distL="0" distR="0" wp14:anchorId="75B43EB7" wp14:editId="724104C8">
                  <wp:extent cx="5516880" cy="5516880"/>
                  <wp:effectExtent l="0" t="0" r="7620" b="7620"/>
                  <wp:docPr id="1405516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16880" cy="5516880"/>
                          </a:xfrm>
                          <a:prstGeom prst="rect">
                            <a:avLst/>
                          </a:prstGeom>
                          <a:noFill/>
                          <a:ln>
                            <a:noFill/>
                          </a:ln>
                        </pic:spPr>
                      </pic:pic>
                    </a:graphicData>
                  </a:graphic>
                </wp:inline>
              </w:drawing>
            </w:r>
          </w:p>
        </w:tc>
      </w:tr>
      <w:tr w:rsidR="007348E9" w14:paraId="5FB38B66" w14:textId="77777777" w:rsidTr="007348E9">
        <w:tc>
          <w:tcPr>
            <w:tcW w:w="9016" w:type="dxa"/>
          </w:tcPr>
          <w:p w14:paraId="130FC98B" w14:textId="07B31DD2"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rsidR="006A1FE5">
              <w:t>l</w:t>
            </w:r>
            <w:r w:rsidRPr="007348E9">
              <w:t>)</w:t>
            </w:r>
            <w:r>
              <w:t>, mitigation of fall nitrate leaching via fall biomass production (Bio</w:t>
            </w:r>
            <w:r w:rsidR="006A1FE5">
              <w:t>m</w:t>
            </w:r>
            <w:r>
              <w:t>), supporting eco</w:t>
            </w:r>
            <w:r w:rsidR="006A1FE5">
              <w:t xml:space="preserve">logical </w:t>
            </w:r>
            <w:r>
              <w:t>systems (Eco</w:t>
            </w:r>
            <w:r w:rsidR="006A1FE5">
              <w:t>l</w:t>
            </w:r>
            <w:r>
              <w:t>), grain production (Gra</w:t>
            </w:r>
            <w:r w:rsidR="006A1FE5">
              <w:t>i</w:t>
            </w:r>
            <w:r>
              <w:t>), perennial weed suppression (</w:t>
            </w:r>
            <w:r w:rsidR="006A1FE5">
              <w:t>Weed</w:t>
            </w:r>
            <w:r>
              <w:t>), and promoting human health and environmental safety (Saf</w:t>
            </w:r>
            <w:r w:rsidR="006A1FE5">
              <w:t>e</w:t>
            </w:r>
            <w:r>
              <w:t>)</w:t>
            </w:r>
            <w:r w:rsidR="00D92540">
              <w:t xml:space="preserve">; rows represent cover crop treatments, and columns represent tillage and </w:t>
            </w:r>
            <w:r w:rsidR="006A1FE5">
              <w:t>residue managements</w:t>
            </w:r>
            <w:r w:rsidR="00D92540">
              <w:t xml:space="preserve">. </w:t>
            </w:r>
          </w:p>
        </w:tc>
      </w:tr>
    </w:tbl>
    <w:p w14:paraId="6B583748" w14:textId="77777777" w:rsidR="007348E9" w:rsidRDefault="007348E9" w:rsidP="0054576C">
      <w:pPr>
        <w:spacing w:line="360" w:lineRule="auto"/>
      </w:pPr>
    </w:p>
    <w:p w14:paraId="639F27A7" w14:textId="13C85B51" w:rsidR="00030F1C" w:rsidRDefault="0068411D" w:rsidP="00030F1C">
      <w:pPr>
        <w:spacing w:line="360" w:lineRule="auto"/>
      </w:pPr>
      <w:r w:rsidRPr="0068411D">
        <w:rPr>
          <w:highlight w:val="yellow"/>
        </w:rPr>
        <w:t>STOPPED</w:t>
      </w: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0FF5562A" w:rsidR="005E150B" w:rsidRDefault="000347C5" w:rsidP="00045088">
      <w:pPr>
        <w:spacing w:line="360" w:lineRule="auto"/>
      </w:pPr>
      <w:r w:rsidRPr="00A75203">
        <w:t xml:space="preserve">The average grain yields </w:t>
      </w:r>
      <w:r w:rsidR="005E150B">
        <w:t xml:space="preserve">in each year </w:t>
      </w:r>
      <w:r w:rsidRPr="00A75203">
        <w:t>of the present study were lower than national averages for the same crops in the same years [4.28 Mg ha</w:t>
      </w:r>
      <w:r w:rsidRPr="0068411D">
        <w:rPr>
          <w:vertAlign w:val="superscript"/>
        </w:rPr>
        <w:t>-1</w:t>
      </w:r>
      <w:r w:rsidRPr="00A75203">
        <w:t xml:space="preserve"> spring barley, 4.94 </w:t>
      </w:r>
      <w:r w:rsidR="0068411D" w:rsidRPr="00A75203">
        <w:t>Mg ha</w:t>
      </w:r>
      <w:r w:rsidR="0068411D" w:rsidRPr="0068411D">
        <w:rPr>
          <w:vertAlign w:val="superscript"/>
        </w:rPr>
        <w:t>-1</w:t>
      </w:r>
      <w:r w:rsidR="0068411D">
        <w:rPr>
          <w:vertAlign w:val="superscript"/>
        </w:rPr>
        <w:t xml:space="preserve"> </w:t>
      </w:r>
      <w:r w:rsidRPr="00A75203">
        <w:t>oats, and 4.08 Mg ha</w:t>
      </w:r>
      <w:r w:rsidR="0068411D" w:rsidRPr="0068411D">
        <w:rPr>
          <w:vertAlign w:val="superscript"/>
        </w:rPr>
        <w:t>-1</w:t>
      </w:r>
      <w:r w:rsidRPr="00A75203">
        <w:t xml:space="preserve">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xml:space="preserve">], but the maximum grain yields observed each </w:t>
      </w:r>
      <w:r w:rsidRPr="00A75203">
        <w:lastRenderedPageBreak/>
        <w:t>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0644607B" w:rsidR="00EF786B" w:rsidRPr="00561BED" w:rsidRDefault="002F64DC" w:rsidP="00EF786B">
      <w:pPr>
        <w:spacing w:line="360" w:lineRule="auto"/>
        <w:rPr>
          <w:lang w:val="en-US"/>
        </w:rPr>
      </w:pPr>
      <w:r>
        <w:t xml:space="preserve">Consistent with our hypothesis, no single system performed the best in all categories (Figure 5). While the best </w:t>
      </w:r>
      <w:r w:rsidR="00150FA9">
        <w:t xml:space="preserve">overall </w:t>
      </w:r>
      <w:r>
        <w:t>performance was seen in mid-season planted radish</w:t>
      </w:r>
      <w:r w:rsidR="006B61B6">
        <w:t xml:space="preserve"> in a NT system with straw retention, </w:t>
      </w:r>
      <w:r>
        <w:t xml:space="preserve">mid-season planted </w:t>
      </w:r>
      <w:r w:rsidR="00EF786B">
        <w:t>radish performed well in the majority of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w:t>
      </w:r>
      <w:r w:rsidR="0068411D">
        <w:t xml:space="preserve">in our environment, </w:t>
      </w:r>
      <w:r w:rsidR="00150FA9">
        <w:t xml:space="preserve">planting </w:t>
      </w:r>
      <w:r w:rsidR="0068411D">
        <w:t xml:space="preserve">the </w:t>
      </w:r>
      <w:r w:rsidR="00150FA9">
        <w:t>radish</w:t>
      </w:r>
      <w:r w:rsidR="0068411D">
        <w:t xml:space="preserve"> cover crop</w:t>
      </w:r>
      <w:r w:rsidR="00150FA9">
        <w:t xml:space="preserve"> before </w:t>
      </w:r>
      <w:r w:rsidR="0068411D">
        <w:t xml:space="preserve">cash </w:t>
      </w:r>
      <w:r w:rsidR="00150FA9">
        <w:t xml:space="preserve">crop harvest was necessary to achieve beneficial outcomes, as </w:t>
      </w:r>
      <w:r>
        <w:t xml:space="preserve">radish cover crops planted after crop harvest (as well as the mid-season planted cover crop mixture) </w:t>
      </w:r>
      <w:r w:rsidR="00150FA9">
        <w:t>had poorer overall performance, s</w:t>
      </w:r>
      <w:r>
        <w:t xml:space="preserve">imilar to the no-cover control. </w:t>
      </w:r>
      <w:r w:rsidR="00150FA9">
        <w:t>I</w:t>
      </w:r>
      <w:r w:rsidR="00EF786B">
        <w:t xml:space="preserve">n Northern latitudes where available heat units reduce quickly following August cash crop harvests, </w:t>
      </w:r>
      <w:r w:rsidR="006B61B6">
        <w:t>it is</w:t>
      </w:r>
      <w:r w:rsidR="0068411D">
        <w:t xml:space="preserve"> likely</w:t>
      </w:r>
      <w:r w:rsidR="006B61B6">
        <w:t xml:space="preserve">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68411D">
        <w:t>T</w:t>
      </w:r>
      <w:r w:rsidR="00561BED">
        <w:t>he early planting restricted herbicide use, and w</w:t>
      </w:r>
      <w:r w:rsidR="006B61B6">
        <w:t>hen tillage was reduced</w:t>
      </w:r>
      <w:r w:rsidR="00561BED">
        <w:t xml:space="preserve"> this led to an increase in</w:t>
      </w:r>
      <w:r w:rsidR="006B61B6">
        <w:t xml:space="preserve"> perennial weeds</w:t>
      </w:r>
      <w:r w:rsidR="00561BED">
        <w:t>, which in turn led to lower crop yields</w:t>
      </w:r>
      <w:r w:rsidR="0068411D">
        <w:t xml:space="preserve"> – however, retaining residue helped reduce the perennial weeds </w:t>
      </w:r>
      <w:r w:rsidR="008F07A4">
        <w:t xml:space="preserve">in these low herbicide and reduced tillage systems.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8F07A4">
        <w:t>, but that residue retention</w:t>
      </w:r>
      <w:r w:rsidR="00F73EE2">
        <w:t xml:space="preserve"> in annual crop rotations</w:t>
      </w:r>
      <w:r w:rsidR="008F07A4">
        <w:t xml:space="preserve"> may help alleviate perennial weed pressure</w:t>
      </w:r>
      <w:r w:rsidR="00E20673">
        <w:t xml:space="preserve">. </w:t>
      </w:r>
    </w:p>
    <w:p w14:paraId="2879514D" w14:textId="2A4FA659" w:rsidR="00E20673" w:rsidRPr="00561BED" w:rsidRDefault="00EF786B" w:rsidP="00E20673">
      <w:pPr>
        <w:spacing w:line="360" w:lineRule="auto"/>
        <w:rPr>
          <w:lang w:val="en-US"/>
        </w:rPr>
      </w:pPr>
      <w:r>
        <w:lastRenderedPageBreak/>
        <w:t xml:space="preserve">Of the management practices investigated, </w:t>
      </w:r>
      <w:r w:rsidR="00E20673">
        <w:t>residue</w:t>
      </w:r>
      <w:r>
        <w:t xml:space="preserve"> management (retention or removal) had the weakest impacts on the outcomes evaluated in this study. Particularly for small grains, </w:t>
      </w:r>
      <w:r w:rsidR="00274A47">
        <w:t>straw</w:t>
      </w:r>
      <w:r>
        <w:t xml:space="preserv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w:t>
      </w:r>
      <w:r w:rsidR="00E20673">
        <w:t>In our systems, these</w:t>
      </w:r>
      <w:r>
        <w:t xml:space="preserve"> weak effects could be due to the incomplete removal of straw using a two-pass system wherein the straw is removed after grain has been harvested, resulting in around 60% of the straw being removed.</w:t>
      </w:r>
      <w:r w:rsidR="00E20673" w:rsidRPr="00E20673">
        <w:t xml:space="preserve"> </w:t>
      </w:r>
      <w:r w:rsidR="00E20673">
        <w:t xml:space="preserve">However, </w:t>
      </w:r>
      <w:r w:rsidR="007F7E2A">
        <w:t xml:space="preserve">in the long-term </w:t>
      </w:r>
      <w:r w:rsidR="00E20673">
        <w:t xml:space="preserve">residue management impacts </w:t>
      </w:r>
      <w:r w:rsidR="00E20673">
        <w:t xml:space="preserve">soil </w:t>
      </w:r>
      <w:r w:rsidR="007F7E2A">
        <w:t xml:space="preserve">function and </w:t>
      </w:r>
      <w:r w:rsidR="00E20673">
        <w:t xml:space="preserve">biological activity </w:t>
      </w:r>
      <w:r w:rsidR="00E20673">
        <w:fldChar w:fldCharType="begin"/>
      </w:r>
      <w:r w:rsidR="007F7E2A">
        <w:instrText xml:space="preserve"> ADDIN ZOTERO_ITEM CSL_CITATION {"citationID":"rk4hFkZR","properties":{"formattedCitation":"(G\\uc0\\u243{}mez-Mu\\uc0\\u241{}oz et al., 2021; Hansen et al., 2015; Thomopoulos et al., 2025)","plainCitation":"(Gómez-Muñoz et al., 2021; Hansen et al., 2015; Thomopoulos et al., 2025)","noteIndex":0},"citationItems":[{"id":2249,"uris":["http://zotero.org/users/3599437/items/XA52MIYG"],"itemData":{"id":2249,"type":"article-journal","abstract":"The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E."},{"family":"Melander","given":"B."}],"issued":{"date-parts":[["2015"]]}}},{"id":2154,"uris":["http://zotero.org/users/3599437/items/D6HAZS9B"],"itemData":{"id":2154,"type":"article-journal","abstract":"Conservation practices such as direct sowing and residue incorporation are crucial for enhancing soil health. This study investigated the long-term effects of different tillage practices and crop residue management on soil biological and physical health indices to elucidate their interconnections. The impact of tillage intensity (direct sowing, harrowing, moldboard ploughing) was assessed in combination with residue management (retention or removal) across two soil depths (0–10 and 10–20 cm) and two experimental sites. Measurements included three soil biological indicators—two fatty-acid biomarkers of arbuscular mycorrhizal fungi (AMF) and easily extractable glomalin-related soil protein (EE) − as well as two soil physical indices (water-stable aggregates (WSA), and clay dispersibility), five soil pore characteristics (air permeability, gas diffusivity, tortuosity, total porosity, air-filled porosity, and volumetric water content) and soil organic carbon (SOC). Conservation agriculture practices increased the presence of AMF, while the importance of considering soil depth in AMF biomass measurements was underscored. Harrowing and direct sowing treatments result</w:instrText>
      </w:r>
      <w:r w:rsidR="007F7E2A" w:rsidRPr="007F7E2A">
        <w:rPr>
          <w:lang w:val="da-DK"/>
        </w:rPr>
        <w:instrText>ed in a vertical stratification of SOC. Residue retention increase</w:instrText>
      </w:r>
      <w:r w:rsidR="007F7E2A" w:rsidRPr="007F7E2A">
        <w:rPr>
          <w:lang w:val="en-US"/>
        </w:rPr>
        <w:instrText xml:space="preserve">d SOC levels by 5 % and 15 % at the two sites and only significantly at the latter. Minimal soil disturbance enhanced wet aggregate stability by 14 % on average but negatively affected pore characteristics. AMF played a critical role in soil aggregate stability, evidenced by a strong correlation (r = 0.68 and r = 0.86 in the two sites) between hyphal networks and WSA. The study also demonstrated that direct sowing strengthened the relationship between EE and AMF (r = 0.52 and r = 0.64 for the two sites). In minimally disturbed soils, AMF contributed to a complex pore structure, with this effect being more closely related to EE than to the hyphal network. These findings underscore the significant role of AMF in maintaining soil health under various tillage practices and residue management strategies.","container-title":"Geoderma","DOI":"10.1016/j.geoderma.2025.117204","ISSN":"0016-7061","journalAbbreviation":"Geoderma","page":"117204","source":"ScienceDirect","title":"Tillage and residue management modulate the links between soil physical signatures and arbuscular mycorrhizal fungal biomarkers","volume":"454","author":[{"family":"Thomopoulos","given":"Stamatios"},{"family":"Munkholm","given":"Lars Juhl"},{"family":"Elsgaard","given":"Lars"},{"family":"Ravnskov","given":"Sabine"}],"issued":{"date-parts":[["2025",2,1]]}}}],"schema":"https://github.com/citation-style-language/schema/raw/master/csl-citation.json"} </w:instrText>
      </w:r>
      <w:r w:rsidR="00E20673">
        <w:fldChar w:fldCharType="separate"/>
      </w:r>
      <w:r w:rsidR="007F7E2A" w:rsidRPr="007F7E2A">
        <w:rPr>
          <w:lang w:val="en-US"/>
        </w:rPr>
        <w:t>(Gómez-Muñoz et al., 2021; Hansen et al., 2015; Thomopoulos et al., 2025)</w:t>
      </w:r>
      <w:r w:rsidR="00E20673">
        <w:fldChar w:fldCharType="end"/>
      </w:r>
      <w:r w:rsidR="007F7E2A">
        <w:t xml:space="preserve">, while also </w:t>
      </w:r>
      <w:r w:rsidR="00E20673">
        <w:rPr>
          <w:lang w:val="en-US"/>
        </w:rPr>
        <w:t>represent</w:t>
      </w:r>
      <w:r w:rsidR="007F7E2A">
        <w:rPr>
          <w:lang w:val="en-US"/>
        </w:rPr>
        <w:t>ing</w:t>
      </w:r>
      <w:r w:rsidR="00E20673">
        <w:rPr>
          <w:lang w:val="en-US"/>
        </w:rPr>
        <w:t xml:space="preserve"> an income stream for producers</w:t>
      </w:r>
      <w:r w:rsidR="007F7E2A">
        <w:rPr>
          <w:lang w:val="en-US"/>
        </w:rPr>
        <w:t xml:space="preserve">. While this analysis focused on short-term biophysical impacts, an </w:t>
      </w:r>
      <w:r w:rsidR="00E20673">
        <w:rPr>
          <w:lang w:val="en-US"/>
        </w:rPr>
        <w:t xml:space="preserve">analysis that includes </w:t>
      </w:r>
      <w:r w:rsidR="007F7E2A">
        <w:rPr>
          <w:lang w:val="en-US"/>
        </w:rPr>
        <w:t xml:space="preserve">more holistic and long-term </w:t>
      </w:r>
      <w:r w:rsidR="00E20673">
        <w:rPr>
          <w:lang w:val="en-US"/>
        </w:rPr>
        <w:t xml:space="preserve">outcomes </w:t>
      </w:r>
      <w:r w:rsidR="007F7E2A">
        <w:rPr>
          <w:lang w:val="en-US"/>
        </w:rPr>
        <w:t xml:space="preserve">coupled with </w:t>
      </w:r>
      <w:r w:rsidR="00E20673">
        <w:rPr>
          <w:lang w:val="en-US"/>
        </w:rPr>
        <w:t>producer-weighted value</w:t>
      </w:r>
      <w:r w:rsidR="007F7E2A">
        <w:rPr>
          <w:lang w:val="en-US"/>
        </w:rPr>
        <w:t xml:space="preserve">s for each outcome </w:t>
      </w:r>
      <w:r w:rsidR="00E20673">
        <w:rPr>
          <w:lang w:val="en-US"/>
        </w:rPr>
        <w:t xml:space="preserve">would </w:t>
      </w:r>
      <w:r w:rsidR="007F7E2A">
        <w:rPr>
          <w:lang w:val="en-US"/>
        </w:rPr>
        <w:t>offer a more complete picture of system tradeoffs</w:t>
      </w:r>
      <w:r w:rsidR="00E20673">
        <w:rPr>
          <w:lang w:val="en-US"/>
        </w:rPr>
        <w:t xml:space="preserve"> </w:t>
      </w:r>
      <w:r w:rsidR="00E20673">
        <w:rPr>
          <w:lang w:val="en-US"/>
        </w:rPr>
        <w:fldChar w:fldCharType="begin"/>
      </w:r>
      <w:r w:rsidR="00E20673">
        <w:rPr>
          <w:lang w:val="en-US"/>
        </w:rPr>
        <w:instrText xml:space="preserve"> ADDIN ZOTERO_ITEM CSL_CITATION {"citationID":"LKGrJkKI","properties":{"formattedCitation":"(Upadhaya et al., 2021)","plainCitation":"(Upadhaya et al., 2021)","noteIndex":0},"citationItems":[{"id":1893,"uris":["http://zotero.org/users/3599437/items/LSNN9K5D"],"itemData":{"id":1893,"type":"article-journal","abstract":"Understanding factors that motivate conservation behavior among farmers is crucial to addressing societal, soil, water, and wildlife conservation goals. Farmers employ soil conservation practices to maintain agricultural productivity while minimizing impacts to water and wildlife in the long-term. The majority of conservation programs are voluntary in nature and some farmers are more willing and/or able to implement conservation practices than others. To inform the development of more effective conservation outreach and incentive programs, we created a farmer typology using data from three waves (2015, 2016, 2018) of a longitudinal survey of 358 farmers from Iowa, a highly productive agricultural state in the U.S. Midwest. Using multivariate analysis (Principal Component Analysis, and Cluster Analysis), we employed 26 summated scale variables measuring largely unobservable and latent constructs related to conservation, including awareness, attitudes, beliefs, and perceived motivations and barriers to practice adoption. Through this analysis, we identified four types of farmers-Conservationist, Deliberative, Productivist, and Traditionalist—based on the salient characteristics of each group. “Conservationist” farmers scored highest on measures of stewardship motivations and identity. “Deliberative” farmers appeared to be favorably disposed toward conservation, but also seem to consider agronomic and economic impediments more than other groups. “Productivist” farmers had the highest scores on profit motivation and emphasis on input use. “Traditionalist” farmers reported being heavily influenced by family members and scored highest on social and regulatory influence on conservation motivations. Detailed understanding of between-groups differences on key conservation-related factors can contribute to developing targeted messages for specific subgroups of a given population, potentially resulting in higher adoption of voluntary conservation programs in Iowa and beyond.","container-title":"Land Use Policy","DOI":"10.1016/j.landusepol.2020.105157","ISSN":"0264-8377","journalAbbreviation":"Land Use Policy","page":"105157","source":"ScienceDirect","title":"Developing farmer typologies to inform conservation outreach in agricultural landscapes","volume":"101","author":[{"family":"Upadhaya","given":"Suraj"},{"family":"Arbuckle","given":"J. Gordon"},{"family":"Schulte","given":"Lisa A."}],"issued":{"date-parts":[["2021",2,1]]}}}],"schema":"https://github.com/citation-style-language/schema/raw/master/csl-citation.json"} </w:instrText>
      </w:r>
      <w:r w:rsidR="00E20673">
        <w:rPr>
          <w:lang w:val="en-US"/>
        </w:rPr>
        <w:fldChar w:fldCharType="separate"/>
      </w:r>
      <w:r w:rsidR="00E20673" w:rsidRPr="00E20673">
        <w:t>(Upadhaya et al., 2021)</w:t>
      </w:r>
      <w:r w:rsidR="00E20673">
        <w:rPr>
          <w:lang w:val="en-US"/>
        </w:rPr>
        <w:fldChar w:fldCharType="end"/>
      </w:r>
      <w:r w:rsidR="00E20673">
        <w:rPr>
          <w:lang w:val="en-US"/>
        </w:rPr>
        <w:t xml:space="preserve">. </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5814001A"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In our study, </w:t>
      </w:r>
      <w:r w:rsidR="00FB0CED">
        <w:t xml:space="preserve">the high ecological value of the radish systems </w:t>
      </w:r>
      <w:r>
        <w:t xml:space="preserve">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was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lastRenderedPageBreak/>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In this study we gave equal weight to each category – in reality these weights would differ according to farmer values and priorities, as well as policy and financial contexts. Utilizing different weightings to represent these different contexts could help identify</w:t>
      </w:r>
      <w:r w:rsidRPr="006F4E10">
        <w:t xml:space="preserve"> systems best suited to certain farm ideotypes, or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38BFDDEA" w14:textId="77777777" w:rsidR="007F7E2A" w:rsidRDefault="00602609" w:rsidP="007F7E2A">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7F7E2A">
        <w:t xml:space="preserve">Adeux, G., Cordeau, S., Antichi, D., Carlesi, S., Mazzoncini, M., Munier-Jolain, N., &amp; Bàrberi, P. (2021). Cover crops promote crop productivity but do not enhance weed management in tillage-based cropping systems. </w:t>
      </w:r>
      <w:r w:rsidR="007F7E2A">
        <w:rPr>
          <w:i/>
          <w:iCs/>
        </w:rPr>
        <w:t>European Journal of Agronomy</w:t>
      </w:r>
      <w:r w:rsidR="007F7E2A">
        <w:t xml:space="preserve">, </w:t>
      </w:r>
      <w:r w:rsidR="007F7E2A">
        <w:rPr>
          <w:i/>
          <w:iCs/>
        </w:rPr>
        <w:t>123</w:t>
      </w:r>
      <w:r w:rsidR="007F7E2A">
        <w:t>, 126221. https://doi.org/10.1016/j.eja.2020.126221</w:t>
      </w:r>
    </w:p>
    <w:p w14:paraId="33B134BF" w14:textId="77777777" w:rsidR="007F7E2A" w:rsidRDefault="007F7E2A" w:rsidP="007F7E2A">
      <w:pPr>
        <w:pStyle w:val="Bibliography"/>
      </w:pPr>
      <w:r>
        <w:t xml:space="preserve">Adeux, G., Rodriguez, A., Penato, C., Antichi, D., Carlesi, S., Sbrana, M., Bàrberi, P., &amp; Cordeau, S. (2023). Long-term cover cropping in tillage-based systems filters weed </w:t>
      </w:r>
      <w:r>
        <w:lastRenderedPageBreak/>
        <w:t xml:space="preserve">community phenology: A seedbank analysis. </w:t>
      </w:r>
      <w:r>
        <w:rPr>
          <w:i/>
          <w:iCs/>
        </w:rPr>
        <w:t>Field Crops Research</w:t>
      </w:r>
      <w:r>
        <w:t xml:space="preserve">, </w:t>
      </w:r>
      <w:r>
        <w:rPr>
          <w:i/>
          <w:iCs/>
        </w:rPr>
        <w:t>291</w:t>
      </w:r>
      <w:r>
        <w:t>, 108769. https://doi.org/10.1016/j.fcr.2022.108769</w:t>
      </w:r>
    </w:p>
    <w:p w14:paraId="30415BF4" w14:textId="77777777" w:rsidR="007F7E2A" w:rsidRDefault="007F7E2A" w:rsidP="007F7E2A">
      <w:pPr>
        <w:pStyle w:val="Bibliography"/>
      </w:pPr>
      <w:r>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56716DF1" w14:textId="77777777" w:rsidR="007F7E2A" w:rsidRDefault="007F7E2A" w:rsidP="007F7E2A">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58938945" w14:textId="77777777" w:rsidR="007F7E2A" w:rsidRDefault="007F7E2A" w:rsidP="007F7E2A">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2F060A4A" w14:textId="77777777" w:rsidR="007F7E2A" w:rsidRDefault="007F7E2A" w:rsidP="007F7E2A">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15C573C8" w14:textId="77777777" w:rsidR="007F7E2A" w:rsidRDefault="007F7E2A" w:rsidP="007F7E2A">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52F76A4A" w14:textId="77777777" w:rsidR="007F7E2A" w:rsidRDefault="007F7E2A" w:rsidP="007F7E2A">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78B58048" w14:textId="77777777" w:rsidR="007F7E2A" w:rsidRDefault="007F7E2A" w:rsidP="007F7E2A">
      <w:pPr>
        <w:pStyle w:val="Bibliography"/>
      </w:pPr>
      <w:r>
        <w:lastRenderedPageBreak/>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66073D78" w14:textId="77777777" w:rsidR="007F7E2A" w:rsidRDefault="007F7E2A" w:rsidP="007F7E2A">
      <w:pPr>
        <w:pStyle w:val="Bibliography"/>
      </w:pPr>
      <w:r>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3ECE136A" w14:textId="77777777" w:rsidR="007F7E2A" w:rsidRDefault="007F7E2A" w:rsidP="007F7E2A">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02CB95CA" w14:textId="77777777" w:rsidR="007F7E2A" w:rsidRDefault="007F7E2A" w:rsidP="007F7E2A">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573E1669" w14:textId="77777777" w:rsidR="007F7E2A" w:rsidRPr="007F7E2A" w:rsidRDefault="007F7E2A" w:rsidP="007F7E2A">
      <w:pPr>
        <w:pStyle w:val="Bibliography"/>
        <w:rPr>
          <w:lang w:val="da-DK"/>
        </w:rPr>
      </w:pPr>
      <w:r>
        <w:t xml:space="preserve">Cusser, S., Bahlai, C., Swinton, S. M., Robertson, G. P., &amp; Haddad, N. M. (2020). Long-term research avoids spurious and misleading trends in sustainability attributes of no-till. </w:t>
      </w:r>
      <w:r w:rsidRPr="007F7E2A">
        <w:rPr>
          <w:i/>
          <w:iCs/>
          <w:lang w:val="da-DK"/>
        </w:rPr>
        <w:t>Global Change Biology</w:t>
      </w:r>
      <w:r w:rsidRPr="007F7E2A">
        <w:rPr>
          <w:lang w:val="da-DK"/>
        </w:rPr>
        <w:t xml:space="preserve">, </w:t>
      </w:r>
      <w:r w:rsidRPr="007F7E2A">
        <w:rPr>
          <w:i/>
          <w:iCs/>
          <w:lang w:val="da-DK"/>
        </w:rPr>
        <w:t>26</w:t>
      </w:r>
      <w:r w:rsidRPr="007F7E2A">
        <w:rPr>
          <w:lang w:val="da-DK"/>
        </w:rPr>
        <w:t>(6), 3715–3725. https://doi.org/10.1111/gcb.15080</w:t>
      </w:r>
    </w:p>
    <w:p w14:paraId="03EEA48D" w14:textId="77777777" w:rsidR="007F7E2A" w:rsidRDefault="007F7E2A" w:rsidP="007F7E2A">
      <w:pPr>
        <w:pStyle w:val="Bibliography"/>
      </w:pPr>
      <w:r w:rsidRPr="007F7E2A">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752B56A3" w14:textId="77777777" w:rsidR="007F7E2A" w:rsidRDefault="007F7E2A" w:rsidP="007F7E2A">
      <w:pPr>
        <w:pStyle w:val="Bibliography"/>
      </w:pPr>
      <w:r>
        <w:lastRenderedPageBreak/>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1AA7ABDF" w14:textId="77777777" w:rsidR="007F7E2A" w:rsidRDefault="007F7E2A" w:rsidP="007F7E2A">
      <w:pPr>
        <w:pStyle w:val="Bibliography"/>
      </w:pPr>
      <w:r>
        <w:t xml:space="preserve">DMI. (2025). </w:t>
      </w:r>
      <w:r>
        <w:rPr>
          <w:i/>
          <w:iCs/>
        </w:rPr>
        <w:t>Denmark Meteorological Institute Open Data</w:t>
      </w:r>
      <w:r>
        <w:t>. https://www.dmi.dk/friedata/dokumentation/data</w:t>
      </w:r>
    </w:p>
    <w:p w14:paraId="2D7938D8" w14:textId="77777777" w:rsidR="007F7E2A" w:rsidRDefault="007F7E2A" w:rsidP="007F7E2A">
      <w:pPr>
        <w:pStyle w:val="Bibliography"/>
      </w:pPr>
      <w:r w:rsidRPr="007F7E2A">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1E867E1A" w14:textId="77777777" w:rsidR="007F7E2A" w:rsidRDefault="007F7E2A" w:rsidP="007F7E2A">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28A077CD" w14:textId="77777777" w:rsidR="007F7E2A" w:rsidRDefault="007F7E2A" w:rsidP="007F7E2A">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2F20AA79" w14:textId="77777777" w:rsidR="007F7E2A" w:rsidRDefault="007F7E2A" w:rsidP="007F7E2A">
      <w:pPr>
        <w:pStyle w:val="Bibliography"/>
      </w:pPr>
      <w:r>
        <w:t xml:space="preserve">FAO. (2023). </w:t>
      </w:r>
      <w:r>
        <w:rPr>
          <w:i/>
          <w:iCs/>
        </w:rPr>
        <w:t>Crop and Livestock Products</w:t>
      </w:r>
      <w:r>
        <w:t xml:space="preserve"> [Dataset]. Food and Agriculture Organization of the United Nations. https://www.fao.org/faostat/en/#data/QCL</w:t>
      </w:r>
    </w:p>
    <w:p w14:paraId="1338A3E0" w14:textId="77777777" w:rsidR="007F7E2A" w:rsidRDefault="007F7E2A" w:rsidP="007F7E2A">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7EF37986" w14:textId="77777777" w:rsidR="007F7E2A" w:rsidRDefault="007F7E2A" w:rsidP="007F7E2A">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5D8A0FE0" w14:textId="77777777" w:rsidR="007F7E2A" w:rsidRDefault="007F7E2A" w:rsidP="007F7E2A">
      <w:pPr>
        <w:pStyle w:val="Bibliography"/>
      </w:pPr>
      <w:r>
        <w:lastRenderedPageBreak/>
        <w:t xml:space="preserve">Gentili, M., Nichols, V., Jørgensen, J. R., Jørgensen, R. N., &amp; Gislum, R. (in review). Functional Roles of Weeds in Arable Ecosystems: A Review of Methods to Assess Eco-system Services and Disservices. </w:t>
      </w:r>
      <w:r>
        <w:rPr>
          <w:i/>
          <w:iCs/>
        </w:rPr>
        <w:t>Weed Research</w:t>
      </w:r>
      <w:r>
        <w:t>.</w:t>
      </w:r>
    </w:p>
    <w:p w14:paraId="148FEA81" w14:textId="77777777" w:rsidR="007F7E2A" w:rsidRDefault="007F7E2A" w:rsidP="007F7E2A">
      <w:pPr>
        <w:pStyle w:val="Bibliography"/>
      </w:pPr>
      <w:r>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70242071" w14:textId="77777777" w:rsidR="007F7E2A" w:rsidRDefault="007F7E2A" w:rsidP="007F7E2A">
      <w:pPr>
        <w:pStyle w:val="Bibliography"/>
      </w:pPr>
      <w:r w:rsidRPr="007F7E2A">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34FD7721" w14:textId="77777777" w:rsidR="007F7E2A" w:rsidRDefault="007F7E2A" w:rsidP="007F7E2A">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7ACFEC00" w14:textId="77777777" w:rsidR="007F7E2A" w:rsidRDefault="007F7E2A" w:rsidP="007F7E2A">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159DB2FD" w14:textId="77777777" w:rsidR="007F7E2A" w:rsidRDefault="007F7E2A" w:rsidP="007F7E2A">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5DE85878" w14:textId="77777777" w:rsidR="007F7E2A" w:rsidRDefault="007F7E2A" w:rsidP="007F7E2A">
      <w:pPr>
        <w:pStyle w:val="Bibliography"/>
      </w:pPr>
      <w:r>
        <w:lastRenderedPageBreak/>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3596D527" w14:textId="77777777" w:rsidR="007F7E2A" w:rsidRDefault="007F7E2A" w:rsidP="007F7E2A">
      <w:pPr>
        <w:pStyle w:val="Bibliography"/>
      </w:pPr>
      <w:r w:rsidRPr="007F7E2A">
        <w:rPr>
          <w:lang w:val="da-DK"/>
        </w:rPr>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767BFFAC" w14:textId="77777777" w:rsidR="007F7E2A" w:rsidRDefault="007F7E2A" w:rsidP="007F7E2A">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0E0C66C5" w14:textId="77777777" w:rsidR="007F7E2A" w:rsidRDefault="007F7E2A" w:rsidP="007F7E2A">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0CCF3BA8" w14:textId="77777777" w:rsidR="007F7E2A" w:rsidRDefault="007F7E2A" w:rsidP="007F7E2A">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05305654" w14:textId="77777777" w:rsidR="007F7E2A" w:rsidRDefault="007F7E2A" w:rsidP="007F7E2A">
      <w:pPr>
        <w:pStyle w:val="Bibliography"/>
      </w:pPr>
      <w:r>
        <w:t xml:space="preserve">Lenth, R. V. (2024). </w:t>
      </w:r>
      <w:r>
        <w:rPr>
          <w:i/>
          <w:iCs/>
        </w:rPr>
        <w:t>emmeans: Estimated Marginal Means, aka Least-Squares Means</w:t>
      </w:r>
      <w:r>
        <w:t>. https://CRAN.R-project.org/package=emmeans</w:t>
      </w:r>
    </w:p>
    <w:p w14:paraId="2A6C9422" w14:textId="77777777" w:rsidR="007F7E2A" w:rsidRDefault="007F7E2A" w:rsidP="007F7E2A">
      <w:pPr>
        <w:pStyle w:val="Bibliography"/>
      </w:pPr>
      <w:r w:rsidRPr="007F7E2A">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227B97FF" w14:textId="77777777" w:rsidR="007F7E2A" w:rsidRDefault="007F7E2A" w:rsidP="007F7E2A">
      <w:pPr>
        <w:pStyle w:val="Bibliography"/>
      </w:pPr>
      <w:r>
        <w:lastRenderedPageBreak/>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7A82DB96" w14:textId="77777777" w:rsidR="007F7E2A" w:rsidRDefault="007F7E2A" w:rsidP="007F7E2A">
      <w:pPr>
        <w:pStyle w:val="Bibliography"/>
      </w:pPr>
      <w:r>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092F146A" w14:textId="77777777" w:rsidR="007F7E2A" w:rsidRDefault="007F7E2A" w:rsidP="007F7E2A">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6E2ED0FD" w14:textId="77777777" w:rsidR="007F7E2A" w:rsidRDefault="007F7E2A" w:rsidP="007F7E2A">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151479BE" w14:textId="77777777" w:rsidR="007F7E2A" w:rsidRDefault="007F7E2A" w:rsidP="007F7E2A">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4D8F1D01" w14:textId="77777777" w:rsidR="007F7E2A" w:rsidRDefault="007F7E2A" w:rsidP="007F7E2A">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065884EF" w14:textId="77777777" w:rsidR="007F7E2A" w:rsidRDefault="007F7E2A" w:rsidP="007F7E2A">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CF088F0" w14:textId="77777777" w:rsidR="007F7E2A" w:rsidRDefault="007F7E2A" w:rsidP="007F7E2A">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02C216F0" w14:textId="77777777" w:rsidR="007F7E2A" w:rsidRDefault="007F7E2A" w:rsidP="007F7E2A">
      <w:pPr>
        <w:pStyle w:val="Bibliography"/>
      </w:pPr>
      <w:r>
        <w:lastRenderedPageBreak/>
        <w:t xml:space="preserve">Moreau, D., Pointurier, O., Nicolardot, B., Villerd, J., &amp; Colbach, N. (2020). In which cropping systems can residual weeds reduce nitrate leaching and soil erosion? </w:t>
      </w:r>
      <w:r>
        <w:rPr>
          <w:i/>
          <w:iCs/>
        </w:rPr>
        <w:t>European Journal of Agronomy</w:t>
      </w:r>
      <w:r>
        <w:t xml:space="preserve">, </w:t>
      </w:r>
      <w:r>
        <w:rPr>
          <w:i/>
          <w:iCs/>
        </w:rPr>
        <w:t>119</w:t>
      </w:r>
      <w:r>
        <w:t>, 126015. https://doi.org/10.1016/j.eja.2020.126015</w:t>
      </w:r>
    </w:p>
    <w:p w14:paraId="6AF6AE0E" w14:textId="77777777" w:rsidR="007F7E2A" w:rsidRDefault="007F7E2A" w:rsidP="007F7E2A">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14804A20" w14:textId="77777777" w:rsidR="007F7E2A" w:rsidRDefault="007F7E2A" w:rsidP="007F7E2A">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18A85B8F" w14:textId="77777777" w:rsidR="007F7E2A" w:rsidRDefault="007F7E2A" w:rsidP="007F7E2A">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0DCD3DB1" w14:textId="77777777" w:rsidR="007F7E2A" w:rsidRDefault="007F7E2A" w:rsidP="007F7E2A">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15C46062" w14:textId="77777777" w:rsidR="007F7E2A" w:rsidRDefault="007F7E2A" w:rsidP="007F7E2A">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29B2421B" w14:textId="77777777" w:rsidR="007F7E2A" w:rsidRDefault="007F7E2A" w:rsidP="007F7E2A">
      <w:pPr>
        <w:pStyle w:val="Bibliography"/>
      </w:pPr>
      <w:r>
        <w:t xml:space="preserve">Pittelkow, C. M., Liang, X., Linquist, B. A., van Groenigen, K. J., Lee, J., Lundy, M. E., van Gestel, N., Six, J., Venterea, R. T., &amp; van Kessel, C. (2015). Productivity limits and </w:t>
      </w:r>
      <w:r>
        <w:lastRenderedPageBreak/>
        <w:t xml:space="preserve">potentials of the principles of conservation agriculture. </w:t>
      </w:r>
      <w:r>
        <w:rPr>
          <w:i/>
          <w:iCs/>
        </w:rPr>
        <w:t>Nature</w:t>
      </w:r>
      <w:r>
        <w:t xml:space="preserve">, </w:t>
      </w:r>
      <w:r>
        <w:rPr>
          <w:i/>
          <w:iCs/>
        </w:rPr>
        <w:t>517</w:t>
      </w:r>
      <w:r>
        <w:t>(7534), 365–368. https://doi.org/10.1038/nature13809</w:t>
      </w:r>
    </w:p>
    <w:p w14:paraId="369EC99F" w14:textId="77777777" w:rsidR="007F7E2A" w:rsidRDefault="007F7E2A" w:rsidP="007F7E2A">
      <w:pPr>
        <w:pStyle w:val="Bibliography"/>
      </w:pPr>
      <w:r>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04A99B01" w14:textId="77777777" w:rsidR="007F7E2A" w:rsidRDefault="007F7E2A" w:rsidP="007F7E2A">
      <w:pPr>
        <w:pStyle w:val="Bibliography"/>
      </w:pPr>
      <w:r>
        <w:t xml:space="preserve">R Core Team. (2024). </w:t>
      </w:r>
      <w:r>
        <w:rPr>
          <w:i/>
          <w:iCs/>
        </w:rPr>
        <w:t>R: A Language and Environment for Statistical Computing</w:t>
      </w:r>
      <w:r>
        <w:t>. R Foundation for Statistical Computing. https://www.R-project.org/</w:t>
      </w:r>
    </w:p>
    <w:p w14:paraId="79AC185A" w14:textId="77777777" w:rsidR="007F7E2A" w:rsidRDefault="007F7E2A" w:rsidP="007F7E2A">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A2F2E3A" w14:textId="77777777" w:rsidR="007F7E2A" w:rsidRDefault="007F7E2A" w:rsidP="007F7E2A">
      <w:pPr>
        <w:pStyle w:val="Bibliography"/>
      </w:pPr>
      <w:r>
        <w:t xml:space="preserve">Ritchie, H., &amp; Roser, M. (2019). Half of the world’s habitable land is used for agriculture. </w:t>
      </w:r>
      <w:r>
        <w:rPr>
          <w:i/>
          <w:iCs/>
        </w:rPr>
        <w:t>Our World in Data</w:t>
      </w:r>
      <w:r>
        <w:t>.</w:t>
      </w:r>
    </w:p>
    <w:p w14:paraId="5F0D58E3" w14:textId="77777777" w:rsidR="007F7E2A" w:rsidRDefault="007F7E2A" w:rsidP="007F7E2A">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1E17D2EF" w14:textId="77777777" w:rsidR="007F7E2A" w:rsidRDefault="007F7E2A" w:rsidP="007F7E2A">
      <w:pPr>
        <w:pStyle w:val="Bibliography"/>
      </w:pPr>
      <w:r>
        <w:t xml:space="preserve">Salonen, J., Andersson, L., Andreasen, C., &amp; Semb Torresen, K. (2008). </w:t>
      </w:r>
      <w:r>
        <w:rPr>
          <w:i/>
          <w:iCs/>
        </w:rPr>
        <w:t>Key perennial weeds in arable crops in the Nordic countries</w:t>
      </w:r>
      <w:r>
        <w:t>.</w:t>
      </w:r>
    </w:p>
    <w:p w14:paraId="1303E5D5" w14:textId="77777777" w:rsidR="007F7E2A" w:rsidRDefault="007F7E2A" w:rsidP="007F7E2A">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1794C90A" w14:textId="77777777" w:rsidR="007F7E2A" w:rsidRDefault="007F7E2A" w:rsidP="007F7E2A">
      <w:pPr>
        <w:pStyle w:val="Bibliography"/>
      </w:pPr>
      <w:r>
        <w:t xml:space="preserve">Scherner, A., Melander, B., &amp; Kudsk, P. (2016). Vertical distribution and composition of weed seeds within the plough layer after eleven years of contrasting crop rotation and </w:t>
      </w:r>
      <w:r>
        <w:lastRenderedPageBreak/>
        <w:t xml:space="preserve">tillage schemes. </w:t>
      </w:r>
      <w:r>
        <w:rPr>
          <w:i/>
          <w:iCs/>
        </w:rPr>
        <w:t>Soil and Tillage Research</w:t>
      </w:r>
      <w:r>
        <w:t xml:space="preserve">, </w:t>
      </w:r>
      <w:r>
        <w:rPr>
          <w:i/>
          <w:iCs/>
        </w:rPr>
        <w:t>161</w:t>
      </w:r>
      <w:r>
        <w:t>, 135–142. https://doi.org/10.1016/j.still.2016.04.005</w:t>
      </w:r>
    </w:p>
    <w:p w14:paraId="41F14200" w14:textId="77777777" w:rsidR="007F7E2A" w:rsidRDefault="007F7E2A" w:rsidP="007F7E2A">
      <w:pPr>
        <w:pStyle w:val="Bibliography"/>
      </w:pPr>
      <w:r>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5F7DCAC5" w14:textId="77777777" w:rsidR="007F7E2A" w:rsidRDefault="007F7E2A" w:rsidP="007F7E2A">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77D8E06C" w14:textId="77777777" w:rsidR="007F7E2A" w:rsidRDefault="007F7E2A" w:rsidP="007F7E2A">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56268EE9" w14:textId="77777777" w:rsidR="007F7E2A" w:rsidRDefault="007F7E2A" w:rsidP="007F7E2A">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20456E44" w14:textId="77777777" w:rsidR="007F7E2A" w:rsidRDefault="007F7E2A" w:rsidP="007F7E2A">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22A3F694" w14:textId="77777777" w:rsidR="007F7E2A" w:rsidRPr="007F7E2A" w:rsidRDefault="007F7E2A" w:rsidP="007F7E2A">
      <w:pPr>
        <w:pStyle w:val="Bibliography"/>
        <w:rPr>
          <w:lang w:val="da-DK"/>
        </w:rPr>
      </w:pPr>
      <w:r>
        <w:t xml:space="preserve">Smith, R. G., Warren, N. D., &amp; Cordeau, S. (2020). Are cover crop mixtures better at suppressing weeds than cover crop monocultures? </w:t>
      </w:r>
      <w:r w:rsidRPr="007F7E2A">
        <w:rPr>
          <w:i/>
          <w:iCs/>
          <w:lang w:val="da-DK"/>
        </w:rPr>
        <w:t>Weed Science</w:t>
      </w:r>
      <w:r w:rsidRPr="007F7E2A">
        <w:rPr>
          <w:lang w:val="da-DK"/>
        </w:rPr>
        <w:t xml:space="preserve">, </w:t>
      </w:r>
      <w:r w:rsidRPr="007F7E2A">
        <w:rPr>
          <w:i/>
          <w:iCs/>
          <w:lang w:val="da-DK"/>
        </w:rPr>
        <w:t>68</w:t>
      </w:r>
      <w:r w:rsidRPr="007F7E2A">
        <w:rPr>
          <w:lang w:val="da-DK"/>
        </w:rPr>
        <w:t>(2), 186–194. https://doi.org/10.1017/wsc.2020.12</w:t>
      </w:r>
    </w:p>
    <w:p w14:paraId="0737575F" w14:textId="77777777" w:rsidR="007F7E2A" w:rsidRDefault="007F7E2A" w:rsidP="007F7E2A">
      <w:pPr>
        <w:pStyle w:val="Bibliography"/>
      </w:pPr>
      <w:r w:rsidRPr="007F7E2A">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 xml:space="preserve">Real-World Decision Support Systems: </w:t>
      </w:r>
      <w:r>
        <w:rPr>
          <w:i/>
          <w:iCs/>
        </w:rPr>
        <w:lastRenderedPageBreak/>
        <w:t>Case Studies</w:t>
      </w:r>
      <w:r>
        <w:t xml:space="preserve"> (pp. 303–320). Springer International Publishing. https://doi.org/10.1007/978-3-319-43916-7_13</w:t>
      </w:r>
    </w:p>
    <w:p w14:paraId="711F958D" w14:textId="77777777" w:rsidR="007F7E2A" w:rsidRDefault="007F7E2A" w:rsidP="007F7E2A">
      <w:pPr>
        <w:pStyle w:val="Bibliography"/>
      </w:pPr>
      <w:r>
        <w:t xml:space="preserve">Statistics Denmark. (2025). </w:t>
      </w:r>
      <w:r>
        <w:rPr>
          <w:i/>
          <w:iCs/>
        </w:rPr>
        <w:t>Cropland</w:t>
      </w:r>
      <w:r>
        <w:t>. https://www.dst.dk/en/Statistik/emner/erhvervsliv/landbrug-gartneri-og-skovbrug/det-dyrkede-areal</w:t>
      </w:r>
    </w:p>
    <w:p w14:paraId="63B92B58" w14:textId="77777777" w:rsidR="007F7E2A" w:rsidRDefault="007F7E2A" w:rsidP="007F7E2A">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51C0C92D" w14:textId="77777777" w:rsidR="007F7E2A" w:rsidRDefault="007F7E2A" w:rsidP="007F7E2A">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6BF2A700" w14:textId="77777777" w:rsidR="007F7E2A" w:rsidRDefault="007F7E2A" w:rsidP="007F7E2A">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56FD9B2B" w14:textId="77777777" w:rsidR="007F7E2A" w:rsidRDefault="007F7E2A" w:rsidP="007F7E2A">
      <w:pPr>
        <w:pStyle w:val="Bibliography"/>
      </w:pPr>
      <w:r>
        <w:t xml:space="preserve">Thomopoulos, S., Munkholm, L. J., Elsgaard, L., &amp; Ravnskov, S. (2025). Tillage and residue management modulate the links between soil physical signatures and arbuscular mycorrhizal fungal biomarkers. </w:t>
      </w:r>
      <w:r>
        <w:rPr>
          <w:i/>
          <w:iCs/>
        </w:rPr>
        <w:t>Geoderma</w:t>
      </w:r>
      <w:r>
        <w:t xml:space="preserve">, </w:t>
      </w:r>
      <w:r>
        <w:rPr>
          <w:i/>
          <w:iCs/>
        </w:rPr>
        <w:t>454</w:t>
      </w:r>
      <w:r>
        <w:t>, 117204. https://doi.org/10.1016/j.geoderma.2025.117204</w:t>
      </w:r>
    </w:p>
    <w:p w14:paraId="5A369750" w14:textId="77777777" w:rsidR="007F7E2A" w:rsidRDefault="007F7E2A" w:rsidP="007F7E2A">
      <w:pPr>
        <w:pStyle w:val="Bibliography"/>
      </w:pPr>
      <w:r>
        <w:t xml:space="preserve">Upadhaya, S., Arbuckle, J. G., &amp; Schulte, L. A. (2021). Developing farmer typologies to inform conservation outreach in agricultural landscapes. </w:t>
      </w:r>
      <w:r>
        <w:rPr>
          <w:i/>
          <w:iCs/>
        </w:rPr>
        <w:t>Land Use Policy</w:t>
      </w:r>
      <w:r>
        <w:t xml:space="preserve">, </w:t>
      </w:r>
      <w:r>
        <w:rPr>
          <w:i/>
          <w:iCs/>
        </w:rPr>
        <w:t>101</w:t>
      </w:r>
      <w:r>
        <w:t>, 105157. https://doi.org/10.1016/j.landusepol.2020.105157</w:t>
      </w:r>
    </w:p>
    <w:p w14:paraId="7B57B7F8" w14:textId="77777777" w:rsidR="007F7E2A" w:rsidRDefault="007F7E2A" w:rsidP="007F7E2A">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6F39921D" w14:textId="77777777" w:rsidR="007F7E2A" w:rsidRDefault="007F7E2A" w:rsidP="007F7E2A">
      <w:pPr>
        <w:pStyle w:val="Bibliography"/>
      </w:pPr>
      <w:r>
        <w:lastRenderedPageBreak/>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0EA74778" w14:textId="77777777" w:rsidR="007F7E2A" w:rsidRDefault="007F7E2A" w:rsidP="007F7E2A">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426D6D7B" w14:textId="77777777" w:rsidR="007F7E2A" w:rsidRDefault="007F7E2A" w:rsidP="007F7E2A">
      <w:pPr>
        <w:pStyle w:val="Bibliography"/>
      </w:pPr>
      <w:r>
        <w:t xml:space="preserve">Westh, T. B., Hauschild, M. Z., Birkved, M., Jørgensen, M. S., Rosenbaum, R. K., &amp; Fantke, P. (2015). The USEtox story: A survey of model developer visions and user requirements. </w:t>
      </w:r>
      <w:r>
        <w:rPr>
          <w:i/>
          <w:iCs/>
        </w:rPr>
        <w:t>The International Journal of Life Cycle Assessment</w:t>
      </w:r>
      <w:r>
        <w:t xml:space="preserve">, </w:t>
      </w:r>
      <w:r>
        <w:rPr>
          <w:i/>
          <w:iCs/>
        </w:rPr>
        <w:t>20</w:t>
      </w:r>
      <w:r>
        <w:t>(2), 299–310. https://doi.org/10.1007/s11367-014-0829-8</w:t>
      </w:r>
    </w:p>
    <w:p w14:paraId="7B0DEBEF" w14:textId="77777777" w:rsidR="007F7E2A" w:rsidRDefault="007F7E2A" w:rsidP="007F7E2A">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60213160" w14:textId="77777777" w:rsidR="007F7E2A" w:rsidRDefault="007F7E2A" w:rsidP="007F7E2A">
      <w:pPr>
        <w:pStyle w:val="Bibliography"/>
      </w:pPr>
      <w:r>
        <w:t xml:space="preserve">Wickham, H., &amp; Bryan, J. (2023). </w:t>
      </w:r>
      <w:r>
        <w:rPr>
          <w:i/>
          <w:iCs/>
        </w:rPr>
        <w:t>readxl: Read Excel Files</w:t>
      </w:r>
      <w:r>
        <w:t>. https://CRAN.R-project.org/package=readxl</w:t>
      </w:r>
    </w:p>
    <w:p w14:paraId="74700BF6" w14:textId="77777777" w:rsidR="007F7E2A" w:rsidRDefault="007F7E2A" w:rsidP="007F7E2A">
      <w:pPr>
        <w:pStyle w:val="Bibliography"/>
      </w:pPr>
      <w:r>
        <w:t xml:space="preserve">Wickham, H., Pedersen, T. L., &amp; Seidel, D. (2025). </w:t>
      </w:r>
      <w:r>
        <w:rPr>
          <w:i/>
          <w:iCs/>
        </w:rPr>
        <w:t>scales: Scale Functions for Visualization</w:t>
      </w:r>
      <w:r>
        <w:t>. https://CRAN.R-project.org/package=scales</w:t>
      </w:r>
    </w:p>
    <w:p w14:paraId="0987BF47" w14:textId="77777777" w:rsidR="007F7E2A" w:rsidRDefault="007F7E2A" w:rsidP="007F7E2A">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37C1B147" w14:textId="77777777" w:rsidR="007F7E2A" w:rsidRDefault="007F7E2A" w:rsidP="007F7E2A">
      <w:pPr>
        <w:pStyle w:val="Bibliography"/>
      </w:pPr>
      <w:r>
        <w:lastRenderedPageBreak/>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44EE1B2C"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1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19" w:author="Virginia Anne Nichols" w:date="2026-04-21T12:25:00Z" w:initials="VN">
    <w:p w14:paraId="7396689E" w14:textId="77777777" w:rsidR="005E2C47" w:rsidRDefault="005E2C47" w:rsidP="005E2C47">
      <w:pPr>
        <w:pStyle w:val="CommentText"/>
      </w:pPr>
      <w:r>
        <w:rPr>
          <w:rStyle w:val="CommentReference"/>
        </w:rPr>
        <w:annotationRef/>
      </w:r>
      <w:r>
        <w:t>If you do NT or surface tillage, leave the residue and that helps a little.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0"/>
  <w15:commentEx w15:paraId="14379945" w15:done="0"/>
  <w15:commentEx w15:paraId="739668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759D860F" w16cex:dateUtc="2026-04-21T1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96689E" w16cid:durableId="759D86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FC11A" w14:textId="77777777" w:rsidR="00001069" w:rsidRDefault="00001069">
      <w:r>
        <w:separator/>
      </w:r>
    </w:p>
  </w:endnote>
  <w:endnote w:type="continuationSeparator" w:id="0">
    <w:p w14:paraId="05820835" w14:textId="77777777" w:rsidR="00001069" w:rsidRDefault="00001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52B86" w14:textId="77777777" w:rsidR="00001069" w:rsidRDefault="00001069">
      <w:r>
        <w:separator/>
      </w:r>
    </w:p>
  </w:footnote>
  <w:footnote w:type="continuationSeparator" w:id="0">
    <w:p w14:paraId="6C2FA715" w14:textId="77777777" w:rsidR="00001069" w:rsidRDefault="000010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1069"/>
    <w:rsid w:val="000022E2"/>
    <w:rsid w:val="00002830"/>
    <w:rsid w:val="000043B4"/>
    <w:rsid w:val="000043B8"/>
    <w:rsid w:val="0000618C"/>
    <w:rsid w:val="000103DD"/>
    <w:rsid w:val="0001054F"/>
    <w:rsid w:val="000215F6"/>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6E1F"/>
    <w:rsid w:val="00057203"/>
    <w:rsid w:val="00062BFA"/>
    <w:rsid w:val="00063C63"/>
    <w:rsid w:val="000701DF"/>
    <w:rsid w:val="00075466"/>
    <w:rsid w:val="00081453"/>
    <w:rsid w:val="00083D1C"/>
    <w:rsid w:val="00091299"/>
    <w:rsid w:val="00092530"/>
    <w:rsid w:val="000A074B"/>
    <w:rsid w:val="000A78B8"/>
    <w:rsid w:val="000B0944"/>
    <w:rsid w:val="000B21E9"/>
    <w:rsid w:val="000B2786"/>
    <w:rsid w:val="000B5E8A"/>
    <w:rsid w:val="000B66AD"/>
    <w:rsid w:val="000B6D43"/>
    <w:rsid w:val="000B7E46"/>
    <w:rsid w:val="000C25A5"/>
    <w:rsid w:val="000D47E1"/>
    <w:rsid w:val="000D5177"/>
    <w:rsid w:val="000E0ED3"/>
    <w:rsid w:val="000E3872"/>
    <w:rsid w:val="000E5880"/>
    <w:rsid w:val="000E7436"/>
    <w:rsid w:val="000E7511"/>
    <w:rsid w:val="000E7EB9"/>
    <w:rsid w:val="000F4D95"/>
    <w:rsid w:val="000F7586"/>
    <w:rsid w:val="00101B88"/>
    <w:rsid w:val="00111917"/>
    <w:rsid w:val="001147AE"/>
    <w:rsid w:val="001151AB"/>
    <w:rsid w:val="0012160D"/>
    <w:rsid w:val="00121AD9"/>
    <w:rsid w:val="00123F93"/>
    <w:rsid w:val="0012446A"/>
    <w:rsid w:val="00125166"/>
    <w:rsid w:val="00126F2F"/>
    <w:rsid w:val="00133612"/>
    <w:rsid w:val="001355A7"/>
    <w:rsid w:val="0014451B"/>
    <w:rsid w:val="00145174"/>
    <w:rsid w:val="0014626F"/>
    <w:rsid w:val="001479F9"/>
    <w:rsid w:val="00150FA9"/>
    <w:rsid w:val="00156D97"/>
    <w:rsid w:val="0016527C"/>
    <w:rsid w:val="00170EBC"/>
    <w:rsid w:val="00170EC0"/>
    <w:rsid w:val="00180BC4"/>
    <w:rsid w:val="00197824"/>
    <w:rsid w:val="001A00CE"/>
    <w:rsid w:val="001A1339"/>
    <w:rsid w:val="001A1A26"/>
    <w:rsid w:val="001A2BE0"/>
    <w:rsid w:val="001A455C"/>
    <w:rsid w:val="001B0163"/>
    <w:rsid w:val="001B5010"/>
    <w:rsid w:val="001B7D55"/>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4A47"/>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B770A"/>
    <w:rsid w:val="002C1042"/>
    <w:rsid w:val="002C160E"/>
    <w:rsid w:val="002C2EF4"/>
    <w:rsid w:val="002C3BDB"/>
    <w:rsid w:val="002C50F6"/>
    <w:rsid w:val="002D10E5"/>
    <w:rsid w:val="002D5BD0"/>
    <w:rsid w:val="002E25E6"/>
    <w:rsid w:val="002E4152"/>
    <w:rsid w:val="002E4D53"/>
    <w:rsid w:val="002E7F06"/>
    <w:rsid w:val="002F3039"/>
    <w:rsid w:val="002F485B"/>
    <w:rsid w:val="002F5DE4"/>
    <w:rsid w:val="002F64DC"/>
    <w:rsid w:val="002F7A4A"/>
    <w:rsid w:val="00300184"/>
    <w:rsid w:val="003028C3"/>
    <w:rsid w:val="003165E8"/>
    <w:rsid w:val="0032308D"/>
    <w:rsid w:val="0033147C"/>
    <w:rsid w:val="003324BB"/>
    <w:rsid w:val="0033669D"/>
    <w:rsid w:val="0034221E"/>
    <w:rsid w:val="003479FB"/>
    <w:rsid w:val="00356E3A"/>
    <w:rsid w:val="00372BC7"/>
    <w:rsid w:val="00381089"/>
    <w:rsid w:val="0038548F"/>
    <w:rsid w:val="003A1B51"/>
    <w:rsid w:val="003B1029"/>
    <w:rsid w:val="003B122A"/>
    <w:rsid w:val="003B6386"/>
    <w:rsid w:val="003C0D24"/>
    <w:rsid w:val="003C4420"/>
    <w:rsid w:val="003C5483"/>
    <w:rsid w:val="003C7F19"/>
    <w:rsid w:val="003D3B6E"/>
    <w:rsid w:val="003E3EB8"/>
    <w:rsid w:val="003E7454"/>
    <w:rsid w:val="003E7CBF"/>
    <w:rsid w:val="00400861"/>
    <w:rsid w:val="00402490"/>
    <w:rsid w:val="0040336B"/>
    <w:rsid w:val="00406592"/>
    <w:rsid w:val="00422F6F"/>
    <w:rsid w:val="00423AE6"/>
    <w:rsid w:val="004246D5"/>
    <w:rsid w:val="004346DF"/>
    <w:rsid w:val="00434E4D"/>
    <w:rsid w:val="00434EDD"/>
    <w:rsid w:val="00436E4A"/>
    <w:rsid w:val="00446710"/>
    <w:rsid w:val="00451E87"/>
    <w:rsid w:val="00452AA0"/>
    <w:rsid w:val="004564AC"/>
    <w:rsid w:val="004579AD"/>
    <w:rsid w:val="00462BFF"/>
    <w:rsid w:val="004639D1"/>
    <w:rsid w:val="0047780D"/>
    <w:rsid w:val="0048309A"/>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5EBA"/>
    <w:rsid w:val="00506067"/>
    <w:rsid w:val="005070A2"/>
    <w:rsid w:val="00513033"/>
    <w:rsid w:val="00520FF2"/>
    <w:rsid w:val="00523DF1"/>
    <w:rsid w:val="0053182E"/>
    <w:rsid w:val="00532D1E"/>
    <w:rsid w:val="00535D27"/>
    <w:rsid w:val="00541BA9"/>
    <w:rsid w:val="00542A67"/>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41F6"/>
    <w:rsid w:val="0059549C"/>
    <w:rsid w:val="005A4CB9"/>
    <w:rsid w:val="005A746C"/>
    <w:rsid w:val="005B40AA"/>
    <w:rsid w:val="005B58B9"/>
    <w:rsid w:val="005B5D33"/>
    <w:rsid w:val="005B774F"/>
    <w:rsid w:val="005C0BB4"/>
    <w:rsid w:val="005C27E0"/>
    <w:rsid w:val="005C3B4B"/>
    <w:rsid w:val="005D2702"/>
    <w:rsid w:val="005D5FF2"/>
    <w:rsid w:val="005E12EA"/>
    <w:rsid w:val="005E150B"/>
    <w:rsid w:val="005E2C47"/>
    <w:rsid w:val="005E5E7E"/>
    <w:rsid w:val="005F1FF2"/>
    <w:rsid w:val="005F4DAC"/>
    <w:rsid w:val="00602609"/>
    <w:rsid w:val="0060270F"/>
    <w:rsid w:val="00602B25"/>
    <w:rsid w:val="00604776"/>
    <w:rsid w:val="006067D9"/>
    <w:rsid w:val="00611E95"/>
    <w:rsid w:val="00611EAF"/>
    <w:rsid w:val="00614437"/>
    <w:rsid w:val="00620B5C"/>
    <w:rsid w:val="00623603"/>
    <w:rsid w:val="006263B4"/>
    <w:rsid w:val="0062645F"/>
    <w:rsid w:val="00645D68"/>
    <w:rsid w:val="00646AD5"/>
    <w:rsid w:val="00647DEF"/>
    <w:rsid w:val="0066480E"/>
    <w:rsid w:val="00675845"/>
    <w:rsid w:val="006767A7"/>
    <w:rsid w:val="006774E5"/>
    <w:rsid w:val="006804BA"/>
    <w:rsid w:val="00680EF7"/>
    <w:rsid w:val="00680EF9"/>
    <w:rsid w:val="00682FE7"/>
    <w:rsid w:val="0068411D"/>
    <w:rsid w:val="00686048"/>
    <w:rsid w:val="00691C03"/>
    <w:rsid w:val="006A0B19"/>
    <w:rsid w:val="006A107B"/>
    <w:rsid w:val="006A110F"/>
    <w:rsid w:val="006A1FE5"/>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7C4E"/>
    <w:rsid w:val="00733FC7"/>
    <w:rsid w:val="007348E9"/>
    <w:rsid w:val="00737D7A"/>
    <w:rsid w:val="0074488E"/>
    <w:rsid w:val="00745B56"/>
    <w:rsid w:val="007604BF"/>
    <w:rsid w:val="00763F20"/>
    <w:rsid w:val="00765D21"/>
    <w:rsid w:val="00770D8A"/>
    <w:rsid w:val="00773505"/>
    <w:rsid w:val="00773A25"/>
    <w:rsid w:val="00774D16"/>
    <w:rsid w:val="00774F53"/>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665A"/>
    <w:rsid w:val="007D7FB3"/>
    <w:rsid w:val="007E73A6"/>
    <w:rsid w:val="007F7E2A"/>
    <w:rsid w:val="00802EF3"/>
    <w:rsid w:val="00806BB5"/>
    <w:rsid w:val="00806D32"/>
    <w:rsid w:val="008141BB"/>
    <w:rsid w:val="008302FF"/>
    <w:rsid w:val="0083615C"/>
    <w:rsid w:val="00840816"/>
    <w:rsid w:val="008427D8"/>
    <w:rsid w:val="00842881"/>
    <w:rsid w:val="00842BAE"/>
    <w:rsid w:val="0086064A"/>
    <w:rsid w:val="008623D7"/>
    <w:rsid w:val="00864051"/>
    <w:rsid w:val="0086566B"/>
    <w:rsid w:val="0086596F"/>
    <w:rsid w:val="00876749"/>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4A9E"/>
    <w:rsid w:val="008D70A4"/>
    <w:rsid w:val="008E0AD1"/>
    <w:rsid w:val="008F07A4"/>
    <w:rsid w:val="008F3A79"/>
    <w:rsid w:val="00901263"/>
    <w:rsid w:val="00911BFB"/>
    <w:rsid w:val="009133AC"/>
    <w:rsid w:val="0091595E"/>
    <w:rsid w:val="009217F6"/>
    <w:rsid w:val="0092246D"/>
    <w:rsid w:val="0092460A"/>
    <w:rsid w:val="00925DAA"/>
    <w:rsid w:val="00942DBD"/>
    <w:rsid w:val="009432A7"/>
    <w:rsid w:val="00950EEA"/>
    <w:rsid w:val="00953C94"/>
    <w:rsid w:val="00955506"/>
    <w:rsid w:val="00962AFD"/>
    <w:rsid w:val="00962C8E"/>
    <w:rsid w:val="00967593"/>
    <w:rsid w:val="0098059C"/>
    <w:rsid w:val="0098114B"/>
    <w:rsid w:val="009915C2"/>
    <w:rsid w:val="00992CC6"/>
    <w:rsid w:val="00997243"/>
    <w:rsid w:val="009A203A"/>
    <w:rsid w:val="009A2F7E"/>
    <w:rsid w:val="009A35F5"/>
    <w:rsid w:val="009A3A5B"/>
    <w:rsid w:val="009A55B2"/>
    <w:rsid w:val="009A7EA2"/>
    <w:rsid w:val="009B158E"/>
    <w:rsid w:val="009B1DCF"/>
    <w:rsid w:val="009B41E6"/>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53D2C"/>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027BD"/>
    <w:rsid w:val="00B115BB"/>
    <w:rsid w:val="00B15F3F"/>
    <w:rsid w:val="00B20190"/>
    <w:rsid w:val="00B2115D"/>
    <w:rsid w:val="00B27B76"/>
    <w:rsid w:val="00B3112B"/>
    <w:rsid w:val="00B32419"/>
    <w:rsid w:val="00B37D34"/>
    <w:rsid w:val="00B409A1"/>
    <w:rsid w:val="00B4141B"/>
    <w:rsid w:val="00B444A3"/>
    <w:rsid w:val="00B46B9B"/>
    <w:rsid w:val="00B54510"/>
    <w:rsid w:val="00B559CC"/>
    <w:rsid w:val="00B65967"/>
    <w:rsid w:val="00B76139"/>
    <w:rsid w:val="00B81AE1"/>
    <w:rsid w:val="00B83835"/>
    <w:rsid w:val="00B84F20"/>
    <w:rsid w:val="00B8798B"/>
    <w:rsid w:val="00B87BD4"/>
    <w:rsid w:val="00B949C8"/>
    <w:rsid w:val="00BA549D"/>
    <w:rsid w:val="00BA7F3D"/>
    <w:rsid w:val="00BB112E"/>
    <w:rsid w:val="00BB220E"/>
    <w:rsid w:val="00BB2262"/>
    <w:rsid w:val="00BB7322"/>
    <w:rsid w:val="00BB7C9B"/>
    <w:rsid w:val="00BC2028"/>
    <w:rsid w:val="00BC6842"/>
    <w:rsid w:val="00BC7DE8"/>
    <w:rsid w:val="00BD0B68"/>
    <w:rsid w:val="00BD21D4"/>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59D5"/>
    <w:rsid w:val="00C651C3"/>
    <w:rsid w:val="00C70707"/>
    <w:rsid w:val="00C75545"/>
    <w:rsid w:val="00C75709"/>
    <w:rsid w:val="00C817D7"/>
    <w:rsid w:val="00C874A3"/>
    <w:rsid w:val="00C90536"/>
    <w:rsid w:val="00C91C94"/>
    <w:rsid w:val="00CA1D8C"/>
    <w:rsid w:val="00CA273C"/>
    <w:rsid w:val="00CA2FBE"/>
    <w:rsid w:val="00CB1BFB"/>
    <w:rsid w:val="00CB2610"/>
    <w:rsid w:val="00CC097D"/>
    <w:rsid w:val="00CC0DC2"/>
    <w:rsid w:val="00CC1AAD"/>
    <w:rsid w:val="00CC4281"/>
    <w:rsid w:val="00CC4F03"/>
    <w:rsid w:val="00CC5D66"/>
    <w:rsid w:val="00CC6C30"/>
    <w:rsid w:val="00CD19F2"/>
    <w:rsid w:val="00CD258C"/>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C67"/>
    <w:rsid w:val="00D5253E"/>
    <w:rsid w:val="00D52562"/>
    <w:rsid w:val="00D56F4F"/>
    <w:rsid w:val="00D60536"/>
    <w:rsid w:val="00D65AFA"/>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491D"/>
    <w:rsid w:val="00DC5916"/>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5B8E"/>
    <w:rsid w:val="00E16D67"/>
    <w:rsid w:val="00E20673"/>
    <w:rsid w:val="00E20D20"/>
    <w:rsid w:val="00E211A0"/>
    <w:rsid w:val="00E276EE"/>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167E"/>
    <w:rsid w:val="00E9789B"/>
    <w:rsid w:val="00EA2B5E"/>
    <w:rsid w:val="00EA4726"/>
    <w:rsid w:val="00EA5B2A"/>
    <w:rsid w:val="00EA65A3"/>
    <w:rsid w:val="00EC5CCC"/>
    <w:rsid w:val="00ED04D4"/>
    <w:rsid w:val="00EE1254"/>
    <w:rsid w:val="00EE5000"/>
    <w:rsid w:val="00EE52D6"/>
    <w:rsid w:val="00EE69BB"/>
    <w:rsid w:val="00EE6D2D"/>
    <w:rsid w:val="00EF288A"/>
    <w:rsid w:val="00EF3506"/>
    <w:rsid w:val="00EF62F9"/>
    <w:rsid w:val="00EF786B"/>
    <w:rsid w:val="00F032FD"/>
    <w:rsid w:val="00F07C2C"/>
    <w:rsid w:val="00F26976"/>
    <w:rsid w:val="00F279D7"/>
    <w:rsid w:val="00F31642"/>
    <w:rsid w:val="00F34EA9"/>
    <w:rsid w:val="00F35751"/>
    <w:rsid w:val="00F36139"/>
    <w:rsid w:val="00F36B54"/>
    <w:rsid w:val="00F371C1"/>
    <w:rsid w:val="00F41E5B"/>
    <w:rsid w:val="00F4447D"/>
    <w:rsid w:val="00F452AF"/>
    <w:rsid w:val="00F508EF"/>
    <w:rsid w:val="00F51540"/>
    <w:rsid w:val="00F61077"/>
    <w:rsid w:val="00F667EB"/>
    <w:rsid w:val="00F668A9"/>
    <w:rsid w:val="00F73EE2"/>
    <w:rsid w:val="00F87470"/>
    <w:rsid w:val="00F949F1"/>
    <w:rsid w:val="00F960D0"/>
    <w:rsid w:val="00FA1677"/>
    <w:rsid w:val="00FA499F"/>
    <w:rsid w:val="00FB0203"/>
    <w:rsid w:val="00FB0CED"/>
    <w:rsid w:val="00FC4A41"/>
    <w:rsid w:val="00FD05FC"/>
    <w:rsid w:val="00FD16C3"/>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 w:type="paragraph" w:styleId="HTMLPreformatted">
    <w:name w:val="HTML Preformatted"/>
    <w:basedOn w:val="Normal"/>
    <w:link w:val="HTMLPreformattedChar"/>
    <w:rsid w:val="00081453"/>
    <w:rPr>
      <w:rFonts w:ascii="Consolas" w:hAnsi="Consolas"/>
      <w:sz w:val="20"/>
      <w:szCs w:val="20"/>
    </w:rPr>
  </w:style>
  <w:style w:type="character" w:customStyle="1" w:styleId="HTMLPreformattedChar">
    <w:name w:val="HTML Preformatted Char"/>
    <w:basedOn w:val="DefaultParagraphFont"/>
    <w:link w:val="HTMLPreformatted"/>
    <w:rsid w:val="00081453"/>
    <w:rPr>
      <w:rFonts w:ascii="Consolas" w:hAnsi="Consola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5015</TotalTime>
  <Pages>38</Pages>
  <Words>38799</Words>
  <Characters>236679</Characters>
  <Application>Microsoft Office Word</Application>
  <DocSecurity>0</DocSecurity>
  <Lines>1972</Lines>
  <Paragraphs>549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274929</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26</cp:revision>
  <cp:lastPrinted>2026-03-26T16:02:00Z</cp:lastPrinted>
  <dcterms:created xsi:type="dcterms:W3CDTF">2026-04-09T13:36:00Z</dcterms:created>
  <dcterms:modified xsi:type="dcterms:W3CDTF">2026-04-22T06:30:00Z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id="XsLCjye7"/&gt;&lt;style id="http://www.zotero.org/styles/apa" locale="en-US" hasBibliography="1" bibliographyStyleHasBeenSet="1"/&gt;&lt;prefs&gt;&lt;pref name="fieldType" value="Field"/&gt;&lt;/prefs&gt;&lt;/data&gt;</vt:lpwstr>
  </property>
</Properties>
</file>