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38C86619"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0E7436">
        <w:rPr>
          <w:rFonts w:ascii="Calibri" w:hAnsi="Calibri" w:cs="Calibri"/>
          <w:b/>
          <w:bCs/>
          <w:lang w:val="en-US"/>
        </w:rPr>
        <w:t>ple 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0E7436">
        <w:rPr>
          <w:rFonts w:ascii="Calibri" w:hAnsi="Calibri" w:cs="Calibri"/>
          <w:b/>
          <w:bCs/>
          <w:lang w:val="en-US"/>
        </w:rPr>
        <w:t xml:space="preserve">highlights tradeoffs in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782F03">
        <w:rPr>
          <w:rFonts w:ascii="Calibri" w:hAnsi="Calibri" w:cs="Calibri"/>
          <w:b/>
          <w:bCs/>
          <w:lang w:val="en-US"/>
        </w:rPr>
        <w:t>residue</w:t>
      </w:r>
      <w:r w:rsidR="00782F03" w:rsidRPr="00B730C3">
        <w:rPr>
          <w:rFonts w:ascii="Calibri" w:hAnsi="Calibri" w:cs="Calibri"/>
          <w:b/>
          <w:bCs/>
          <w:lang w:val="en-US"/>
        </w:rPr>
        <w:t xml:space="preserve"> management</w:t>
      </w:r>
      <w:r w:rsidR="000E7436">
        <w:rPr>
          <w:rFonts w:ascii="Calibri" w:hAnsi="Calibri" w:cs="Calibri"/>
          <w:b/>
          <w:bCs/>
          <w:lang w:val="en-US"/>
        </w:rPr>
        <w:t xml:space="preserve"> systems</w:t>
      </w:r>
    </w:p>
    <w:p w14:paraId="4B503908" w14:textId="77777777" w:rsidR="0053182E" w:rsidRPr="00782F03" w:rsidRDefault="0053182E" w:rsidP="00045088">
      <w:pPr>
        <w:spacing w:line="360" w:lineRule="auto"/>
        <w:rPr>
          <w:lang w:val="fr-CA"/>
        </w:rPr>
      </w:pPr>
    </w:p>
    <w:p w14:paraId="5FA8BC59" w14:textId="1E85DFE4"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Emma Randahl-Beltran</w:t>
      </w:r>
      <w:r w:rsidRPr="00806BB5">
        <w:rPr>
          <w:b/>
          <w:bCs/>
          <w:vertAlign w:val="superscript"/>
          <w:lang w:val="fr-CA"/>
        </w:rPr>
        <w:t>1</w:t>
      </w:r>
      <w:r w:rsidRPr="00806BB5">
        <w:rPr>
          <w:b/>
          <w:bCs/>
          <w:lang w:val="fr-CA"/>
        </w:rPr>
        <w:t xml:space="preserve"> 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Department of Agroecology</w:t>
      </w:r>
      <w:r w:rsidR="0053182E" w:rsidRPr="00806BB5">
        <w:rPr>
          <w:lang w:val="fr-CA"/>
        </w:rPr>
        <w:t xml:space="preserve">, </w:t>
      </w:r>
      <w:r w:rsidR="009432A7" w:rsidRPr="00806BB5">
        <w:rPr>
          <w:lang w:val="fr-CA"/>
        </w:rPr>
        <w:t>Aarhus University, 1 Forsøgsvej,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50D140CB" w:rsidR="008141BB" w:rsidRPr="00806BB5" w:rsidRDefault="008141BB" w:rsidP="00045088">
      <w:pPr>
        <w:spacing w:line="360" w:lineRule="auto"/>
        <w:rPr>
          <w:lang w:val="fr-CA"/>
        </w:rPr>
      </w:pPr>
      <w:r w:rsidRPr="00806BB5">
        <w:rPr>
          <w:lang w:val="fr-CA"/>
        </w:rPr>
        <w:t>Correspondence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6FD048AC" w14:textId="412D01E3" w:rsidR="009432A7" w:rsidRDefault="009432A7" w:rsidP="00045088">
      <w:pPr>
        <w:spacing w:line="360" w:lineRule="auto"/>
        <w:rPr>
          <w:lang w:val="en-US"/>
        </w:rPr>
      </w:pPr>
      <w:r>
        <w:rPr>
          <w:lang w:val="en-US"/>
        </w:rPr>
        <w:t>Marco…</w:t>
      </w:r>
    </w:p>
    <w:p w14:paraId="73D654A0" w14:textId="77777777" w:rsidR="006C0AA5" w:rsidRDefault="006C0AA5" w:rsidP="006C0AA5">
      <w:pPr>
        <w:spacing w:line="360" w:lineRule="auto"/>
        <w:rPr>
          <w:lang w:val="en-US"/>
        </w:rPr>
      </w:pPr>
      <w:r>
        <w:rPr>
          <w:lang w:val="en-US"/>
        </w:rPr>
        <w:t>Emma Randahl-Beltran, esrb@agro.au.dk</w:t>
      </w:r>
    </w:p>
    <w:p w14:paraId="6DD3D143" w14:textId="2BE71097" w:rsidR="009432A7" w:rsidRDefault="009432A7" w:rsidP="00045088">
      <w:pPr>
        <w:spacing w:line="360" w:lineRule="auto"/>
        <w:rPr>
          <w:lang w:val="en-US"/>
        </w:rPr>
      </w:pPr>
      <w:r>
        <w:rPr>
          <w:lang w:val="en-US"/>
        </w:rPr>
        <w:t>Mette</w:t>
      </w:r>
    </w:p>
    <w:p w14:paraId="375D8A1E" w14:textId="77777777" w:rsidR="0012160D" w:rsidRDefault="009432A7" w:rsidP="00045088">
      <w:pPr>
        <w:spacing w:line="360" w:lineRule="auto"/>
        <w:rPr>
          <w:lang w:val="en-US"/>
        </w:rPr>
      </w:pPr>
      <w:r>
        <w:rPr>
          <w:lang w:val="en-US"/>
        </w:rPr>
        <w:t>Bo</w:t>
      </w:r>
      <w:r w:rsidR="0012160D">
        <w:rPr>
          <w:lang w:val="en-US"/>
        </w:rPr>
        <w:t xml:space="preserve"> Melander</w:t>
      </w:r>
    </w:p>
    <w:p w14:paraId="282E3391" w14:textId="7256DD71" w:rsidR="009432A7" w:rsidRPr="009432A7" w:rsidRDefault="0012160D" w:rsidP="00045088">
      <w:pPr>
        <w:spacing w:line="360" w:lineRule="auto"/>
        <w:rPr>
          <w:lang w:val="en-US"/>
        </w:rPr>
      </w:pPr>
      <w:r>
        <w:rPr>
          <w:lang w:val="en-US"/>
        </w:rPr>
        <w:t>Email: bo.melander@agro.au.dk</w:t>
      </w:r>
    </w:p>
    <w:p w14:paraId="42CCADBB" w14:textId="0EF9F97E" w:rsidR="0053182E" w:rsidRPr="00045088" w:rsidRDefault="0053182E" w:rsidP="00045088">
      <w:pPr>
        <w:spacing w:line="360" w:lineRule="auto"/>
      </w:pPr>
    </w:p>
    <w:p w14:paraId="26E51B1C" w14:textId="785E09A7" w:rsidR="008141BB" w:rsidRPr="00045088" w:rsidRDefault="008141BB" w:rsidP="00045088">
      <w:pPr>
        <w:spacing w:line="360" w:lineRule="auto"/>
      </w:pPr>
      <w:r w:rsidRPr="00045088">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1B304622" w14:textId="77777777" w:rsidR="00B76139" w:rsidRPr="00045088" w:rsidRDefault="00C23509" w:rsidP="00045088">
      <w:pPr>
        <w:spacing w:line="360" w:lineRule="auto"/>
      </w:pPr>
      <w:r w:rsidRPr="00045088">
        <w:t xml:space="preserve">Word count = </w:t>
      </w:r>
      <w:r w:rsidR="00CF198B" w:rsidRPr="00045088">
        <w:t>7</w:t>
      </w:r>
      <w:r w:rsidRPr="00045088">
        <w:t>000 maximum (including all tables, legends and references)</w:t>
      </w:r>
    </w:p>
    <w:p w14:paraId="25FF3F26" w14:textId="6603F1F7"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p>
    <w:p w14:paraId="62B478B5" w14:textId="7D161E52" w:rsidR="00E04EB0" w:rsidRPr="00E04EB0" w:rsidRDefault="007A1907" w:rsidP="00E04EB0">
      <w:pPr>
        <w:spacing w:line="360" w:lineRule="auto"/>
        <w:rPr>
          <w:lang w:val="en-US"/>
        </w:rPr>
      </w:pPr>
      <w:r>
        <w:rPr>
          <w:lang w:val="en-US"/>
        </w:rPr>
        <w:t>In certain contexts, n</w:t>
      </w:r>
      <w:r w:rsidR="00E04EB0" w:rsidRPr="00E04EB0">
        <w:rPr>
          <w:lang w:val="en-US"/>
        </w:rPr>
        <w:t xml:space="preserve">on-crop vegetation in agricultural fields may offer opportunities to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sidR="00E04EB0" w:rsidRPr="00E04EB0">
        <w:rPr>
          <w:lang w:val="en-US"/>
        </w:rPr>
        <w:t xml:space="preserve">Over three growing seasons in Denmark, we evaluated the ecological, </w:t>
      </w:r>
      <w:r w:rsidR="005F4DAC">
        <w:rPr>
          <w:lang w:val="en-US"/>
        </w:rPr>
        <w:t xml:space="preserve">environmental </w:t>
      </w:r>
      <w:r w:rsidR="00E04EB0" w:rsidRPr="00E04EB0">
        <w:rPr>
          <w:lang w:val="en-US"/>
        </w:rPr>
        <w:t xml:space="preserve">and agronomic performance of fall vegetation communities </w:t>
      </w:r>
      <w:r>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Pr>
          <w:lang w:val="en-US"/>
        </w:rPr>
        <w:t xml:space="preserve"> grown </w:t>
      </w:r>
      <w:r w:rsidRPr="00E04EB0">
        <w:rPr>
          <w:lang w:val="en-US"/>
        </w:rPr>
        <w:t>under thirty management systems</w:t>
      </w:r>
      <w:r w:rsidR="00E04EB0" w:rsidRPr="00E04EB0">
        <w:rPr>
          <w:lang w:val="en-US"/>
        </w:rPr>
        <w:t xml:space="preserve">. </w:t>
      </w:r>
      <w:r w:rsidR="000E7436">
        <w:rPr>
          <w:lang w:val="en-US"/>
        </w:rPr>
        <w:t>F</w:t>
      </w:r>
      <w:r w:rsidR="00E04EB0" w:rsidRPr="00E04EB0">
        <w:rPr>
          <w:lang w:val="en-US"/>
        </w:rPr>
        <w:t>ive cover crop systems—grass/clover (</w:t>
      </w:r>
      <w:r w:rsidR="00E04EB0" w:rsidRPr="00E04EB0">
        <w:rPr>
          <w:i/>
          <w:iCs/>
          <w:lang w:val="en-US"/>
        </w:rPr>
        <w:t>Lolium perenne</w:t>
      </w:r>
      <w:r w:rsidR="00E04EB0" w:rsidRPr="00E04EB0">
        <w:rPr>
          <w:lang w:val="en-US"/>
        </w:rPr>
        <w:t>/</w:t>
      </w:r>
      <w:r w:rsidR="00E04EB0" w:rsidRPr="00E04EB0">
        <w:rPr>
          <w:i/>
          <w:iCs/>
          <w:lang w:val="en-US"/>
        </w:rPr>
        <w:t>Trifolium repens</w:t>
      </w:r>
      <w:r w:rsidR="00E04EB0" w:rsidRPr="00E04EB0">
        <w:rPr>
          <w:lang w:val="en-US"/>
        </w:rPr>
        <w:t>) mixtures sown early (MixE) and mid-season (MixM), radish (</w:t>
      </w:r>
      <w:r w:rsidR="00E04EB0" w:rsidRPr="00E04EB0">
        <w:rPr>
          <w:i/>
          <w:iCs/>
          <w:lang w:val="en-US"/>
        </w:rPr>
        <w:t>Raphanus sativus</w:t>
      </w:r>
      <w:r w:rsidR="00E04EB0" w:rsidRPr="00E04EB0">
        <w:rPr>
          <w:lang w:val="en-US"/>
        </w:rPr>
        <w:t>) sown mid-season (RadM) and post-harvest (RadL), and a no-cover control (NoCC)—</w:t>
      </w:r>
      <w:r w:rsidR="000E7436">
        <w:rPr>
          <w:lang w:val="en-US"/>
        </w:rPr>
        <w:t xml:space="preserve">were implemented in </w:t>
      </w:r>
      <w:r w:rsidR="00496DB9">
        <w:rPr>
          <w:lang w:val="en-US"/>
        </w:rPr>
        <w:t>a long</w:t>
      </w:r>
      <w:r>
        <w:rPr>
          <w:lang w:val="en-US"/>
        </w:rPr>
        <w:t>-</w:t>
      </w:r>
      <w:r w:rsidR="00496DB9">
        <w:rPr>
          <w:lang w:val="en-US"/>
        </w:rPr>
        <w:t xml:space="preserve">term trial </w:t>
      </w:r>
      <w:r w:rsidR="000E7436">
        <w:rPr>
          <w:lang w:val="en-US"/>
        </w:rPr>
        <w:t xml:space="preserve">with </w:t>
      </w:r>
      <w:r w:rsidR="00E04EB0" w:rsidRPr="00E04EB0">
        <w:rPr>
          <w:lang w:val="en-US"/>
        </w:rPr>
        <w:t xml:space="preserve">three tillage systems (no-till, surface, inversion) and two straw managements (retained, removed). Measured responses included cash crop yield, fall biomass and </w:t>
      </w:r>
      <w:r w:rsidR="00C1138B">
        <w:rPr>
          <w:lang w:val="en-US"/>
        </w:rPr>
        <w:t xml:space="preserve">species </w:t>
      </w:r>
      <w:r w:rsidR="00E04EB0" w:rsidRPr="00E04EB0">
        <w:rPr>
          <w:lang w:val="en-US"/>
        </w:rPr>
        <w:t xml:space="preserve">cover, spring weed counts, and pesticide use; ecological values </w:t>
      </w:r>
      <w:r w:rsidR="00E04EB0">
        <w:rPr>
          <w:lang w:val="en-US"/>
        </w:rPr>
        <w:t xml:space="preserve">and </w:t>
      </w:r>
      <w:r w:rsidR="00C1138B">
        <w:rPr>
          <w:lang w:val="en-US"/>
        </w:rPr>
        <w:t>pesticide impacts</w:t>
      </w:r>
      <w:r w:rsidR="00E04EB0">
        <w:rPr>
          <w:lang w:val="en-US"/>
        </w:rPr>
        <w:t xml:space="preserve"> </w:t>
      </w:r>
      <w:r w:rsidR="00E04EB0" w:rsidRPr="00E04EB0">
        <w:rPr>
          <w:lang w:val="en-US"/>
        </w:rPr>
        <w:t>were estimated using published indices.</w:t>
      </w:r>
      <w:r w:rsidR="005F4DAC">
        <w:rPr>
          <w:lang w:val="en-US"/>
        </w:rPr>
        <w:t xml:space="preserve"> </w:t>
      </w:r>
      <w:r w:rsidR="00E04EB0" w:rsidRPr="00E04EB0">
        <w:rPr>
          <w:lang w:val="en-US"/>
        </w:rPr>
        <w:t xml:space="preserve">The study coincided with extreme weather years. </w:t>
      </w:r>
      <w:r w:rsidR="00C1138B">
        <w:rPr>
          <w:lang w:val="en-US"/>
        </w:rPr>
        <w:t>Fall s</w:t>
      </w:r>
      <w:r w:rsidR="00E04EB0" w:rsidRPr="00E04EB0">
        <w:rPr>
          <w:lang w:val="en-US"/>
        </w:rPr>
        <w:t>oil cover remained stable (~75%) across treatments and years, while fall biomass varied. Radish cover crops consistently increased fall biomass relative to NoCC, whereas mixtures did not.</w:t>
      </w:r>
      <w:r w:rsidR="00436E4A" w:rsidRPr="00436E4A">
        <w:rPr>
          <w:lang w:val="en-US"/>
        </w:rPr>
        <w:t xml:space="preserve"> </w:t>
      </w:r>
      <w:r w:rsidR="00436E4A" w:rsidRPr="00E04EB0">
        <w:rPr>
          <w:lang w:val="en-US"/>
        </w:rPr>
        <w:t>Ecological value was highest in radish systems.</w:t>
      </w:r>
      <w:r w:rsidR="00E04EB0" w:rsidRPr="00E04EB0">
        <w:rPr>
          <w:lang w:val="en-US"/>
        </w:rPr>
        <w:t xml:space="preserve"> RadM contributed &gt;50% of total fall biomass, while other communities were dominated by crop volunteers. RadM systems exhibited the highest yields, fall biomass, and ecological value without increasing perennial weeds or pesticide use</w:t>
      </w:r>
      <w:r w:rsidR="00E04EB0">
        <w:rPr>
          <w:lang w:val="en-US"/>
        </w:rPr>
        <w:t xml:space="preserve"> compared to NoCC</w:t>
      </w:r>
      <w:r w:rsidR="00E04EB0" w:rsidRPr="00E04EB0">
        <w:rPr>
          <w:lang w:val="en-US"/>
        </w:rPr>
        <w:t>. In contrast, MixE reduced pesticide use but produced low and variable biomass</w:t>
      </w:r>
      <w:r w:rsidR="005F4DAC">
        <w:rPr>
          <w:lang w:val="en-US"/>
        </w:rPr>
        <w:t xml:space="preserve"> </w:t>
      </w:r>
      <w:r w:rsidR="00E04EB0" w:rsidRPr="00E04EB0">
        <w:rPr>
          <w:lang w:val="en-US"/>
        </w:rPr>
        <w:t>and low-value plant communities</w:t>
      </w:r>
      <w:r w:rsidR="005F4DAC">
        <w:rPr>
          <w:lang w:val="en-US"/>
        </w:rPr>
        <w:t xml:space="preserve">, and without tillage exhibited </w:t>
      </w:r>
      <w:r w:rsidR="005F4DAC" w:rsidRPr="00E04EB0">
        <w:rPr>
          <w:lang w:val="en-US"/>
        </w:rPr>
        <w:t>high perennial weed legacies</w:t>
      </w:r>
      <w:r w:rsidR="00E04EB0" w:rsidRPr="00E04EB0">
        <w:rPr>
          <w:lang w:val="en-US"/>
        </w:rPr>
        <w:t xml:space="preserve">. Overall, radish cover crops provided more consistent benefits than grass/clover mixtures or NoCC but did not reduce pesticide </w:t>
      </w:r>
      <w:r w:rsidR="005F4DAC">
        <w:rPr>
          <w:lang w:val="en-US"/>
        </w:rPr>
        <w:t>toxicity</w:t>
      </w:r>
      <w:r w:rsidR="00E04EB0" w:rsidRPr="00E04EB0">
        <w:rPr>
          <w:lang w:val="en-US"/>
        </w:rPr>
        <w:t>.</w:t>
      </w:r>
    </w:p>
    <w:p w14:paraId="6795BA4E" w14:textId="77777777" w:rsidR="00AE1EFC" w:rsidRPr="006C3DC0" w:rsidRDefault="00AE1EFC" w:rsidP="00045088">
      <w:pPr>
        <w:spacing w:line="360" w:lineRule="auto"/>
        <w:rPr>
          <w:b/>
          <w:bCs/>
          <w:lang w:val="en-US"/>
        </w:rPr>
      </w:pPr>
    </w:p>
    <w:p w14:paraId="5BA4076E" w14:textId="09D72F9E" w:rsidR="0053182E" w:rsidRPr="00045088" w:rsidRDefault="008141BB" w:rsidP="00045088">
      <w:pPr>
        <w:spacing w:line="360" w:lineRule="auto"/>
        <w:rPr>
          <w:b/>
          <w:bCs/>
        </w:rPr>
      </w:pPr>
      <w:r w:rsidRPr="00045088">
        <w:rPr>
          <w:b/>
          <w:bCs/>
        </w:rPr>
        <w:t>1  INTRODUCTION</w:t>
      </w:r>
    </w:p>
    <w:p w14:paraId="0E1CB2B0" w14:textId="77777777" w:rsidR="00033458" w:rsidRDefault="006C3DC0" w:rsidP="00E41219">
      <w:pPr>
        <w:spacing w:line="360" w:lineRule="auto"/>
        <w:rPr>
          <w:lang w:val="da-DK"/>
        </w:rPr>
      </w:pPr>
      <w:r w:rsidRPr="006C3DC0">
        <w:rPr>
          <w:lang w:val="en-US"/>
        </w:rPr>
        <w:t xml:space="preserve">Environmental pressures resulting from population growth and climate change have led to a significant decline in </w:t>
      </w:r>
      <w:r>
        <w:rPr>
          <w:lang w:val="en-US"/>
        </w:rPr>
        <w:t xml:space="preserve">global </w:t>
      </w:r>
      <w:r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Pr="006C3DC0">
        <w:rPr>
          <w:lang w:val="en-US"/>
        </w:rPr>
        <w:t>. Given th</w:t>
      </w:r>
      <w:r w:rsidR="00A240D9">
        <w:rPr>
          <w:lang w:val="en-US"/>
        </w:rPr>
        <w:t xml:space="preserve">at &gt;40%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Pr="006C3DC0">
        <w:rPr>
          <w:lang w:val="en-US"/>
        </w:rPr>
        <w:t>. Consequently, there is a growing need for agricultural systems that integrate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Pr="006C3DC0">
        <w:rPr>
          <w:lang w:val="en-US"/>
        </w:rPr>
        <w:t xml:space="preserve">. In response, researchers are increasingly assessing non-crop plant communities (e.g., weeds) and their attendant management strategies for their </w:t>
      </w:r>
      <w:r>
        <w:rPr>
          <w:lang w:val="en-US"/>
        </w:rPr>
        <w:t>potential ecological</w:t>
      </w:r>
      <w:r w:rsidR="007C0649">
        <w:rPr>
          <w:lang w:val="en-US"/>
        </w:rPr>
        <w:t xml:space="preserve"> and environmental implications in tandem with </w:t>
      </w:r>
      <w:r>
        <w:rPr>
          <w:lang w:val="en-US"/>
        </w:rPr>
        <w:lastRenderedPageBreak/>
        <w:t>agronomic i</w:t>
      </w:r>
      <w:r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Pr="009B1DCF">
        <w:rPr>
          <w:lang w:val="da-DK"/>
        </w:rPr>
        <w:t xml:space="preserve">. </w:t>
      </w:r>
    </w:p>
    <w:p w14:paraId="2076A373" w14:textId="281D6498" w:rsidR="00541BA9" w:rsidRPr="00033458" w:rsidRDefault="003A1B51" w:rsidP="00E41219">
      <w:pPr>
        <w:spacing w:line="360" w:lineRule="auto"/>
        <w:rPr>
          <w:lang w:val="en-US"/>
        </w:rPr>
      </w:pPr>
      <w:r>
        <w:rPr>
          <w:lang w:val="en-US"/>
        </w:rPr>
        <w:t xml:space="preserve">As a corollary, identifying spatial and temporal niches where the potential negative impacts of non-crop vegetation on production are minimized is a promising line of research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890183">
        <w:rPr>
          <w:lang w:val="en-US"/>
        </w:rPr>
        <w:instrText xml:space="preserve"> ADDIN ZOTERO_ITEM CSL_CITATION {"citationID":"Ds4YQY3n","properties":{"formattedCitation":"(Adeux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schema":"https://github.com/citation-style-language/schema/raw/master/csl-citation.json"} </w:instrText>
      </w:r>
      <w:r w:rsidR="006C3DC0" w:rsidRPr="006C3DC0">
        <w:rPr>
          <w:lang w:val="en-US"/>
        </w:rPr>
        <w:fldChar w:fldCharType="separate"/>
      </w:r>
      <w:r w:rsidR="00890183" w:rsidRPr="00890183">
        <w:t>(Adeux et al., 2021, 2023; Leskovšek et al., 2025; Rouge et al., 2023)</w:t>
      </w:r>
      <w:r w:rsidR="006C3DC0" w:rsidRPr="006C3DC0">
        <w:fldChar w:fldCharType="end"/>
      </w:r>
      <w:r w:rsidR="006C3DC0" w:rsidRPr="006C3DC0">
        <w:rPr>
          <w:lang w:val="en-US"/>
        </w:rPr>
        <w:t xml:space="preserve">. It follows that fall vegetation may present a unique opportunity for optimization, allowing the expression of ecologically beneficial </w:t>
      </w:r>
      <w:r w:rsidR="009B1DCF">
        <w:rPr>
          <w:lang w:val="en-US"/>
        </w:rPr>
        <w:t>communities</w:t>
      </w:r>
      <w:r w:rsidR="006C3DC0" w:rsidRPr="006C3DC0">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C75545">
        <w:rPr>
          <w:lang w:val="da-DK"/>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 </w:t>
      </w:r>
      <w:r w:rsidR="00E41219" w:rsidRPr="006C3DC0">
        <w:rPr>
          <w:lang w:val="en-US"/>
        </w:rPr>
        <w:fldChar w:fldCharType="begin"/>
      </w:r>
      <w:r w:rsidR="00DB3916" w:rsidRPr="00DB3916">
        <w:rPr>
          <w:lang w:val="en-US"/>
        </w:rPr>
        <w:instrText xml:space="preserve"> ADDIN ZOTERO_ITEM CSL_CITATION {"citationID":"0p9EcyBw","properties":{"formattedCitation":"(Miranda-V\\uc0\\u233{}lez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w:instrText>
      </w:r>
      <w:r w:rsidR="00DB3916" w:rsidRPr="008D3E81">
        <w:rPr>
          <w:lang w:val="en-US"/>
        </w:rPr>
        <w:instrText xml:space="preserve">relative to </w:instrText>
      </w:r>
      <w:r w:rsidR="00DB3916">
        <w:rPr>
          <w:lang w:val="da-DK"/>
        </w:rPr>
        <w:instrText xml:space="preserve">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E41219" w:rsidRPr="006C3DC0">
        <w:rPr>
          <w:lang w:val="en-US"/>
        </w:rPr>
        <w:fldChar w:fldCharType="separate"/>
      </w:r>
      <w:r w:rsidR="00DB3916" w:rsidRPr="00DB3916">
        <w:t>(Miranda-Vélez et al., 2026; Sullivan et al., 2017)</w:t>
      </w:r>
      <w:r w:rsidR="00E41219" w:rsidRPr="006C3DC0">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While direct measurements of benefits are the most reliable, such measurements are not always available nor feasible. Accordingly,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harms of non-crop vegetation</w:t>
      </w:r>
      <w:r w:rsidR="00A04631">
        <w:rPr>
          <w:lang w:val="en-US"/>
        </w:rPr>
        <w:t xml:space="preserve"> have been proposed </w:t>
      </w:r>
      <w:r w:rsidR="009B1DCF" w:rsidRPr="00541BA9">
        <w:rPr>
          <w:highlight w:val="yellow"/>
          <w:lang w:val="en-US"/>
        </w:rPr>
        <w:t>(</w:t>
      </w:r>
      <w:commentRangeStart w:id="1"/>
      <w:r w:rsidR="009B1DCF" w:rsidRPr="00541BA9">
        <w:rPr>
          <w:highlight w:val="yellow"/>
          <w:lang w:val="en-US"/>
        </w:rPr>
        <w:t>Gentili et al. (in review)</w:t>
      </w:r>
      <w:commentRangeEnd w:id="1"/>
      <w:r w:rsidR="00541BA9">
        <w:rPr>
          <w:rStyle w:val="CommentReference"/>
          <w:sz w:val="24"/>
          <w:szCs w:val="24"/>
          <w:lang w:val="en-US"/>
        </w:rPr>
        <w:commentReference w:id="1"/>
      </w:r>
      <w:r w:rsidR="009B1DCF">
        <w:rPr>
          <w:lang w:val="en-US"/>
        </w:rPr>
        <w:t xml:space="preserve">). </w:t>
      </w:r>
      <w:r w:rsidR="001C0F78">
        <w:rPr>
          <w:lang w:val="en-US"/>
        </w:rPr>
        <w:t xml:space="preserve">Each approach </w:t>
      </w:r>
      <w:r w:rsidR="009217F6">
        <w:rPr>
          <w:lang w:val="en-US"/>
        </w:rPr>
        <w:t>has different data requirements and produces outcomes that vary in scope, scale, and applicability. T</w:t>
      </w:r>
      <w:r w:rsidR="001C0F78">
        <w:rPr>
          <w:lang w:val="en-US"/>
        </w:rPr>
        <w:t xml:space="preserve">his </w:t>
      </w:r>
      <w:r w:rsidR="00E41219">
        <w:t>lack of a universally accepted methodology precludes comparisons between studies</w:t>
      </w:r>
      <w:r w:rsidR="007C0649">
        <w:t xml:space="preserve">, but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6F12DE0A" w14:textId="0981A1BC" w:rsidR="00E41219" w:rsidRPr="00033FDA" w:rsidRDefault="00541BA9" w:rsidP="00E41219">
      <w:pPr>
        <w:spacing w:line="360" w:lineRule="auto"/>
      </w:pPr>
      <w:r w:rsidRPr="00541BA9">
        <w:t xml:space="preserve">Pesticides are key contributors in shaping non-crop vegetation communities, and the need for their use varies in different cropping systems. Given the </w:t>
      </w:r>
      <w:r>
        <w:t>well-documented</w:t>
      </w:r>
      <w:r w:rsidRPr="00541BA9">
        <w:t xml:space="preserve"> </w:t>
      </w:r>
      <w:r>
        <w:t xml:space="preserve">externalities </w:t>
      </w:r>
      <w:r w:rsidRPr="00541BA9">
        <w:t>of pesticide use</w:t>
      </w:r>
      <w:r>
        <w:t xml:space="preserve"> </w:t>
      </w:r>
      <w:r>
        <w:fldChar w:fldCharType="begin"/>
      </w:r>
      <w:r>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fldChar w:fldCharType="separate"/>
      </w:r>
      <w:r w:rsidRPr="00F26976">
        <w:t>(Rani et al., 2021; Sharma et al., 2019; Wan et al., 2025)</w:t>
      </w:r>
      <w:r>
        <w:fldChar w:fldCharType="end"/>
      </w:r>
      <w:r w:rsidRPr="00541BA9">
        <w:t xml:space="preserve">, </w:t>
      </w:r>
      <w:r>
        <w:t xml:space="preserve">accounting for both the benefits and harms of pesticide use can </w:t>
      </w:r>
      <w:r w:rsidR="00033FDA">
        <w:t>contribute to</w:t>
      </w:r>
      <w:r>
        <w:t xml:space="preserve"> a</w:t>
      </w:r>
      <w:r w:rsidR="00033FDA">
        <w:t xml:space="preserve"> more comprehensive evaluation </w:t>
      </w:r>
      <w:r w:rsidRPr="00541BA9">
        <w:t>of cropping systems</w:t>
      </w:r>
      <w:r w:rsidR="00E45AC5">
        <w:rPr>
          <w:lang w:val="en-US"/>
        </w:rPr>
        <w:t>.</w:t>
      </w:r>
      <w:r w:rsidR="00033FDA">
        <w:rPr>
          <w:lang w:val="en-US"/>
        </w:rPr>
        <w:t xml:space="preserve"> </w:t>
      </w:r>
      <w:r w:rsidR="00F51540">
        <w:rPr>
          <w:lang w:val="en-US"/>
        </w:rPr>
        <w:t>While site-specific estimates of risks resulting from pesticide use are possible, they require detailed data and specialized knowledge</w:t>
      </w:r>
      <w:r w:rsidR="0060270F">
        <w:rPr>
          <w:lang w:val="en-US"/>
        </w:rPr>
        <w:t xml:space="preserve"> that may not be available (</w:t>
      </w:r>
      <w:r w:rsidR="0060270F" w:rsidRPr="00033458">
        <w:rPr>
          <w:highlight w:val="yellow"/>
          <w:lang w:val="en-US"/>
        </w:rPr>
        <w:t>CITE Rainford</w:t>
      </w:r>
      <w:r w:rsidR="0060270F">
        <w:rPr>
          <w:lang w:val="en-US"/>
        </w:rPr>
        <w:t>). I</w:t>
      </w:r>
      <w:r w:rsidR="00033FDA">
        <w:rPr>
          <w:lang w:val="en-US"/>
        </w:rPr>
        <w:t>ndices</w:t>
      </w:r>
      <w:r w:rsidR="004B32D1">
        <w:rPr>
          <w:lang w:val="en-US"/>
        </w:rPr>
        <w:t xml:space="preserve"> or characterization factors</w:t>
      </w:r>
      <w:r w:rsidR="00033FDA">
        <w:rPr>
          <w:lang w:val="en-US"/>
        </w:rPr>
        <w:t xml:space="preserve"> </w:t>
      </w:r>
      <w:r w:rsidR="00F51540">
        <w:rPr>
          <w:lang w:val="en-US"/>
        </w:rPr>
        <w:t xml:space="preserve">based on the </w:t>
      </w:r>
      <w:r w:rsidR="00F51540" w:rsidRPr="004B32D1">
        <w:rPr>
          <w:i/>
          <w:iCs/>
          <w:lang w:val="en-US"/>
        </w:rPr>
        <w:t>potential</w:t>
      </w:r>
      <w:r w:rsidR="00F51540">
        <w:rPr>
          <w:lang w:val="en-US"/>
        </w:rPr>
        <w:t xml:space="preserve"> impacts </w:t>
      </w:r>
      <w:r w:rsidR="00033FDA">
        <w:rPr>
          <w:lang w:val="en-US"/>
        </w:rPr>
        <w:t xml:space="preserve">such as </w:t>
      </w:r>
      <w:r w:rsidR="00033FDA">
        <w:rPr>
          <w:lang w:val="en-US"/>
        </w:rPr>
        <w:lastRenderedPageBreak/>
        <w:t xml:space="preserve">the Pesticide Load </w:t>
      </w:r>
      <w:r w:rsidR="004B32D1">
        <w:rPr>
          <w:lang w:val="en-US"/>
        </w:rPr>
        <w:t xml:space="preserve">Indicators </w:t>
      </w:r>
      <w:r w:rsidR="00033FDA">
        <w:rPr>
          <w:lang w:val="en-US"/>
        </w:rPr>
        <w:fldChar w:fldCharType="begin"/>
      </w:r>
      <w:r w:rsidR="004B32D1">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B32D1"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033FDA">
        <w:rPr>
          <w:lang w:val="en-US"/>
        </w:rPr>
        <w:fldChar w:fldCharType="separate"/>
      </w:r>
      <w:r w:rsidR="004B32D1" w:rsidRPr="004B32D1">
        <w:rPr>
          <w:lang w:val="da-DK"/>
        </w:rPr>
        <w:t>(Kudsk et al., 2018; Vandevoorde et al., 2025)</w:t>
      </w:r>
      <w:r w:rsidR="00033FDA">
        <w:rPr>
          <w:lang w:val="en-US"/>
        </w:rPr>
        <w:fldChar w:fldCharType="end"/>
      </w:r>
      <w:r w:rsidR="00E45AC5" w:rsidRPr="004B32D1">
        <w:rPr>
          <w:lang w:val="da-DK"/>
        </w:rPr>
        <w:t xml:space="preserve"> </w:t>
      </w:r>
      <w:r w:rsidR="004B32D1" w:rsidRPr="004B32D1">
        <w:rPr>
          <w:lang w:val="da-DK"/>
        </w:rPr>
        <w:t xml:space="preserve">or </w:t>
      </w:r>
      <w:r w:rsidR="004B32D1" w:rsidRPr="00B444A3">
        <w:rPr>
          <w:lang w:val="en-US"/>
        </w:rPr>
        <w:t xml:space="preserve">the USEtox database </w:t>
      </w:r>
      <w:r w:rsidR="004B32D1">
        <w:rPr>
          <w:lang w:val="en-US"/>
        </w:rPr>
        <w:fldChar w:fldCharType="begin"/>
      </w:r>
      <w:r w:rsidR="004B32D1" w:rsidRPr="00B444A3">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B32D1" w:rsidRPr="004B32D1">
        <w:rPr>
          <w:lang w:val="en-US"/>
        </w:rPr>
        <w:instrText xml:space="preserve">le-language/schema/raw/master/csl-citation.json"} </w:instrText>
      </w:r>
      <w:r w:rsidR="004B32D1">
        <w:rPr>
          <w:lang w:val="en-US"/>
        </w:rPr>
        <w:fldChar w:fldCharType="separate"/>
      </w:r>
      <w:r w:rsidR="004B32D1" w:rsidRPr="004B32D1">
        <w:rPr>
          <w:lang w:val="en-US"/>
        </w:rPr>
        <w:t>(Westh et al., 2015)</w:t>
      </w:r>
      <w:r w:rsidR="004B32D1">
        <w:rPr>
          <w:lang w:val="en-US"/>
        </w:rPr>
        <w:fldChar w:fldCharType="end"/>
      </w:r>
      <w:r w:rsidR="004B32D1" w:rsidRPr="004B32D1">
        <w:rPr>
          <w:lang w:val="en-US"/>
        </w:rPr>
        <w:t xml:space="preserve"> </w:t>
      </w:r>
      <w:r w:rsidR="004B32D1">
        <w:rPr>
          <w:lang w:val="en-US"/>
        </w:rPr>
        <w:t>can</w:t>
      </w:r>
      <w:r w:rsidR="00033FDA">
        <w:rPr>
          <w:lang w:val="en-US"/>
        </w:rPr>
        <w:t xml:space="preserve"> provide </w:t>
      </w:r>
      <w:r w:rsidR="004B32D1">
        <w:rPr>
          <w:lang w:val="en-US"/>
        </w:rPr>
        <w:t xml:space="preserve">reliable and </w:t>
      </w:r>
      <w:r w:rsidR="00F51540">
        <w:rPr>
          <w:lang w:val="en-US"/>
        </w:rPr>
        <w:t>scientifically based estimates</w:t>
      </w:r>
      <w:r w:rsidR="0060270F">
        <w:rPr>
          <w:lang w:val="en-US"/>
        </w:rPr>
        <w:t xml:space="preserve"> </w:t>
      </w:r>
      <w:r w:rsidR="004B32D1">
        <w:rPr>
          <w:lang w:val="en-US"/>
        </w:rPr>
        <w:t xml:space="preserve">based only on active ingredients and application rates </w:t>
      </w:r>
      <w:r w:rsidR="00F51540">
        <w:rPr>
          <w:lang w:val="en-US"/>
        </w:rPr>
        <w:fldChar w:fldCharType="begin"/>
      </w:r>
      <w:r w:rsidR="00F51540">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F51540">
        <w:rPr>
          <w:lang w:val="en-US"/>
        </w:rPr>
        <w:fldChar w:fldCharType="separate"/>
      </w:r>
      <w:r w:rsidR="00F51540" w:rsidRPr="00F51540">
        <w:t>(Lewis et al., 2021)</w:t>
      </w:r>
      <w:r w:rsidR="00F51540">
        <w:rPr>
          <w:lang w:val="en-US"/>
        </w:rPr>
        <w:fldChar w:fldCharType="end"/>
      </w:r>
      <w:r w:rsidR="00F51540">
        <w:rPr>
          <w:lang w:val="en-US"/>
        </w:rPr>
        <w:t xml:space="preserve">. </w:t>
      </w:r>
    </w:p>
    <w:p w14:paraId="0719C51B" w14:textId="0F205E45" w:rsidR="00F26976" w:rsidRDefault="00E45AC5" w:rsidP="006C3DC0">
      <w:pPr>
        <w:spacing w:line="360" w:lineRule="auto"/>
        <w:rPr>
          <w:lang w:val="en-US"/>
        </w:rPr>
      </w:pPr>
      <w:r>
        <w:rPr>
          <w:lang w:val="en-US"/>
        </w:rPr>
        <w:t>When considering fall vegetation, t</w:t>
      </w:r>
      <w:r w:rsidR="006C3DC0" w:rsidRPr="006C3DC0">
        <w:rPr>
          <w:lang w:val="en-US"/>
        </w:rPr>
        <w:t>he interaction</w:t>
      </w:r>
      <w:r>
        <w:rPr>
          <w:lang w:val="en-US"/>
        </w:rPr>
        <w:t>s</w:t>
      </w:r>
      <w:r w:rsidR="006C3DC0" w:rsidRPr="006C3DC0">
        <w:rPr>
          <w:lang w:val="en-US"/>
        </w:rPr>
        <w:t xml:space="preserve"> between cover crops, tillage and residue management </w:t>
      </w:r>
      <w:r w:rsidR="00484C33">
        <w:rPr>
          <w:lang w:val="en-US"/>
        </w:rPr>
        <w:t>are</w:t>
      </w:r>
      <w:r w:rsidR="006C3DC0" w:rsidRPr="006C3DC0">
        <w:rPr>
          <w:lang w:val="en-US"/>
        </w:rPr>
        <w:t xml:space="preserve"> complex</w:t>
      </w:r>
      <w:r>
        <w:rPr>
          <w:lang w:val="en-US"/>
        </w:rPr>
        <w:t>. While previous studies have looked at these interactions</w:t>
      </w:r>
      <w:r w:rsidR="00F26976">
        <w:rPr>
          <w:lang w:val="en-US"/>
        </w:rPr>
        <w:t>’ impacts on non-crop vegetation</w:t>
      </w:r>
      <w:r>
        <w:rPr>
          <w:lang w:val="en-US"/>
        </w:rPr>
        <w:t>, it is most often within the framework of reducing the presence of weeds</w:t>
      </w:r>
      <w:r w:rsidR="005579A3">
        <w:rPr>
          <w:lang w:val="en-US"/>
        </w:rPr>
        <w:t xml:space="preserve"> and their disservices</w:t>
      </w:r>
      <w:r w:rsidR="00704184">
        <w:rPr>
          <w:lang w:val="en-US"/>
        </w:rPr>
        <w:t xml:space="preserve"> </w:t>
      </w:r>
      <w:r w:rsidR="00774D16">
        <w:rPr>
          <w:lang w:val="en-US"/>
        </w:rPr>
        <w:t>(e.g.,</w:t>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 xml:space="preserve">. </w:t>
      </w:r>
    </w:p>
    <w:p w14:paraId="1A58BE66" w14:textId="30D34C83" w:rsidR="006C3DC0" w:rsidRPr="006C3DC0" w:rsidRDefault="006C3DC0" w:rsidP="006C3DC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D34E34">
        <w:rPr>
          <w:lang w:val="en-US"/>
        </w:rPr>
        <w:t xml:space="preserve">study platform with </w:t>
      </w:r>
      <w:r w:rsidRPr="006C3DC0">
        <w:rPr>
          <w:lang w:val="en-US"/>
        </w:rPr>
        <w:t>six combinations of tillage and residue managements</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W</w:t>
      </w:r>
      <w:r w:rsidR="00D34E34">
        <w:rPr>
          <w:lang w:val="en-US"/>
        </w:rPr>
        <w:t xml:space="preserve">e applied </w:t>
      </w:r>
      <w:r w:rsidR="00D34E34" w:rsidRPr="006C3DC0">
        <w:rPr>
          <w:lang w:val="en-US"/>
        </w:rPr>
        <w:t>f</w:t>
      </w:r>
      <w:r w:rsidR="004B32D1">
        <w:rPr>
          <w:lang w:val="en-US"/>
        </w:rPr>
        <w:t>our</w:t>
      </w:r>
      <w:r w:rsidR="00D34E34" w:rsidRPr="006C3DC0">
        <w:rPr>
          <w:lang w:val="en-US"/>
        </w:rPr>
        <w:t xml:space="preserve"> cover cropping systems</w:t>
      </w:r>
      <w:r w:rsidR="004B32D1">
        <w:rPr>
          <w:lang w:val="en-US"/>
        </w:rPr>
        <w:t xml:space="preserve"> plus a no-cover control to this platform</w:t>
      </w:r>
      <w:r w:rsidR="0001054F">
        <w:rPr>
          <w:lang w:val="en-US"/>
        </w:rPr>
        <w:t xml:space="preserve"> (for a total of 30 cropping system treatments)</w:t>
      </w:r>
      <w:r w:rsidR="004B32D1">
        <w:rPr>
          <w:lang w:val="en-US"/>
        </w:rPr>
        <w:t xml:space="preserve">. These </w:t>
      </w:r>
      <w:r w:rsidR="0001054F">
        <w:rPr>
          <w:lang w:val="en-US"/>
        </w:rPr>
        <w:t>treatments</w:t>
      </w:r>
      <w:r w:rsidR="004B32D1">
        <w:rPr>
          <w:lang w:val="en-US"/>
        </w:rPr>
        <w:t xml:space="preserve"> were applied to a </w:t>
      </w:r>
      <w:r w:rsidR="00D34E34">
        <w:rPr>
          <w:lang w:val="en-US"/>
        </w:rPr>
        <w:t>three-year sequence of crops</w:t>
      </w:r>
      <w:r w:rsidR="0001054F">
        <w:rPr>
          <w:lang w:val="en-US"/>
        </w:rPr>
        <w:t>. The goal of the study was to</w:t>
      </w:r>
      <w:r w:rsidR="00CD7E08">
        <w:rPr>
          <w:lang w:val="en-US"/>
        </w:rPr>
        <w:t xml:space="preserve"> </w:t>
      </w:r>
      <w:r w:rsidRPr="006C3DC0">
        <w:rPr>
          <w:lang w:val="en-US"/>
        </w:rPr>
        <w:t xml:space="preserve">examine how addition of cover crops </w:t>
      </w:r>
      <w:r w:rsidR="00CD7E08">
        <w:rPr>
          <w:lang w:val="en-US"/>
        </w:rPr>
        <w:t xml:space="preserve">to different tillage/residue cropping systems </w:t>
      </w:r>
      <w:r w:rsidRPr="006C3DC0">
        <w:rPr>
          <w:lang w:val="en-US"/>
        </w:rPr>
        <w:t>impacted:</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061189E2" w:rsidR="006C3DC0" w:rsidRPr="006C3DC0" w:rsidRDefault="006C3DC0" w:rsidP="006F3CE0">
      <w:pPr>
        <w:numPr>
          <w:ilvl w:val="0"/>
          <w:numId w:val="1"/>
        </w:numPr>
        <w:spacing w:line="360" w:lineRule="auto"/>
        <w:rPr>
          <w:lang w:val="en-US"/>
        </w:rPr>
      </w:pPr>
      <w:r w:rsidRPr="006C3DC0">
        <w:rPr>
          <w:lang w:val="en-US"/>
        </w:rPr>
        <w:t>Soil protection</w:t>
      </w:r>
      <w:r w:rsidR="00901263">
        <w:rPr>
          <w:lang w:val="en-US"/>
        </w:rPr>
        <w:t xml:space="preserve"> (e.g., coverage)</w:t>
      </w:r>
    </w:p>
    <w:p w14:paraId="47F50C6C" w14:textId="3A43D352" w:rsidR="006C3DC0" w:rsidRPr="006C3DC0" w:rsidRDefault="006F3CE0" w:rsidP="006F3CE0">
      <w:pPr>
        <w:numPr>
          <w:ilvl w:val="0"/>
          <w:numId w:val="1"/>
        </w:numPr>
        <w:spacing w:line="360" w:lineRule="auto"/>
        <w:rPr>
          <w:lang w:val="en-US"/>
        </w:rPr>
      </w:pPr>
      <w:r>
        <w:rPr>
          <w:lang w:val="en-US"/>
        </w:rPr>
        <w:t>Potential</w:t>
      </w:r>
      <w:r w:rsidR="00806BB5">
        <w:rPr>
          <w:lang w:val="en-US"/>
        </w:rPr>
        <w:t xml:space="preserve"> to reduce </w:t>
      </w:r>
      <w:r w:rsidR="006C3DC0" w:rsidRPr="006C3DC0">
        <w:rPr>
          <w:lang w:val="en-US"/>
        </w:rPr>
        <w:t>nitrate leaching</w:t>
      </w:r>
      <w:r w:rsidR="00901263">
        <w:rPr>
          <w:lang w:val="en-US"/>
        </w:rPr>
        <w:t xml:space="preserve"> (e.g., biomass)</w:t>
      </w:r>
    </w:p>
    <w:p w14:paraId="1EEA56D7" w14:textId="67CD381C" w:rsidR="006C3DC0" w:rsidRPr="006C3DC0" w:rsidRDefault="006F3CE0" w:rsidP="006F3CE0">
      <w:pPr>
        <w:numPr>
          <w:ilvl w:val="0"/>
          <w:numId w:val="1"/>
        </w:numPr>
        <w:spacing w:line="360" w:lineRule="auto"/>
        <w:rPr>
          <w:lang w:val="en-US"/>
        </w:rPr>
      </w:pPr>
      <w:r>
        <w:rPr>
          <w:lang w:val="en-US"/>
        </w:rPr>
        <w:t>Potential p</w:t>
      </w:r>
      <w:r w:rsidR="006C3DC0" w:rsidRPr="006C3DC0">
        <w:rPr>
          <w:lang w:val="en-US"/>
        </w:rPr>
        <w:t>lant community ecological value</w:t>
      </w:r>
      <w:r w:rsidR="00901263">
        <w:rPr>
          <w:lang w:val="en-US"/>
        </w:rPr>
        <w:t xml:space="preserve"> (e.g., pollinator and food web support)</w:t>
      </w:r>
    </w:p>
    <w:p w14:paraId="4FBD8672" w14:textId="46EE801C" w:rsidR="006C3DC0" w:rsidRDefault="006F3CE0" w:rsidP="006F3CE0">
      <w:pPr>
        <w:numPr>
          <w:ilvl w:val="0"/>
          <w:numId w:val="1"/>
        </w:numPr>
        <w:spacing w:line="360" w:lineRule="auto"/>
        <w:rPr>
          <w:lang w:val="en-US"/>
        </w:rPr>
      </w:pPr>
      <w:r>
        <w:rPr>
          <w:lang w:val="en-US"/>
        </w:rPr>
        <w:t xml:space="preserve">Potential to cause future </w:t>
      </w:r>
      <w:r w:rsidR="006C3DC0" w:rsidRPr="006C3DC0">
        <w:rPr>
          <w:lang w:val="en-US"/>
        </w:rPr>
        <w:t>agronomic harm</w:t>
      </w:r>
      <w:r w:rsidR="00901263">
        <w:rPr>
          <w:lang w:val="en-US"/>
        </w:rPr>
        <w:t xml:space="preserve"> (e.g., perennial weed legacies)</w:t>
      </w:r>
    </w:p>
    <w:p w14:paraId="77217DA1" w14:textId="3D39673A" w:rsidR="001A1339" w:rsidRPr="006C3DC0" w:rsidRDefault="001A1339" w:rsidP="006F3CE0">
      <w:pPr>
        <w:numPr>
          <w:ilvl w:val="0"/>
          <w:numId w:val="1"/>
        </w:numPr>
        <w:spacing w:line="360" w:lineRule="auto"/>
        <w:rPr>
          <w:lang w:val="en-US"/>
        </w:rPr>
      </w:pPr>
      <w:r>
        <w:rPr>
          <w:lang w:val="en-US"/>
        </w:rPr>
        <w:t>P</w:t>
      </w:r>
      <w:r w:rsidR="005579A3">
        <w:rPr>
          <w:lang w:val="en-US"/>
        </w:rPr>
        <w:t>otential p</w:t>
      </w:r>
      <w:r>
        <w:rPr>
          <w:lang w:val="en-US"/>
        </w:rPr>
        <w:t xml:space="preserve">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806BB5">
        <w:rPr>
          <w:lang w:val="en-US"/>
        </w:rPr>
        <w:t>environment</w:t>
      </w:r>
    </w:p>
    <w:p w14:paraId="5F62FED0" w14:textId="6456C1B2" w:rsidR="00F371C1" w:rsidRPr="00045088" w:rsidRDefault="00CD7E08" w:rsidP="00F371C1">
      <w:pPr>
        <w:spacing w:line="360" w:lineRule="auto"/>
      </w:pPr>
      <w:r w:rsidRPr="006C3DC0">
        <w:rPr>
          <w:lang w:val="en-US"/>
        </w:rPr>
        <w:t>These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r>
        <w:rPr>
          <w:lang w:val="en-US"/>
        </w:rPr>
        <w:t xml:space="preserve"> </w:t>
      </w:r>
      <w:r w:rsidR="00F371C1">
        <w:rPr>
          <w:lang w:val="en-US"/>
        </w:rPr>
        <w:t xml:space="preserve">We hypothesized there would be tradeoffs between outcomes, with no single system offering the best performance in all desired areas, but that clear accounting </w:t>
      </w:r>
      <w:r w:rsidR="00F35751">
        <w:rPr>
          <w:lang w:val="en-US"/>
        </w:rPr>
        <w:t xml:space="preserve">using multicriteria evaluation methods would </w:t>
      </w:r>
      <w:r w:rsidR="00F371C1">
        <w:rPr>
          <w:lang w:val="en-US"/>
        </w:rPr>
        <w:t xml:space="preserve">aid in identifying </w:t>
      </w:r>
      <w:r w:rsidR="00F35751">
        <w:rPr>
          <w:lang w:val="en-US"/>
        </w:rPr>
        <w:t>systems that optimize outcomes</w:t>
      </w:r>
      <w:r w:rsidR="00F371C1">
        <w:rPr>
          <w:lang w:val="en-US"/>
        </w:rPr>
        <w:t>.</w:t>
      </w:r>
    </w:p>
    <w:p w14:paraId="4021A756" w14:textId="7F598ADE" w:rsidR="0053182E" w:rsidRPr="00045088" w:rsidRDefault="006C3DC0" w:rsidP="00CD7E08">
      <w:pPr>
        <w:spacing w:line="360" w:lineRule="auto"/>
      </w:pPr>
      <w:r w:rsidRPr="006C3DC0">
        <w:rPr>
          <w:lang w:val="en-US"/>
        </w:rPr>
        <w:t xml:space="preserve">We </w:t>
      </w:r>
      <w:r w:rsidR="00257317">
        <w:rPr>
          <w:lang w:val="en-US"/>
        </w:rPr>
        <w:t xml:space="preserve">chose </w:t>
      </w:r>
      <w:r w:rsidR="00062BFA">
        <w:rPr>
          <w:lang w:val="en-US"/>
        </w:rPr>
        <w:t>not to</w:t>
      </w:r>
      <w:r w:rsidRPr="006C3DC0">
        <w:rPr>
          <w:lang w:val="en-US"/>
        </w:rPr>
        <w:t xml:space="preserve"> include the costs associated with cover crop implementation</w:t>
      </w:r>
      <w:r w:rsidR="00257317">
        <w:rPr>
          <w:lang w:val="en-US"/>
        </w:rPr>
        <w:t xml:space="preserve"> and labor requirements</w:t>
      </w:r>
      <w:r w:rsidRPr="006C3DC0">
        <w:rPr>
          <w:lang w:val="en-US"/>
        </w:rPr>
        <w:t xml:space="preserve">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lastRenderedPageBreak/>
        <w:t>n</w:t>
      </w:r>
      <w:r w:rsidR="00062BFA">
        <w:rPr>
          <w:lang w:val="en-US"/>
        </w:rPr>
        <w:t>itrogen status</w:t>
      </w:r>
      <w:r w:rsidR="00F371C1">
        <w:rPr>
          <w:lang w:val="en-US"/>
        </w:rPr>
        <w:t xml:space="preserve">, and greenhouse gas emissions are difficult to evaluate robustly over a period of three years </w:t>
      </w:r>
      <w:r w:rsidR="0054664B">
        <w:rPr>
          <w:lang w:val="en-US"/>
        </w:rPr>
        <w:fldChar w:fldCharType="begin"/>
      </w:r>
      <w:r w:rsidR="00A142CB">
        <w:rPr>
          <w:lang w:val="en-US"/>
        </w:rPr>
        <w:instrText xml:space="preserve"> ADDIN ZOTERO_ITEM CSL_CITATION {"citationID":"NPfXqdRB","properties":{"formattedCitation":"(Cusser et al., 2020; Smith, 2004)","plainCitation":"(Cusser et al., 2020;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A142CB">
        <w:rPr>
          <w:rFonts w:ascii="Cambria Math" w:hAnsi="Cambria Math" w:cs="Cambria Math"/>
          <w:lang w:val="en-US"/>
        </w:rPr>
        <w:instrText>∼</w:instrText>
      </w:r>
      <w:r w:rsidR="00A142CB">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A142CB" w:rsidRPr="00A142CB">
        <w:t>(Cusser et al., 2020; Smith, 2004)</w:t>
      </w:r>
      <w:r w:rsidR="0054664B">
        <w:rPr>
          <w:lang w:val="en-US"/>
        </w:rPr>
        <w:fldChar w:fldCharType="end"/>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r w:rsidRPr="003C7F19">
        <w:rPr>
          <w:b/>
          <w:bCs/>
        </w:rPr>
        <w:t xml:space="preserve">2  </w:t>
      </w:r>
      <w:r w:rsidR="00BA7F3D" w:rsidRPr="003C7F19">
        <w:rPr>
          <w:b/>
          <w:bCs/>
        </w:rPr>
        <w:t>MATERIALS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5E8A89A4" w14:textId="116D3123" w:rsidR="00CD7E08" w:rsidRPr="00CD7E08" w:rsidRDefault="00CD7E08" w:rsidP="00CD7E08">
      <w:pPr>
        <w:spacing w:line="360" w:lineRule="auto"/>
        <w:rPr>
          <w:lang w:val="en-US"/>
        </w:rPr>
      </w:pPr>
      <w:r w:rsidRPr="00CD7E08">
        <w:rPr>
          <w:lang w:val="en-US"/>
        </w:rPr>
        <w:t>This study was conducted within a larger long-term crop rotation</w:t>
      </w:r>
      <w:r w:rsidR="00F371C1">
        <w:rPr>
          <w:lang w:val="en-US"/>
        </w:rPr>
        <w:t>/</w:t>
      </w:r>
      <w:r w:rsidRPr="00CD7E08">
        <w:rPr>
          <w:lang w:val="en-US"/>
        </w:rPr>
        <w:t xml:space="preserve">tillage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The overall experimental design of the long-term experiment </w:t>
      </w:r>
      <w:r w:rsidR="00C91C94">
        <w:rPr>
          <w:lang w:val="en-US"/>
        </w:rPr>
        <w:t>is</w:t>
      </w:r>
      <w:r w:rsidRPr="00CD7E08">
        <w:rPr>
          <w:lang w:val="en-US"/>
        </w:rPr>
        <w:t xml:space="preserve"> a split-split plot with four replications. The main plot factor </w:t>
      </w:r>
      <w:r w:rsidR="00C91C94">
        <w:rPr>
          <w:lang w:val="en-US"/>
        </w:rPr>
        <w:t>i</w:t>
      </w:r>
      <w:r w:rsidR="00216616">
        <w:rPr>
          <w:lang w:val="en-US"/>
        </w:rPr>
        <w:t>s</w:t>
      </w:r>
      <w:r w:rsidRPr="00CD7E08">
        <w:rPr>
          <w:lang w:val="en-US"/>
        </w:rPr>
        <w:t xml:space="preserve"> crop</w:t>
      </w:r>
      <w:r w:rsidR="00216616">
        <w:rPr>
          <w:lang w:val="en-US"/>
        </w:rPr>
        <w:t>ping system</w:t>
      </w:r>
      <w:r w:rsidRPr="00CD7E08">
        <w:rPr>
          <w:lang w:val="en-US"/>
        </w:rPr>
        <w:t xml:space="preserve"> (four levels), the subplot </w:t>
      </w:r>
      <w:r w:rsidR="00C91C94">
        <w:rPr>
          <w:lang w:val="en-US"/>
        </w:rPr>
        <w:t>i</w:t>
      </w:r>
      <w:r w:rsidR="00216616">
        <w:rPr>
          <w:lang w:val="en-US"/>
        </w:rPr>
        <w:t>s</w:t>
      </w:r>
      <w:r w:rsidRPr="00CD7E08">
        <w:rPr>
          <w:lang w:val="en-US"/>
        </w:rPr>
        <w:t xml:space="preserve"> primary tillage system (four levels)</w:t>
      </w:r>
      <w:r w:rsidR="00C91C94">
        <w:rPr>
          <w:lang w:val="en-US"/>
        </w:rPr>
        <w:t xml:space="preserve">. </w:t>
      </w:r>
      <w:bookmarkStart w:id="2" w:name="_Hlk219901060"/>
      <w:r w:rsidR="007A49E4">
        <w:rPr>
          <w:lang w:val="en-US"/>
        </w:rPr>
        <w:t>Micro-plot</w:t>
      </w:r>
      <w:r w:rsidR="00C91C94">
        <w:rPr>
          <w:lang w:val="en-US"/>
        </w:rPr>
        <w:t>s</w:t>
      </w:r>
      <w:r w:rsidRPr="00CD7E08">
        <w:rPr>
          <w:lang w:val="en-US"/>
        </w:rPr>
        <w:t xml:space="preserve"> (six levels) w</w:t>
      </w:r>
      <w:r w:rsidR="00C91C94">
        <w:rPr>
          <w:lang w:val="en-US"/>
        </w:rPr>
        <w:t>ere</w:t>
      </w:r>
      <w:r w:rsidRPr="00CD7E08">
        <w:rPr>
          <w:lang w:val="en-US"/>
        </w:rPr>
        <w:t xml:space="preserve"> established to accommodate various sub-treatments within rotation and tillage combinations</w:t>
      </w:r>
      <w:r w:rsidR="00BB7C9B">
        <w:rPr>
          <w:lang w:val="en-US"/>
        </w:rPr>
        <w:t xml:space="preserve"> [see for example </w:t>
      </w:r>
      <w:r w:rsidR="00BB7C9B">
        <w:rPr>
          <w:lang w:val="en-US"/>
        </w:rPr>
        <w:fldChar w:fldCharType="begin"/>
      </w:r>
      <w:r w:rsidR="00BB7C9B">
        <w:rPr>
          <w:lang w:val="en-US"/>
        </w:rPr>
        <w:instrText xml:space="preserve"> ADDIN ZOTERO_ITEM CSL_CITATION {"citationID":"8fszEBzG","properties":{"formattedCitation":"(Melander et al., 2008)","plainCitation":"(Melander et al., 2008)","noteIndex":0},"citationItems":[{"id":1513,"uris":["http://zotero.org/users/3599437/items/VDA8RHYR"],"itemData":{"id":1513,"type":"article-journal","abstract":"Apera spica-venti is a winter annual grass and, increasingly, a severe weed problem in autumn-sown crops. Non-inversion tillage has become more common in Denmark in recent years, but may accentuate problems with A. spica-venti. These problems may be avoided, if selected preventive and cultural weed management practices are adopted. To this end, we conducted a 4-year field study investigating the effects of crop rotation, tillage method, location and limited herbicide input on A. spica-venti population dynamics and crop yield. Additionally, detailed studies were performed on the fate of A. spica-venti seeds when incorporated to different soil depths. The location with a lighter soil texture, cooler climate and higher rainfall favoured A. spica-venti growth and consequently crop yield loss, especially in the crop sequence comprised only of autumn-sown crops and with non-inversion tine tillage. Incorporating A. spica-venti seeds in the soil improved their survival, explaining the higher A. spica-venti proliferation seen with tine tillage as opposed to direct drilling. The rotations including an even mixture of spring- and autumn-sown crops did not lead to noteworthy changes in the A. spica-venti population, irrespective of tillage method. Thus, in many regions, management of A. spica-venti will require rotations that balance autumn- and spring-sown crops.","container-title":"Weed Research","DOI":"10.1111/j.1365-3180.2008.00597.x","ISSN":"1365-3180","issue":"1","language":"en","note":"_eprint: https://onlinelibrary.wiley.com/doi/pdf/10.1111/j.1365-3180.2008.00597.x","page":"48-57","source":"Wiley Online Library","title":"Apera spica-venti population dynamics and impact on crop yield as affected by tillage, crop rotation, location and herbicide programmes","volume":"48","author":[{"family":"Melander","given":"B"},{"family":"Holst","given":"N"},{"family":"Jensen","given":"P K"},{"family":"Hansen","given":"E M"},{"family":"Olesen","given":"J E"}],"issued":{"date-parts":[["2008"]]}}}],"schema":"https://github.com/citation-style-language/schema/raw/master/csl-citation.json"} </w:instrText>
      </w:r>
      <w:r w:rsidR="00BB7C9B">
        <w:rPr>
          <w:lang w:val="en-US"/>
        </w:rPr>
        <w:fldChar w:fldCharType="separate"/>
      </w:r>
      <w:r w:rsidR="00BB7C9B" w:rsidRPr="00BB7C9B">
        <w:t>(Melander et al., 2008)</w:t>
      </w:r>
      <w:r w:rsidR="00BB7C9B">
        <w:rPr>
          <w:lang w:val="en-US"/>
        </w:rPr>
        <w:fldChar w:fldCharType="end"/>
      </w:r>
      <w:r w:rsidR="00BB7C9B">
        <w:rPr>
          <w:lang w:val="en-US"/>
        </w:rPr>
        <w:t>]</w:t>
      </w:r>
      <w:r w:rsidRPr="00CD7E08">
        <w:rPr>
          <w:lang w:val="en-US"/>
        </w:rPr>
        <w:t xml:space="preserve">. </w:t>
      </w:r>
    </w:p>
    <w:bookmarkEnd w:id="2"/>
    <w:p w14:paraId="0AC6131F" w14:textId="1ABD12F3" w:rsidR="00BA7F3D" w:rsidRDefault="00BA7F3D" w:rsidP="00045088">
      <w:pPr>
        <w:spacing w:line="360" w:lineRule="auto"/>
        <w:rPr>
          <w:b/>
          <w:bCs/>
        </w:rPr>
      </w:pPr>
      <w:r w:rsidRPr="003C7F19">
        <w:rPr>
          <w:b/>
          <w:bCs/>
        </w:rPr>
        <w:t xml:space="preserve">2.1.1  </w:t>
      </w:r>
      <w:r w:rsidR="001A455C">
        <w:rPr>
          <w:b/>
          <w:bCs/>
        </w:rPr>
        <w:t>Study design</w:t>
      </w:r>
    </w:p>
    <w:p w14:paraId="6AB91BA3" w14:textId="1EE901C6" w:rsidR="001A455C" w:rsidRPr="001A455C" w:rsidRDefault="001A455C" w:rsidP="001A455C">
      <w:pPr>
        <w:spacing w:line="360" w:lineRule="auto"/>
        <w:rPr>
          <w:lang w:val="en-US"/>
        </w:rPr>
      </w:pPr>
      <w:r w:rsidRPr="001A455C">
        <w:rPr>
          <w:lang w:val="en-US"/>
        </w:rPr>
        <w:t xml:space="preserve">For the purpose of the present study, two </w:t>
      </w:r>
      <w:r w:rsidR="00DC3E09">
        <w:rPr>
          <w:lang w:val="en-US"/>
        </w:rPr>
        <w:t xml:space="preserve">main plot treatments </w:t>
      </w:r>
      <w:r w:rsidRPr="001A455C">
        <w:rPr>
          <w:lang w:val="en-US"/>
        </w:rPr>
        <w:t>were selected that had the same sequence of crops</w:t>
      </w:r>
      <w:r w:rsidR="00216616">
        <w:rPr>
          <w:lang w:val="en-US"/>
        </w:rPr>
        <w:t xml:space="preserve">. </w:t>
      </w:r>
      <w:r w:rsidR="00216616" w:rsidRPr="00CD7E08">
        <w:rPr>
          <w:lang w:val="en-US"/>
        </w:rPr>
        <w:t>The cash crop sequence during the present study was spring barley (</w:t>
      </w:r>
      <w:r w:rsidR="00216616" w:rsidRPr="00CD7E08">
        <w:rPr>
          <w:i/>
          <w:iCs/>
          <w:lang w:val="en-US"/>
        </w:rPr>
        <w:t xml:space="preserve">Hordeum vulgare </w:t>
      </w:r>
      <w:r w:rsidR="00216616" w:rsidRPr="00CD7E08">
        <w:rPr>
          <w:lang w:val="en-US"/>
        </w:rPr>
        <w:t>L.</w:t>
      </w:r>
      <w:r w:rsidR="00216616">
        <w:rPr>
          <w:lang w:val="en-US"/>
        </w:rPr>
        <w:t xml:space="preserve"> v. </w:t>
      </w:r>
      <w:r w:rsidR="00216616">
        <w:t>Everg</w:t>
      </w:r>
      <w:r w:rsidR="00C91C94">
        <w:t>r</w:t>
      </w:r>
      <w:r w:rsidR="00216616">
        <w:t>een</w:t>
      </w:r>
      <w:r w:rsidR="00216616" w:rsidRPr="00CD7E08">
        <w:rPr>
          <w:lang w:val="en-US"/>
        </w:rPr>
        <w:t>) sown 19 April 2018</w:t>
      </w:r>
      <w:r w:rsidR="00216616">
        <w:rPr>
          <w:lang w:val="en-US"/>
        </w:rPr>
        <w:t xml:space="preserve"> (300 plants m</w:t>
      </w:r>
      <w:r w:rsidR="00216616" w:rsidRPr="006F4E10">
        <w:rPr>
          <w:vertAlign w:val="superscript"/>
          <w:lang w:val="en-US"/>
        </w:rPr>
        <w:t>-2</w:t>
      </w:r>
      <w:r w:rsidR="00216616">
        <w:rPr>
          <w:lang w:val="en-US"/>
        </w:rPr>
        <w:t>)</w:t>
      </w:r>
      <w:r w:rsidR="00216616" w:rsidRPr="00CD7E08">
        <w:rPr>
          <w:lang w:val="en-US"/>
        </w:rPr>
        <w:t>, spring oat (</w:t>
      </w:r>
      <w:r w:rsidR="00216616" w:rsidRPr="00CD7E08">
        <w:rPr>
          <w:i/>
          <w:iCs/>
          <w:lang w:val="en-US"/>
        </w:rPr>
        <w:t>Avena sativa</w:t>
      </w:r>
      <w:r w:rsidR="00216616" w:rsidRPr="00CD7E08">
        <w:rPr>
          <w:lang w:val="en-US"/>
        </w:rPr>
        <w:t xml:space="preserve"> L.</w:t>
      </w:r>
      <w:r w:rsidR="00216616">
        <w:rPr>
          <w:lang w:val="en-US"/>
        </w:rPr>
        <w:t xml:space="preserve"> v. Poseidon</w:t>
      </w:r>
      <w:r w:rsidR="00216616" w:rsidRPr="00CD7E08">
        <w:rPr>
          <w:lang w:val="en-US"/>
        </w:rPr>
        <w:t>) sown 4 April 2019</w:t>
      </w:r>
      <w:r w:rsidR="00216616">
        <w:rPr>
          <w:lang w:val="en-US"/>
        </w:rPr>
        <w:t xml:space="preserve"> (300 plants m</w:t>
      </w:r>
      <w:r w:rsidR="00216616" w:rsidRPr="006F4E10">
        <w:rPr>
          <w:vertAlign w:val="superscript"/>
          <w:lang w:val="en-US"/>
        </w:rPr>
        <w:t>-2</w:t>
      </w:r>
      <w:r w:rsidR="00216616">
        <w:rPr>
          <w:lang w:val="en-US"/>
        </w:rPr>
        <w:t>)</w:t>
      </w:r>
      <w:r w:rsidR="00216616" w:rsidRPr="00CD7E08">
        <w:rPr>
          <w:lang w:val="en-US"/>
        </w:rPr>
        <w:t xml:space="preserve"> and faba beans (</w:t>
      </w:r>
      <w:r w:rsidR="00216616" w:rsidRPr="00CD7E08">
        <w:rPr>
          <w:i/>
          <w:iCs/>
          <w:lang w:val="en-US"/>
        </w:rPr>
        <w:t>Vicia faba</w:t>
      </w:r>
      <w:r w:rsidR="00216616" w:rsidRPr="00CD7E08">
        <w:rPr>
          <w:lang w:val="en-US"/>
        </w:rPr>
        <w:t xml:space="preserve"> L.</w:t>
      </w:r>
      <w:r w:rsidR="00216616">
        <w:rPr>
          <w:lang w:val="en-US"/>
        </w:rPr>
        <w:t xml:space="preserve"> v. Boxer</w:t>
      </w:r>
      <w:r w:rsidR="00216616" w:rsidRPr="00CD7E08">
        <w:rPr>
          <w:lang w:val="en-US"/>
        </w:rPr>
        <w:t>) sown 15 April 2020</w:t>
      </w:r>
      <w:r w:rsidR="00216616">
        <w:rPr>
          <w:lang w:val="en-US"/>
        </w:rPr>
        <w:t xml:space="preserve"> (50 plants m</w:t>
      </w:r>
      <w:r w:rsidR="00216616" w:rsidRPr="006F4E10">
        <w:rPr>
          <w:vertAlign w:val="superscript"/>
          <w:lang w:val="en-US"/>
        </w:rPr>
        <w:t>-2</w:t>
      </w:r>
      <w:r w:rsidR="00216616">
        <w:rPr>
          <w:lang w:val="en-US"/>
        </w:rPr>
        <w:t>)</w:t>
      </w:r>
      <w:r w:rsidR="00216616" w:rsidRPr="00CD7E08">
        <w:rPr>
          <w:lang w:val="en-US"/>
        </w:rPr>
        <w:t xml:space="preserve">. </w:t>
      </w:r>
      <w:r w:rsidR="00216616">
        <w:rPr>
          <w:lang w:val="en-US"/>
        </w:rPr>
        <w:t xml:space="preserve">The two main plot treatments </w:t>
      </w:r>
      <w:r w:rsidRPr="001A455C">
        <w:rPr>
          <w:lang w:val="en-US"/>
        </w:rPr>
        <w:t>differ</w:t>
      </w:r>
      <w:r w:rsidR="00C91C94">
        <w:rPr>
          <w:lang w:val="en-US"/>
        </w:rPr>
        <w:t>ed</w:t>
      </w:r>
      <w:r w:rsidRPr="001A455C">
        <w:rPr>
          <w:lang w:val="en-US"/>
        </w:rPr>
        <w:t xml:space="preserve"> </w:t>
      </w:r>
      <w:r w:rsidR="00216616">
        <w:rPr>
          <w:lang w:val="en-US"/>
        </w:rPr>
        <w:t xml:space="preserve">in management of the </w:t>
      </w:r>
      <w:r w:rsidRPr="001A455C">
        <w:rPr>
          <w:lang w:val="en-US"/>
        </w:rPr>
        <w:t>small grain straw</w:t>
      </w:r>
      <w:r w:rsidR="00216616">
        <w:rPr>
          <w:lang w:val="en-US"/>
        </w:rPr>
        <w:t>, reflecting two</w:t>
      </w:r>
      <w:r w:rsidRPr="001A455C">
        <w:rPr>
          <w:lang w:val="en-US"/>
        </w:rPr>
        <w:t xml:space="preserve"> common systems in Denmark: straw removed or retained. Therefore, in the present study, straw management composed the main-plot treatment. Three of the four tillage regimes were used for this study</w:t>
      </w:r>
      <w:r w:rsidR="001151AB">
        <w:rPr>
          <w:lang w:val="en-US"/>
        </w:rPr>
        <w:t xml:space="preserve"> because they have been under consistent management for the longest period of time</w:t>
      </w:r>
      <w:r w:rsidRPr="001A455C">
        <w:rPr>
          <w:lang w:val="en-US"/>
        </w:rPr>
        <w:t xml:space="preserve"> (more details below). Tillage subplots were 5 meters wide and 40 m long. Each tillage subplot was divided into two columns with three </w:t>
      </w:r>
      <w:r w:rsidR="002505D4">
        <w:rPr>
          <w:lang w:val="en-US"/>
        </w:rPr>
        <w:t>micro-</w:t>
      </w:r>
      <w:r w:rsidRPr="001A455C">
        <w:rPr>
          <w:lang w:val="en-US"/>
        </w:rPr>
        <w:t xml:space="preserve">plots arranged within each column for a total of six </w:t>
      </w:r>
      <w:r w:rsidR="002505D4">
        <w:rPr>
          <w:lang w:val="en-US"/>
        </w:rPr>
        <w:t>micro-</w:t>
      </w:r>
      <w:r w:rsidRPr="001A455C">
        <w:rPr>
          <w:lang w:val="en-US"/>
        </w:rPr>
        <w:t xml:space="preserve">plots that were 2.5 m wide and 12.5 m long (see supplementary material for a visual aid). One of the six </w:t>
      </w:r>
      <w:r w:rsidR="002505D4">
        <w:rPr>
          <w:lang w:val="en-US"/>
        </w:rPr>
        <w:t xml:space="preserve">micro </w:t>
      </w:r>
      <w:r w:rsidRPr="001A455C">
        <w:rPr>
          <w:lang w:val="en-US"/>
        </w:rPr>
        <w:t xml:space="preserve">plots was reserved for other sampling efforts, and a cover crop system treatment (five levels) was applied randomly to the remaining five </w:t>
      </w:r>
      <w:r w:rsidR="002505D4">
        <w:rPr>
          <w:lang w:val="en-US"/>
        </w:rPr>
        <w:t>micro-</w:t>
      </w:r>
      <w:r w:rsidRPr="001A455C">
        <w:rPr>
          <w:lang w:val="en-US"/>
        </w:rPr>
        <w:t>plots. In summary, this experiment included all combinations of two straw-managements, three primary tillage systems, and five cover crop systems for a total of 30 treatments</w:t>
      </w:r>
      <w:r w:rsidR="00CA1D8C">
        <w:rPr>
          <w:lang w:val="en-US"/>
        </w:rPr>
        <w:t xml:space="preserve"> replicated in four blocks</w:t>
      </w:r>
      <w:r w:rsidRPr="001A455C">
        <w:rPr>
          <w:lang w:val="en-US"/>
        </w:rPr>
        <w:t xml:space="preserve">. </w:t>
      </w:r>
    </w:p>
    <w:p w14:paraId="5A66302A" w14:textId="4634B002" w:rsidR="001A455C" w:rsidRPr="001A455C" w:rsidRDefault="001A455C" w:rsidP="001A455C">
      <w:pPr>
        <w:spacing w:line="360" w:lineRule="auto"/>
        <w:rPr>
          <w:b/>
          <w:bCs/>
          <w:lang w:val="en-US"/>
        </w:rPr>
      </w:pPr>
      <w:r w:rsidRPr="003C7F19">
        <w:rPr>
          <w:b/>
          <w:bCs/>
        </w:rPr>
        <w:lastRenderedPageBreak/>
        <w:t>2.1.</w:t>
      </w:r>
      <w:r>
        <w:rPr>
          <w:b/>
          <w:bCs/>
        </w:rPr>
        <w:t>2</w:t>
      </w:r>
      <w:r w:rsidRPr="003C7F19">
        <w:rPr>
          <w:b/>
          <w:bCs/>
        </w:rPr>
        <w:t xml:space="preserve">  </w:t>
      </w:r>
      <w:r w:rsidRPr="001A455C">
        <w:rPr>
          <w:b/>
          <w:bCs/>
          <w:lang w:val="en-US"/>
        </w:rPr>
        <w:t>Straw and tillage treatments</w:t>
      </w:r>
    </w:p>
    <w:p w14:paraId="1D52ABA7" w14:textId="123A6D7B" w:rsidR="001A455C" w:rsidRPr="001A455C" w:rsidRDefault="001A455C" w:rsidP="001A455C">
      <w:pPr>
        <w:spacing w:line="360" w:lineRule="auto"/>
        <w:rPr>
          <w:lang w:val="en-US"/>
        </w:rPr>
      </w:pPr>
      <w:r w:rsidRPr="001A455C">
        <w:rPr>
          <w:lang w:val="en-US"/>
        </w:rPr>
        <w:t xml:space="preserve">The same straw managements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tine cultivation</w:t>
      </w:r>
      <w:r w:rsidR="002505D4">
        <w:rPr>
          <w:lang w:val="en-US"/>
        </w:rPr>
        <w:t xml:space="preserve"> (S</w:t>
      </w:r>
      <w:r w:rsidR="007A49E4">
        <w:rPr>
          <w:lang w:val="en-US"/>
        </w:rPr>
        <w:t>URF</w:t>
      </w:r>
      <w:r w:rsidR="002505D4">
        <w:rPr>
          <w:lang w:val="en-US"/>
        </w:rPr>
        <w:t>)</w:t>
      </w:r>
      <w:r w:rsidRPr="001A455C">
        <w:rPr>
          <w:lang w:val="en-US"/>
        </w:rPr>
        <w:t>, inversion</w:t>
      </w:r>
      <w:r w:rsidR="002505D4">
        <w:rPr>
          <w:lang w:val="en-US"/>
        </w:rPr>
        <w:t xml:space="preserve"> (I</w:t>
      </w:r>
      <w:r w:rsidR="007A49E4">
        <w:rPr>
          <w:lang w:val="en-US"/>
        </w:rPr>
        <w:t>NV</w:t>
      </w:r>
      <w:r w:rsidR="002505D4">
        <w:rPr>
          <w:lang w:val="en-US"/>
        </w:rPr>
        <w:t>)]</w:t>
      </w:r>
      <w:r w:rsidRPr="001A455C">
        <w:rPr>
          <w:lang w:val="en-US"/>
        </w:rPr>
        <w:t xml:space="preserve"> have been in the same subplots since 2002. In the straw-removal treatments, following harvest of a small grain the residue (e.g., straw) was removed using a</w:t>
      </w:r>
      <w:r w:rsidR="00C91C94">
        <w:rPr>
          <w:lang w:val="en-US"/>
        </w:rPr>
        <w:t xml:space="preserve"> two-pass system</w:t>
      </w:r>
      <w:r w:rsidR="004F07A5">
        <w:rPr>
          <w:lang w:val="en-US"/>
        </w:rPr>
        <w:t xml:space="preserve"> wherein the straw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straw-retained treatments, </w:t>
      </w:r>
      <w:r w:rsidR="001A1339">
        <w:rPr>
          <w:lang w:val="en-US"/>
        </w:rPr>
        <w:t xml:space="preserve">following harvest of the grain </w:t>
      </w:r>
      <w:r w:rsidR="00C91C94">
        <w:rPr>
          <w:lang w:val="en-US"/>
        </w:rPr>
        <w:t xml:space="preserve">the </w:t>
      </w:r>
      <w:r w:rsidR="001A1339">
        <w:rPr>
          <w:lang w:val="en-US"/>
        </w:rPr>
        <w:t xml:space="preserve">residue </w:t>
      </w:r>
      <w:r w:rsidRPr="001A455C">
        <w:rPr>
          <w:lang w:val="en-US"/>
        </w:rPr>
        <w:t xml:space="preserve">was allowed to remain in the field. The exact machinery and timing of operations for each categorical tillage treatment have varied since 2002 (Scherner et al., 2016; Hansen et al., 2010). In the present experiment (2018-2020), plots under the </w:t>
      </w:r>
      <w:r w:rsidR="002505D4">
        <w:rPr>
          <w:lang w:val="en-US"/>
        </w:rPr>
        <w:t>I</w:t>
      </w:r>
      <w:r w:rsidR="007A49E4">
        <w:rPr>
          <w:lang w:val="en-US"/>
        </w:rPr>
        <w:t>NV</w:t>
      </w:r>
      <w:r w:rsidRPr="001A455C">
        <w:rPr>
          <w:lang w:val="en-US"/>
        </w:rPr>
        <w:t xml:space="preserve"> treatment were moldboard plowed to a depth of 20 cm in the </w:t>
      </w:r>
      <w:r w:rsidR="00C91C94">
        <w:rPr>
          <w:lang w:val="en-US"/>
        </w:rPr>
        <w:t xml:space="preserve">late </w:t>
      </w:r>
      <w:r w:rsidRPr="001A455C">
        <w:rPr>
          <w:lang w:val="en-US"/>
        </w:rPr>
        <w:t xml:space="preserve">fall and </w:t>
      </w:r>
      <w:r w:rsidR="008845F0">
        <w:rPr>
          <w:lang w:val="en-US"/>
        </w:rPr>
        <w:t xml:space="preserve">seedbed </w:t>
      </w:r>
      <w:r w:rsidRPr="001A455C">
        <w:rPr>
          <w:lang w:val="en-US"/>
        </w:rPr>
        <w:t xml:space="preserve">harrowed to 3-4 cm depth in the spring before cash crop planting; </w:t>
      </w:r>
      <w:r w:rsidR="00D276E3">
        <w:rPr>
          <w:lang w:val="en-US"/>
        </w:rPr>
        <w:t xml:space="preserve">all </w:t>
      </w:r>
      <w:r w:rsidRPr="001A455C">
        <w:rPr>
          <w:lang w:val="en-US"/>
        </w:rPr>
        <w:t>c</w:t>
      </w:r>
      <w:r w:rsidRPr="001A455C">
        <w:t xml:space="preserve">rops were then sown with a traditional seed drill (Nordsten Lift-o-matic CLH300) with row spacings of 12.5 cm. </w:t>
      </w:r>
      <w:r w:rsidRPr="001A455C">
        <w:rPr>
          <w:lang w:val="en-US"/>
        </w:rPr>
        <w:t xml:space="preserve">For the </w:t>
      </w:r>
      <w:r w:rsidR="002505D4">
        <w:rPr>
          <w:lang w:val="en-US"/>
        </w:rPr>
        <w:t>SURF</w:t>
      </w:r>
      <w:r w:rsidRPr="001A455C">
        <w:rPr>
          <w:lang w:val="en-US"/>
        </w:rPr>
        <w:t xml:space="preserve"> system (non-inversion</w:t>
      </w:r>
      <w:r w:rsidR="00645D68">
        <w:rPr>
          <w:lang w:val="en-US"/>
        </w:rPr>
        <w:t xml:space="preserve"> tillage</w:t>
      </w:r>
      <w:r w:rsidRPr="001A455C">
        <w:rPr>
          <w:lang w:val="en-US"/>
        </w:rPr>
        <w:t xml:space="preserve">), a </w:t>
      </w:r>
      <w:r w:rsidRPr="001A455C">
        <w:rPr>
          <w:vertAlign w:val="subscript"/>
          <w:lang w:val="en-US"/>
        </w:rPr>
        <w:t xml:space="preserve"> </w:t>
      </w:r>
      <w:r w:rsidRPr="001A455C">
        <w:t>Horsch Terrano 3 FX stubble tine cultivator was used to till to a depth 8-10 cm in the spring before cash crop planting</w:t>
      </w:r>
      <w:r w:rsidR="00D276E3">
        <w:t>, and</w:t>
      </w:r>
      <w:r w:rsidR="007010D9">
        <w:t xml:space="preserve"> harrowed</w:t>
      </w:r>
      <w:r w:rsidR="00D276E3">
        <w:t xml:space="preserve"> to a depth of 3-4 cm before planting the fodder radish cover crop after harvest (see Table 1)</w:t>
      </w:r>
      <w:r w:rsidRPr="001A455C">
        <w:t xml:space="preserve">. In both the </w:t>
      </w:r>
      <w:r w:rsidR="007A49E4">
        <w:t>NT</w:t>
      </w:r>
      <w:r w:rsidRPr="001A455C">
        <w:t xml:space="preserve"> and </w:t>
      </w:r>
      <w:r w:rsidR="007A49E4">
        <w:t>SURF</w:t>
      </w:r>
      <w:r w:rsidRPr="001A455C">
        <w:t xml:space="preserve"> systems, crops were sown with a chisel coulter (Horsch Airseeder CO 3) with row spacings of 17.5 cm for </w:t>
      </w:r>
      <w:r w:rsidR="00D276E3">
        <w:t>all crops</w:t>
      </w:r>
      <w:r w:rsidRPr="001A455C">
        <w:t xml:space="preserve">. Row spacings were different for the </w:t>
      </w:r>
      <w:r w:rsidR="007A49E4">
        <w:t xml:space="preserve">INV system </w:t>
      </w:r>
      <w:r w:rsidRPr="001A455C">
        <w:t xml:space="preserve">due to </w:t>
      </w:r>
      <w:r w:rsidR="001A1339">
        <w:t xml:space="preserve">differences in the </w:t>
      </w:r>
      <w:r w:rsidRPr="001A455C">
        <w:t xml:space="preserve">equipment representing typical production environments for each tillage system. </w:t>
      </w:r>
    </w:p>
    <w:p w14:paraId="34082C05" w14:textId="4AE4E813" w:rsidR="001A455C" w:rsidRPr="001A455C" w:rsidRDefault="001A455C" w:rsidP="001A455C">
      <w:pPr>
        <w:spacing w:line="360" w:lineRule="auto"/>
        <w:rPr>
          <w:b/>
          <w:bCs/>
          <w:lang w:val="en-US"/>
        </w:rPr>
      </w:pPr>
      <w:r w:rsidRPr="003C7F19">
        <w:rPr>
          <w:b/>
          <w:bCs/>
        </w:rPr>
        <w:t>2.1.</w:t>
      </w:r>
      <w:r>
        <w:rPr>
          <w:b/>
          <w:bCs/>
        </w:rPr>
        <w:t>3</w:t>
      </w:r>
      <w:r w:rsidRPr="003C7F19">
        <w:rPr>
          <w:b/>
          <w:bCs/>
        </w:rPr>
        <w:t xml:space="preserve">  </w:t>
      </w:r>
      <w:r>
        <w:rPr>
          <w:b/>
          <w:bCs/>
          <w:lang w:val="en-US"/>
        </w:rPr>
        <w:t>Cover crop treatments</w:t>
      </w:r>
    </w:p>
    <w:p w14:paraId="76D877A7" w14:textId="65C037C4"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systems were randomly applied to the </w:t>
      </w:r>
      <w:r w:rsidR="007A49E4">
        <w:rPr>
          <w:lang w:val="en-US"/>
        </w:rPr>
        <w:t>micro-plot</w:t>
      </w:r>
      <w:r w:rsidRPr="001A455C">
        <w:rPr>
          <w:lang w:val="en-US"/>
        </w:rPr>
        <w:t xml:space="preserve">s (Table 1). The same </w:t>
      </w:r>
      <w:r w:rsidR="007A49E4">
        <w:rPr>
          <w:lang w:val="en-US"/>
        </w:rPr>
        <w:t>micro-plot</w:t>
      </w:r>
      <w:r w:rsidRPr="001A455C">
        <w:rPr>
          <w:lang w:val="en-US"/>
        </w:rPr>
        <w:t xml:space="preserve"> treatments were maintained for 2018, 2019 and were tracked until faba bean harvest in 2020. The sampling area for all measurements was located in the inner 1.5 m x 10 m area of the </w:t>
      </w:r>
      <w:r w:rsidR="007A49E4">
        <w:rPr>
          <w:lang w:val="en-US"/>
        </w:rPr>
        <w:t>micro-plot</w:t>
      </w:r>
      <w:r w:rsidRPr="001A455C">
        <w:rPr>
          <w:lang w:val="en-US"/>
        </w:rPr>
        <w:t xml:space="preserve">s. </w:t>
      </w:r>
    </w:p>
    <w:p w14:paraId="32E5EDD3" w14:textId="77777777" w:rsidR="009C1E41" w:rsidRDefault="009C1E41" w:rsidP="001A455C">
      <w:pPr>
        <w:spacing w:line="360" w:lineRule="auto"/>
        <w:rPr>
          <w:lang w:val="en-US"/>
        </w:rPr>
      </w:pPr>
    </w:p>
    <w:p w14:paraId="334543D0" w14:textId="77777777" w:rsidR="00A83EB3" w:rsidRDefault="00A83EB3" w:rsidP="001A455C">
      <w:pPr>
        <w:spacing w:line="360" w:lineRule="auto"/>
        <w:rPr>
          <w:lang w:val="en-US"/>
        </w:rPr>
      </w:pPr>
    </w:p>
    <w:p w14:paraId="5FE7A72C" w14:textId="77777777" w:rsidR="00A83EB3" w:rsidRDefault="00A83EB3" w:rsidP="001A455C">
      <w:pPr>
        <w:spacing w:line="360" w:lineRule="auto"/>
        <w:rPr>
          <w:lang w:val="en-US"/>
        </w:rPr>
      </w:pPr>
    </w:p>
    <w:p w14:paraId="23ABC755" w14:textId="77777777" w:rsidR="00A83EB3" w:rsidRDefault="00A83EB3" w:rsidP="001A455C">
      <w:pPr>
        <w:spacing w:line="360" w:lineRule="auto"/>
        <w:rPr>
          <w:lang w:val="en-US"/>
        </w:rPr>
      </w:pPr>
    </w:p>
    <w:p w14:paraId="5656505B" w14:textId="77777777" w:rsidR="00A83EB3" w:rsidRDefault="00A83EB3" w:rsidP="001A455C">
      <w:pPr>
        <w:spacing w:line="360" w:lineRule="auto"/>
        <w:rPr>
          <w:lang w:val="en-US"/>
        </w:rPr>
      </w:pPr>
    </w:p>
    <w:p w14:paraId="086F780C" w14:textId="77777777" w:rsidR="00A83EB3" w:rsidRDefault="00A83EB3" w:rsidP="001A455C">
      <w:pPr>
        <w:spacing w:line="360" w:lineRule="auto"/>
        <w:rPr>
          <w:lang w:val="en-US"/>
        </w:rPr>
      </w:pPr>
    </w:p>
    <w:p w14:paraId="250A82A5" w14:textId="77777777" w:rsidR="00A83EB3" w:rsidRDefault="00A83EB3" w:rsidP="001A455C">
      <w:pPr>
        <w:spacing w:line="360" w:lineRule="auto"/>
        <w:rPr>
          <w:lang w:val="en-US"/>
        </w:rPr>
      </w:pPr>
    </w:p>
    <w:p w14:paraId="259F2DA7" w14:textId="77777777" w:rsidR="00A83EB3" w:rsidRDefault="00A83EB3" w:rsidP="001A455C">
      <w:pPr>
        <w:spacing w:line="360" w:lineRule="auto"/>
        <w:rPr>
          <w:lang w:val="en-US"/>
        </w:rPr>
      </w:pPr>
    </w:p>
    <w:p w14:paraId="030D88E3" w14:textId="77777777" w:rsidR="00A83EB3" w:rsidRDefault="00A83EB3" w:rsidP="001A455C">
      <w:pPr>
        <w:spacing w:line="360" w:lineRule="auto"/>
        <w:rPr>
          <w:lang w:val="en-US"/>
        </w:rPr>
      </w:pPr>
    </w:p>
    <w:p w14:paraId="66EA47C5" w14:textId="77777777" w:rsidR="00A83EB3" w:rsidRPr="001A455C" w:rsidRDefault="00A83EB3" w:rsidP="001A455C">
      <w:pPr>
        <w:spacing w:line="360" w:lineRule="auto"/>
        <w:rPr>
          <w:lang w:val="en-US"/>
        </w:rPr>
      </w:pPr>
    </w:p>
    <w:p w14:paraId="697347A3" w14:textId="77777777" w:rsidR="001A455C" w:rsidRPr="001A455C" w:rsidRDefault="001A455C" w:rsidP="001A455C">
      <w:pPr>
        <w:spacing w:line="360" w:lineRule="auto"/>
        <w:rPr>
          <w:lang w:val="en-US"/>
        </w:rPr>
      </w:pPr>
      <w:r w:rsidRPr="001A455C">
        <w:rPr>
          <w:lang w:val="en-US"/>
        </w:rPr>
        <w:lastRenderedPageBreak/>
        <w:t>Table 1. Summary of the five cover crop systems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7C300810" w:rsidR="00A83EB3" w:rsidRPr="000043B8" w:rsidRDefault="00A83EB3" w:rsidP="00A83EB3">
            <w:pPr>
              <w:jc w:val="center"/>
              <w:rPr>
                <w:b/>
                <w:bCs/>
                <w:lang w:val="en-US"/>
              </w:rPr>
            </w:pPr>
            <w:r w:rsidRPr="000043B8">
              <w:rPr>
                <w:b/>
                <w:bCs/>
                <w:lang w:val="en-US"/>
              </w:rPr>
              <w:t xml:space="preserve">Cover crop system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1A455C"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r w:rsidRPr="001A455C">
              <w:rPr>
                <w:lang w:val="en-US"/>
              </w:rPr>
              <w:t>MixE</w:t>
            </w:r>
          </w:p>
        </w:tc>
        <w:tc>
          <w:tcPr>
            <w:tcW w:w="3265" w:type="dxa"/>
            <w:tcBorders>
              <w:top w:val="single" w:sz="4" w:space="0" w:color="auto"/>
              <w:bottom w:val="single" w:sz="4" w:space="0" w:color="auto"/>
            </w:tcBorders>
            <w:vAlign w:val="center"/>
          </w:tcPr>
          <w:p w14:paraId="7A5DF9D6" w14:textId="786241C0" w:rsidR="00A83EB3" w:rsidRPr="001A455C" w:rsidRDefault="00A83EB3" w:rsidP="00A83EB3">
            <w:pPr>
              <w:jc w:val="center"/>
              <w:rPr>
                <w:lang w:val="en-US"/>
              </w:rPr>
            </w:pPr>
            <w:r w:rsidRPr="001A455C">
              <w:rPr>
                <w:lang w:val="en-US"/>
              </w:rPr>
              <w:t xml:space="preserve">Sown 1 cm deep in between cash crop rows </w:t>
            </w:r>
            <w:r>
              <w:rPr>
                <w:lang w:val="en-US"/>
              </w:rPr>
              <w:t>(</w:t>
            </w:r>
            <w:commentRangeStart w:id="3"/>
            <w:r w:rsidRPr="001A455C">
              <w:rPr>
                <w:lang w:val="en-US"/>
              </w:rPr>
              <w:t>12.5 cm</w:t>
            </w:r>
            <w:r>
              <w:rPr>
                <w:lang w:val="en-US"/>
              </w:rPr>
              <w:t xml:space="preserve"> or 17.5 cm, see section 2.1.2</w:t>
            </w:r>
            <w:commentRangeEnd w:id="3"/>
            <w:r w:rsidR="002505D4">
              <w:rPr>
                <w:rStyle w:val="CommentReference"/>
                <w:sz w:val="24"/>
                <w:szCs w:val="24"/>
                <w:lang w:val="en-US"/>
              </w:rPr>
              <w:commentReference w:id="3"/>
            </w:r>
            <w:r>
              <w:rPr>
                <w:lang w:val="en-US"/>
              </w:rPr>
              <w:t>)</w:t>
            </w:r>
            <w:r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(grass; Lolium perenne)</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1A455C" w:rsidRDefault="00A83EB3" w:rsidP="00A83EB3">
            <w:pPr>
              <w:jc w:val="center"/>
              <w:rPr>
                <w:lang w:val="en-US"/>
              </w:rPr>
            </w:pPr>
            <w:r w:rsidRPr="001A455C">
              <w:rPr>
                <w:lang w:val="en-US"/>
              </w:rPr>
              <w:t>3 kg ha</w:t>
            </w:r>
            <w:r w:rsidRPr="001A455C">
              <w:rPr>
                <w:vertAlign w:val="superscript"/>
                <w:lang w:val="en-US"/>
              </w:rPr>
              <w:t>-1</w:t>
            </w:r>
            <w:r w:rsidRPr="001A455C">
              <w:rPr>
                <w:lang w:val="en-US"/>
              </w:rPr>
              <w:t xml:space="preserve"> grass + 8 kg ha</w:t>
            </w:r>
            <w:r w:rsidRPr="001A455C">
              <w:rPr>
                <w:vertAlign w:val="superscript"/>
                <w:lang w:val="en-US"/>
              </w:rPr>
              <w:t>-1</w:t>
            </w:r>
            <w:r w:rsidRPr="001A455C">
              <w:rPr>
                <w:lang w:val="en-US"/>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r w:rsidRPr="001A455C">
              <w:rPr>
                <w:lang w:val="en-US"/>
              </w:rPr>
              <w:t>MixM</w:t>
            </w:r>
          </w:p>
        </w:tc>
        <w:tc>
          <w:tcPr>
            <w:tcW w:w="3265" w:type="dxa"/>
            <w:tcBorders>
              <w:top w:val="single" w:sz="4" w:space="0" w:color="auto"/>
              <w:bottom w:val="single" w:sz="4" w:space="0" w:color="auto"/>
            </w:tcBorders>
            <w:vAlign w:val="center"/>
          </w:tcPr>
          <w:p w14:paraId="68856EB5" w14:textId="3893356C" w:rsidR="00A83EB3" w:rsidRPr="001A455C" w:rsidRDefault="00A83EB3" w:rsidP="00A83EB3">
            <w:pPr>
              <w:jc w:val="center"/>
              <w:rPr>
                <w:lang w:val="en-US"/>
              </w:rPr>
            </w:pPr>
            <w:r w:rsidRPr="001A455C">
              <w:rPr>
                <w:lang w:val="en-US"/>
              </w:rPr>
              <w:t>Broadcast into standing crop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r w:rsidRPr="001A455C">
              <w:rPr>
                <w:lang w:val="en-US"/>
              </w:rPr>
              <w:t>RadM</w:t>
            </w:r>
          </w:p>
        </w:tc>
        <w:tc>
          <w:tcPr>
            <w:tcW w:w="3265" w:type="dxa"/>
            <w:tcBorders>
              <w:top w:val="single" w:sz="4" w:space="0" w:color="auto"/>
              <w:bottom w:val="single" w:sz="4" w:space="0" w:color="auto"/>
            </w:tcBorders>
            <w:vAlign w:val="center"/>
          </w:tcPr>
          <w:p w14:paraId="11023012" w14:textId="02754D60" w:rsidR="00A83EB3" w:rsidRPr="001A455C" w:rsidRDefault="00A83EB3" w:rsidP="00A83EB3">
            <w:pPr>
              <w:jc w:val="center"/>
              <w:rPr>
                <w:lang w:val="en-US"/>
              </w:rPr>
            </w:pPr>
            <w:r w:rsidRPr="001A455C">
              <w:rPr>
                <w:lang w:val="en-US"/>
              </w:rPr>
              <w:t>Broadcast into standing crop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r w:rsidRPr="001A455C">
              <w:rPr>
                <w:lang w:val="en-US"/>
              </w:rPr>
              <w:t>RadL</w:t>
            </w:r>
          </w:p>
        </w:tc>
        <w:tc>
          <w:tcPr>
            <w:tcW w:w="3265" w:type="dxa"/>
            <w:tcBorders>
              <w:top w:val="single" w:sz="4" w:space="0" w:color="auto"/>
              <w:bottom w:val="single" w:sz="4" w:space="0" w:color="auto"/>
            </w:tcBorders>
            <w:vAlign w:val="center"/>
          </w:tcPr>
          <w:p w14:paraId="0404C5B2" w14:textId="692606E2" w:rsidR="00A83EB3" w:rsidRPr="001A455C" w:rsidRDefault="00A83EB3" w:rsidP="00A83EB3">
            <w:pPr>
              <w:jc w:val="center"/>
              <w:rPr>
                <w:lang w:val="en-US"/>
              </w:rPr>
            </w:pPr>
            <w:r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r w:rsidRPr="001A455C">
              <w:rPr>
                <w:lang w:val="en-US"/>
              </w:rPr>
              <w:t>NoCC</w:t>
            </w:r>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6F79345" w:rsidR="001A455C" w:rsidRPr="001A455C" w:rsidRDefault="001A455C" w:rsidP="001A455C">
      <w:pPr>
        <w:spacing w:line="360" w:lineRule="auto"/>
        <w:rPr>
          <w:b/>
          <w:bCs/>
          <w:lang w:val="en-US"/>
        </w:rPr>
      </w:pPr>
      <w:r w:rsidRPr="003C7F19">
        <w:rPr>
          <w:b/>
          <w:bCs/>
        </w:rPr>
        <w:t>2.1.</w:t>
      </w:r>
      <w:r>
        <w:rPr>
          <w:b/>
          <w:bCs/>
        </w:rPr>
        <w:t>4</w:t>
      </w:r>
      <w:r w:rsidRPr="003C7F19">
        <w:rPr>
          <w:b/>
          <w:bCs/>
        </w:rPr>
        <w:t xml:space="preserve">  </w:t>
      </w:r>
      <w:r>
        <w:rPr>
          <w:b/>
          <w:bCs/>
          <w:lang w:val="en-US"/>
        </w:rPr>
        <w:t>Fertilizer and herbicides</w:t>
      </w:r>
    </w:p>
    <w:p w14:paraId="286F4F84" w14:textId="77777777" w:rsidR="001A455C" w:rsidRPr="001A455C" w:rsidRDefault="001A455C" w:rsidP="001A455C">
      <w:pPr>
        <w:spacing w:line="360" w:lineRule="auto"/>
      </w:pPr>
      <w:r w:rsidRPr="001A455C">
        <w:rPr>
          <w:lang w:val="en-US"/>
        </w:rPr>
        <w:t>Mineral fertilizer was broadcast on spring barley plots on 17 April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 April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and on faba beans on 15 April 2020 (32 kg P ha</w:t>
      </w:r>
      <w:r w:rsidRPr="001A455C">
        <w:rPr>
          <w:vertAlign w:val="superscript"/>
        </w:rPr>
        <w:t xml:space="preserve">-1 </w:t>
      </w:r>
      <w:r w:rsidRPr="001A455C">
        <w:t>and 80 kg K ha</w:t>
      </w:r>
      <w:r w:rsidRPr="001A455C">
        <w:rPr>
          <w:vertAlign w:val="superscript"/>
        </w:rPr>
        <w:t>-1</w:t>
      </w:r>
      <w:r w:rsidRPr="001A455C">
        <w:t xml:space="preserve">). </w:t>
      </w:r>
    </w:p>
    <w:p w14:paraId="041B093F" w14:textId="533C99E5"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(XX), incorporating both </w:t>
      </w:r>
      <w:r w:rsidRPr="001A455C">
        <w:t>the tillage and cover crop system treatments</w:t>
      </w:r>
      <w:r w:rsidR="009C1E41">
        <w:t xml:space="preserve"> </w:t>
      </w:r>
      <w:r w:rsidR="009C1E41">
        <w:rPr>
          <w:lang w:val="en-US"/>
        </w:rPr>
        <w:t>(Table 2)</w:t>
      </w:r>
      <w:r w:rsidRPr="001A455C">
        <w:t xml:space="preserve">. </w:t>
      </w:r>
      <w:r w:rsidR="009C1E41" w:rsidRPr="001A455C">
        <w:t xml:space="preserve"> </w:t>
      </w:r>
    </w:p>
    <w:p w14:paraId="27459135" w14:textId="77777777" w:rsidR="009C1E41" w:rsidRDefault="009C1E41" w:rsidP="009C1E41">
      <w:pPr>
        <w:spacing w:line="360" w:lineRule="auto"/>
      </w:pPr>
    </w:p>
    <w:p w14:paraId="4210238C" w14:textId="77777777" w:rsidR="00593698" w:rsidRDefault="00593698" w:rsidP="009C1E41">
      <w:pPr>
        <w:spacing w:line="360" w:lineRule="auto"/>
      </w:pPr>
    </w:p>
    <w:p w14:paraId="6DFF133C" w14:textId="77777777" w:rsidR="00593698" w:rsidRDefault="00593698" w:rsidP="009C1E41">
      <w:pPr>
        <w:spacing w:line="360" w:lineRule="auto"/>
      </w:pPr>
    </w:p>
    <w:p w14:paraId="067DED34" w14:textId="77777777" w:rsidR="00593698" w:rsidRDefault="00593698" w:rsidP="009C1E41">
      <w:pPr>
        <w:spacing w:line="360" w:lineRule="auto"/>
      </w:pPr>
    </w:p>
    <w:p w14:paraId="6D4FAFA8" w14:textId="77777777" w:rsidR="00593698" w:rsidRDefault="00593698" w:rsidP="009C1E41">
      <w:pPr>
        <w:spacing w:line="360" w:lineRule="auto"/>
      </w:pPr>
    </w:p>
    <w:p w14:paraId="116DC5A3" w14:textId="77777777" w:rsidR="00593698" w:rsidRDefault="00593698" w:rsidP="009C1E41">
      <w:pPr>
        <w:spacing w:line="360" w:lineRule="auto"/>
      </w:pPr>
    </w:p>
    <w:p w14:paraId="276B2264" w14:textId="77777777" w:rsidR="00593698" w:rsidRDefault="00593698" w:rsidP="009C1E41">
      <w:pPr>
        <w:spacing w:line="360" w:lineRule="auto"/>
      </w:pPr>
    </w:p>
    <w:p w14:paraId="1621061F" w14:textId="77777777" w:rsidR="00593698" w:rsidRDefault="00593698" w:rsidP="009C1E41">
      <w:pPr>
        <w:spacing w:line="360" w:lineRule="auto"/>
      </w:pPr>
    </w:p>
    <w:p w14:paraId="2F106086" w14:textId="77777777" w:rsidR="00593698" w:rsidRDefault="00593698" w:rsidP="009C1E41">
      <w:pPr>
        <w:spacing w:line="360" w:lineRule="auto"/>
      </w:pPr>
    </w:p>
    <w:p w14:paraId="63744F8E" w14:textId="77777777" w:rsidR="00593698" w:rsidRDefault="00593698" w:rsidP="009C1E41">
      <w:pPr>
        <w:spacing w:line="360" w:lineRule="auto"/>
      </w:pPr>
    </w:p>
    <w:p w14:paraId="42496AEB" w14:textId="77777777" w:rsidR="00593698" w:rsidRDefault="00593698" w:rsidP="009C1E41">
      <w:pPr>
        <w:spacing w:line="360" w:lineRule="auto"/>
      </w:pPr>
    </w:p>
    <w:p w14:paraId="13B072CE" w14:textId="77777777" w:rsidR="00593698" w:rsidRDefault="00593698" w:rsidP="009C1E41">
      <w:pPr>
        <w:spacing w:line="360" w:lineRule="auto"/>
      </w:pPr>
    </w:p>
    <w:p w14:paraId="78068582" w14:textId="77777777" w:rsidR="00593698" w:rsidRDefault="00593698" w:rsidP="009C1E41">
      <w:pPr>
        <w:spacing w:line="360" w:lineRule="auto"/>
      </w:pPr>
    </w:p>
    <w:p w14:paraId="7D36CBF6" w14:textId="77777777" w:rsidR="00593698" w:rsidRDefault="00593698" w:rsidP="009C1E41">
      <w:pPr>
        <w:spacing w:line="360" w:lineRule="auto"/>
      </w:pPr>
    </w:p>
    <w:p w14:paraId="4AAB360B" w14:textId="77777777" w:rsidR="00593698" w:rsidRDefault="00593698" w:rsidP="009C1E41">
      <w:pPr>
        <w:spacing w:line="360" w:lineRule="auto"/>
      </w:pPr>
    </w:p>
    <w:p w14:paraId="1C3E713C" w14:textId="5A844179" w:rsidR="009C1E41" w:rsidRPr="009C1E41" w:rsidRDefault="009C1E41" w:rsidP="009C1E41">
      <w:pPr>
        <w:spacing w:line="360" w:lineRule="auto"/>
      </w:pPr>
      <w:r w:rsidRPr="009C1E41">
        <w:lastRenderedPageBreak/>
        <w:t xml:space="preserve">Table </w:t>
      </w:r>
      <w:r>
        <w:t>2</w:t>
      </w:r>
      <w:r w:rsidRPr="009C1E41">
        <w:t>. Summary of trial’s herbicide applications; each herbicide package (HP) is described in detail in supplemental material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FA499F" w:rsidRPr="00FA499F" w14:paraId="1169524E" w14:textId="77777777" w:rsidTr="00AC63CC">
        <w:tc>
          <w:tcPr>
            <w:tcW w:w="1576" w:type="dxa"/>
            <w:vMerge/>
            <w:tcBorders>
              <w:bottom w:val="single" w:sz="4" w:space="0" w:color="auto"/>
            </w:tcBorders>
            <w:vAlign w:val="center"/>
          </w:tcPr>
          <w:p w14:paraId="3192DD85" w14:textId="77777777" w:rsidR="00FA499F" w:rsidRPr="00FA499F" w:rsidRDefault="00FA499F" w:rsidP="00A83EB3">
            <w:pPr>
              <w:jc w:val="center"/>
              <w:rPr>
                <w:i/>
                <w:iCs/>
                <w:sz w:val="22"/>
                <w:szCs w:val="22"/>
              </w:rPr>
            </w:pPr>
          </w:p>
        </w:tc>
        <w:tc>
          <w:tcPr>
            <w:tcW w:w="1753" w:type="dxa"/>
            <w:vMerge/>
            <w:tcBorders>
              <w:bottom w:val="single" w:sz="4" w:space="0" w:color="auto"/>
            </w:tcBorders>
            <w:vAlign w:val="center"/>
          </w:tcPr>
          <w:p w14:paraId="6A48F282" w14:textId="77777777" w:rsidR="00FA499F" w:rsidRPr="00FA499F" w:rsidRDefault="00FA499F" w:rsidP="00A83EB3">
            <w:pPr>
              <w:jc w:val="center"/>
              <w:rPr>
                <w:i/>
                <w:iCs/>
                <w:sz w:val="22"/>
                <w:szCs w:val="22"/>
              </w:rPr>
            </w:pPr>
          </w:p>
        </w:tc>
        <w:tc>
          <w:tcPr>
            <w:tcW w:w="1486" w:type="dxa"/>
            <w:tcBorders>
              <w:top w:val="single" w:sz="4" w:space="0" w:color="auto"/>
              <w:bottom w:val="single" w:sz="4" w:space="0" w:color="auto"/>
            </w:tcBorders>
            <w:vAlign w:val="center"/>
          </w:tcPr>
          <w:p w14:paraId="0B8C521A" w14:textId="6A27CF4C" w:rsidR="00FA499F" w:rsidRPr="00FA499F" w:rsidRDefault="00FA499F" w:rsidP="00A83EB3">
            <w:pPr>
              <w:jc w:val="center"/>
              <w:rPr>
                <w:i/>
                <w:iCs/>
                <w:sz w:val="22"/>
                <w:szCs w:val="22"/>
              </w:rPr>
            </w:pPr>
            <w:r w:rsidRPr="00FA499F">
              <w:rPr>
                <w:i/>
                <w:iCs/>
                <w:sz w:val="22"/>
                <w:szCs w:val="22"/>
              </w:rPr>
              <w:t>No-till</w:t>
            </w:r>
          </w:p>
        </w:tc>
        <w:tc>
          <w:tcPr>
            <w:tcW w:w="1367" w:type="dxa"/>
            <w:tcBorders>
              <w:top w:val="single" w:sz="4" w:space="0" w:color="auto"/>
              <w:bottom w:val="single" w:sz="4" w:space="0" w:color="auto"/>
            </w:tcBorders>
            <w:vAlign w:val="center"/>
          </w:tcPr>
          <w:p w14:paraId="21366000" w14:textId="0D17FD47" w:rsidR="00FA499F" w:rsidRPr="00FA499F" w:rsidRDefault="00FA499F" w:rsidP="00A83EB3">
            <w:pPr>
              <w:jc w:val="center"/>
              <w:rPr>
                <w:i/>
                <w:iCs/>
                <w:sz w:val="22"/>
                <w:szCs w:val="22"/>
              </w:rPr>
            </w:pPr>
            <w:r w:rsidRPr="00FA499F">
              <w:rPr>
                <w:i/>
                <w:iCs/>
                <w:sz w:val="22"/>
                <w:szCs w:val="22"/>
              </w:rPr>
              <w:t>Surface</w:t>
            </w:r>
          </w:p>
        </w:tc>
        <w:tc>
          <w:tcPr>
            <w:tcW w:w="1273" w:type="dxa"/>
            <w:tcBorders>
              <w:top w:val="single" w:sz="4" w:space="0" w:color="auto"/>
              <w:bottom w:val="single" w:sz="4" w:space="0" w:color="auto"/>
            </w:tcBorders>
            <w:vAlign w:val="center"/>
          </w:tcPr>
          <w:p w14:paraId="3E0DAE73" w14:textId="5E6B5400" w:rsidR="00FA499F" w:rsidRPr="00FA499F" w:rsidRDefault="00FA499F" w:rsidP="00A83EB3">
            <w:pPr>
              <w:jc w:val="center"/>
              <w:rPr>
                <w:i/>
                <w:iCs/>
                <w:sz w:val="22"/>
                <w:szCs w:val="22"/>
              </w:rPr>
            </w:pPr>
            <w:r w:rsidRPr="00FA499F">
              <w:rPr>
                <w:i/>
                <w:iCs/>
                <w:sz w:val="22"/>
                <w:szCs w:val="22"/>
              </w:rPr>
              <w:t>Inversion</w:t>
            </w:r>
          </w:p>
        </w:tc>
        <w:tc>
          <w:tcPr>
            <w:tcW w:w="1561" w:type="dxa"/>
            <w:vMerge/>
            <w:tcBorders>
              <w:bottom w:val="single" w:sz="4" w:space="0" w:color="auto"/>
            </w:tcBorders>
            <w:vAlign w:val="center"/>
          </w:tcPr>
          <w:p w14:paraId="2DEA5270" w14:textId="77777777" w:rsidR="00FA499F" w:rsidRPr="00FA499F" w:rsidRDefault="00FA499F" w:rsidP="00A83EB3">
            <w:pPr>
              <w:jc w:val="center"/>
              <w:rPr>
                <w:i/>
                <w:iCs/>
                <w:sz w:val="22"/>
                <w:szCs w:val="22"/>
              </w:rPr>
            </w:pPr>
          </w:p>
        </w:tc>
      </w:tr>
      <w:tr w:rsidR="00593698" w:rsidRPr="00593698" w14:paraId="480C0A85" w14:textId="77777777" w:rsidTr="00593698">
        <w:tc>
          <w:tcPr>
            <w:tcW w:w="1576" w:type="dxa"/>
            <w:vMerge w:val="restart"/>
            <w:tcBorders>
              <w:top w:val="single" w:sz="4" w:space="0" w:color="auto"/>
            </w:tcBorders>
            <w:vAlign w:val="center"/>
          </w:tcPr>
          <w:p w14:paraId="3CA0C0C3" w14:textId="1F740BC1" w:rsidR="00593698" w:rsidRPr="00593698" w:rsidRDefault="00593698" w:rsidP="00A83EB3">
            <w:pPr>
              <w:jc w:val="center"/>
              <w:rPr>
                <w:sz w:val="22"/>
                <w:szCs w:val="22"/>
              </w:rPr>
            </w:pPr>
            <w:r w:rsidRPr="00593698">
              <w:rPr>
                <w:sz w:val="22"/>
                <w:szCs w:val="22"/>
              </w:rPr>
              <w:t>2018 (spring barley, sown 19 April)</w:t>
            </w:r>
          </w:p>
        </w:tc>
        <w:tc>
          <w:tcPr>
            <w:tcW w:w="1753" w:type="dxa"/>
            <w:tcBorders>
              <w:top w:val="single" w:sz="4" w:space="0" w:color="auto"/>
              <w:bottom w:val="single" w:sz="4" w:space="0" w:color="auto"/>
            </w:tcBorders>
            <w:vAlign w:val="center"/>
          </w:tcPr>
          <w:p w14:paraId="7E0FBCDF" w14:textId="77777777" w:rsidR="00593698" w:rsidRPr="00593698" w:rsidRDefault="00593698" w:rsidP="00A83EB3">
            <w:pPr>
              <w:jc w:val="center"/>
              <w:rPr>
                <w:sz w:val="22"/>
                <w:szCs w:val="22"/>
              </w:rPr>
            </w:pPr>
            <w:r w:rsidRPr="00593698">
              <w:rPr>
                <w:sz w:val="22"/>
                <w:szCs w:val="22"/>
              </w:rPr>
              <w:t>Before cash crop planting (</w:t>
            </w:r>
            <w:r w:rsidRPr="00A83EB3">
              <w:rPr>
                <w:sz w:val="22"/>
                <w:szCs w:val="22"/>
                <w:highlight w:val="yellow"/>
              </w:rPr>
              <w:t>xx</w:t>
            </w:r>
            <w:r w:rsidRPr="00593698">
              <w:rPr>
                <w:sz w:val="22"/>
                <w:szCs w:val="22"/>
              </w:rPr>
              <w:t>)</w:t>
            </w:r>
          </w:p>
        </w:tc>
        <w:tc>
          <w:tcPr>
            <w:tcW w:w="1486" w:type="dxa"/>
            <w:tcBorders>
              <w:top w:val="single" w:sz="4" w:space="0" w:color="auto"/>
              <w:bottom w:val="single" w:sz="4" w:space="0" w:color="auto"/>
            </w:tcBorders>
            <w:vAlign w:val="center"/>
          </w:tcPr>
          <w:p w14:paraId="3CCDB484" w14:textId="77777777" w:rsidR="00593698" w:rsidRPr="00593698" w:rsidRDefault="00593698" w:rsidP="00A83EB3">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3A930F62" w14:textId="77777777" w:rsidR="00593698" w:rsidRPr="00593698" w:rsidRDefault="00593698" w:rsidP="00A83EB3">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58907CA7" w:rsidR="00593698" w:rsidRPr="00593698" w:rsidRDefault="00593698" w:rsidP="00A83EB3">
            <w:pPr>
              <w:jc w:val="center"/>
              <w:rPr>
                <w:sz w:val="22"/>
                <w:szCs w:val="22"/>
              </w:rPr>
            </w:pPr>
            <w:r w:rsidRPr="00593698">
              <w:rPr>
                <w:sz w:val="22"/>
                <w:szCs w:val="22"/>
              </w:rPr>
              <w:t>-</w:t>
            </w:r>
          </w:p>
        </w:tc>
        <w:tc>
          <w:tcPr>
            <w:tcW w:w="1561" w:type="dxa"/>
            <w:tcBorders>
              <w:top w:val="single" w:sz="4" w:space="0" w:color="auto"/>
              <w:bottom w:val="single" w:sz="4" w:space="0" w:color="auto"/>
            </w:tcBorders>
            <w:vAlign w:val="center"/>
          </w:tcPr>
          <w:p w14:paraId="4B34EA44" w14:textId="77777777" w:rsidR="00593698" w:rsidRPr="00593698" w:rsidRDefault="00593698" w:rsidP="00A83EB3">
            <w:pPr>
              <w:jc w:val="center"/>
              <w:rPr>
                <w:sz w:val="22"/>
                <w:szCs w:val="22"/>
              </w:rPr>
            </w:pPr>
            <w:r w:rsidRPr="00593698">
              <w:rPr>
                <w:sz w:val="22"/>
                <w:szCs w:val="22"/>
              </w:rPr>
              <w:t>HP1</w:t>
            </w:r>
          </w:p>
        </w:tc>
      </w:tr>
      <w:tr w:rsidR="00A83EB3" w:rsidRPr="00593698" w14:paraId="18A7BCC2" w14:textId="77777777" w:rsidTr="00A83EB3">
        <w:tc>
          <w:tcPr>
            <w:tcW w:w="1576" w:type="dxa"/>
            <w:vMerge/>
            <w:vAlign w:val="center"/>
          </w:tcPr>
          <w:p w14:paraId="10FC65AA" w14:textId="77777777" w:rsidR="00A83EB3" w:rsidRPr="00593698" w:rsidRDefault="00A83EB3" w:rsidP="00A83EB3">
            <w:pPr>
              <w:jc w:val="center"/>
              <w:rPr>
                <w:sz w:val="22"/>
                <w:szCs w:val="22"/>
              </w:rPr>
            </w:pPr>
          </w:p>
        </w:tc>
        <w:tc>
          <w:tcPr>
            <w:tcW w:w="1753" w:type="dxa"/>
            <w:vMerge w:val="restart"/>
            <w:tcBorders>
              <w:top w:val="single" w:sz="4" w:space="0" w:color="auto"/>
            </w:tcBorders>
            <w:vAlign w:val="center"/>
          </w:tcPr>
          <w:p w14:paraId="3DD4D9F7" w14:textId="0CA742BB" w:rsidR="00A83EB3" w:rsidRPr="00593698" w:rsidRDefault="00A83EB3" w:rsidP="00A83EB3">
            <w:pPr>
              <w:jc w:val="center"/>
              <w:rPr>
                <w:sz w:val="22"/>
                <w:szCs w:val="22"/>
              </w:rPr>
            </w:pPr>
            <w:r w:rsidRPr="00593698">
              <w:rPr>
                <w:sz w:val="22"/>
                <w:szCs w:val="22"/>
              </w:rPr>
              <w:t>After emergence (16 May)</w:t>
            </w:r>
          </w:p>
        </w:tc>
        <w:tc>
          <w:tcPr>
            <w:tcW w:w="1486" w:type="dxa"/>
            <w:tcBorders>
              <w:top w:val="single" w:sz="4" w:space="0" w:color="auto"/>
              <w:bottom w:val="single" w:sz="4" w:space="0" w:color="auto"/>
            </w:tcBorders>
            <w:vAlign w:val="center"/>
          </w:tcPr>
          <w:p w14:paraId="29BA9CD8" w14:textId="77777777" w:rsidR="00A83EB3" w:rsidRPr="00593698" w:rsidRDefault="00A83EB3" w:rsidP="00A83EB3">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771FC236" w14:textId="77777777" w:rsidR="00A83EB3" w:rsidRPr="00593698" w:rsidRDefault="00A83EB3" w:rsidP="00A83EB3">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186A9738" w14:textId="77777777" w:rsidR="00A83EB3" w:rsidRPr="00593698" w:rsidRDefault="00A83EB3" w:rsidP="00A83EB3">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4C37EDB9" w14:textId="77777777" w:rsidR="00A83EB3" w:rsidRPr="00593698" w:rsidRDefault="00A83EB3" w:rsidP="00A83EB3">
            <w:pPr>
              <w:jc w:val="center"/>
              <w:rPr>
                <w:sz w:val="22"/>
                <w:szCs w:val="22"/>
              </w:rPr>
            </w:pPr>
            <w:r w:rsidRPr="00593698">
              <w:rPr>
                <w:sz w:val="22"/>
                <w:szCs w:val="22"/>
              </w:rPr>
              <w:t>HP3</w:t>
            </w:r>
          </w:p>
        </w:tc>
      </w:tr>
      <w:tr w:rsidR="00A83EB3" w:rsidRPr="00593698" w14:paraId="7270A03D" w14:textId="77777777" w:rsidTr="00164C6B">
        <w:tc>
          <w:tcPr>
            <w:tcW w:w="1576" w:type="dxa"/>
            <w:vMerge/>
            <w:vAlign w:val="center"/>
          </w:tcPr>
          <w:p w14:paraId="76011D30" w14:textId="77777777" w:rsidR="00A83EB3" w:rsidRPr="00593698" w:rsidRDefault="00A83EB3" w:rsidP="00A83EB3">
            <w:pPr>
              <w:jc w:val="center"/>
              <w:rPr>
                <w:sz w:val="22"/>
                <w:szCs w:val="22"/>
              </w:rPr>
            </w:pPr>
          </w:p>
        </w:tc>
        <w:tc>
          <w:tcPr>
            <w:tcW w:w="1753" w:type="dxa"/>
            <w:vMerge/>
            <w:tcBorders>
              <w:bottom w:val="single" w:sz="4" w:space="0" w:color="auto"/>
            </w:tcBorders>
            <w:vAlign w:val="center"/>
          </w:tcPr>
          <w:p w14:paraId="23C9BBEA" w14:textId="42A93D64" w:rsidR="00A83EB3" w:rsidRPr="00593698" w:rsidRDefault="00A83EB3" w:rsidP="00A83EB3">
            <w:pPr>
              <w:jc w:val="center"/>
              <w:rPr>
                <w:sz w:val="22"/>
                <w:szCs w:val="22"/>
              </w:rPr>
            </w:pPr>
          </w:p>
        </w:tc>
        <w:tc>
          <w:tcPr>
            <w:tcW w:w="1486" w:type="dxa"/>
            <w:tcBorders>
              <w:top w:val="single" w:sz="4" w:space="0" w:color="auto"/>
              <w:bottom w:val="single" w:sz="4" w:space="0" w:color="auto"/>
            </w:tcBorders>
            <w:vAlign w:val="center"/>
          </w:tcPr>
          <w:p w14:paraId="0D3AD50E" w14:textId="42DA9420" w:rsidR="00A83EB3" w:rsidRPr="00593698" w:rsidRDefault="00A83EB3" w:rsidP="00A83EB3">
            <w:pPr>
              <w:jc w:val="center"/>
              <w:rPr>
                <w:sz w:val="22"/>
                <w:szCs w:val="22"/>
                <w:lang w:val="en-US"/>
              </w:rPr>
            </w:pPr>
            <w:r>
              <w:rPr>
                <w:sz w:val="22"/>
                <w:szCs w:val="22"/>
                <w:lang w:val="en-US"/>
              </w:rPr>
              <w:t>All except MixE</w:t>
            </w:r>
          </w:p>
        </w:tc>
        <w:tc>
          <w:tcPr>
            <w:tcW w:w="1367" w:type="dxa"/>
            <w:tcBorders>
              <w:top w:val="single" w:sz="4" w:space="0" w:color="auto"/>
              <w:bottom w:val="single" w:sz="4" w:space="0" w:color="auto"/>
            </w:tcBorders>
            <w:vAlign w:val="center"/>
          </w:tcPr>
          <w:p w14:paraId="250C33C8" w14:textId="433495DB" w:rsidR="00A83EB3" w:rsidRPr="00593698" w:rsidRDefault="00A83EB3" w:rsidP="00A83EB3">
            <w:pPr>
              <w:jc w:val="center"/>
              <w:rPr>
                <w:sz w:val="22"/>
                <w:szCs w:val="22"/>
                <w:lang w:val="en-US"/>
              </w:rPr>
            </w:pPr>
            <w:r>
              <w:rPr>
                <w:sz w:val="22"/>
                <w:szCs w:val="22"/>
                <w:lang w:val="en-US"/>
              </w:rPr>
              <w:t>All except MixE</w:t>
            </w:r>
          </w:p>
        </w:tc>
        <w:tc>
          <w:tcPr>
            <w:tcW w:w="1273" w:type="dxa"/>
            <w:tcBorders>
              <w:top w:val="single" w:sz="4" w:space="0" w:color="auto"/>
              <w:bottom w:val="single" w:sz="4" w:space="0" w:color="auto"/>
            </w:tcBorders>
            <w:vAlign w:val="center"/>
          </w:tcPr>
          <w:p w14:paraId="602B5440" w14:textId="0957EDE3" w:rsidR="00A83EB3" w:rsidRPr="00593698" w:rsidRDefault="00A83EB3" w:rsidP="00A83EB3">
            <w:pPr>
              <w:jc w:val="center"/>
              <w:rPr>
                <w:sz w:val="22"/>
                <w:szCs w:val="22"/>
                <w:lang w:val="en-US"/>
              </w:rPr>
            </w:pPr>
            <w:r>
              <w:rPr>
                <w:sz w:val="22"/>
                <w:szCs w:val="22"/>
                <w:lang w:val="en-US"/>
              </w:rPr>
              <w:t>All except MixE</w:t>
            </w:r>
          </w:p>
        </w:tc>
        <w:tc>
          <w:tcPr>
            <w:tcW w:w="1561" w:type="dxa"/>
            <w:tcBorders>
              <w:top w:val="single" w:sz="4" w:space="0" w:color="auto"/>
              <w:bottom w:val="single" w:sz="4" w:space="0" w:color="auto"/>
            </w:tcBorders>
            <w:vAlign w:val="center"/>
          </w:tcPr>
          <w:p w14:paraId="794BF7DC" w14:textId="77777777" w:rsidR="00A83EB3" w:rsidRPr="00593698" w:rsidRDefault="00A83EB3" w:rsidP="00A83EB3">
            <w:pPr>
              <w:jc w:val="center"/>
              <w:rPr>
                <w:sz w:val="22"/>
                <w:szCs w:val="22"/>
                <w:lang w:val="en-US"/>
              </w:rPr>
            </w:pPr>
            <w:r w:rsidRPr="00593698">
              <w:rPr>
                <w:sz w:val="22"/>
                <w:szCs w:val="22"/>
                <w:lang w:val="en-US"/>
              </w:rPr>
              <w:t>HP4</w:t>
            </w:r>
          </w:p>
        </w:tc>
      </w:tr>
      <w:tr w:rsidR="00593698" w:rsidRPr="00593698" w14:paraId="461A86FD" w14:textId="77777777" w:rsidTr="00593698">
        <w:tc>
          <w:tcPr>
            <w:tcW w:w="1576" w:type="dxa"/>
            <w:vMerge/>
            <w:tcBorders>
              <w:bottom w:val="single" w:sz="4" w:space="0" w:color="auto"/>
            </w:tcBorders>
            <w:vAlign w:val="center"/>
          </w:tcPr>
          <w:p w14:paraId="10F12837" w14:textId="77777777" w:rsidR="00593698" w:rsidRPr="00593698" w:rsidRDefault="00593698" w:rsidP="00A83EB3">
            <w:pPr>
              <w:jc w:val="center"/>
              <w:rPr>
                <w:sz w:val="22"/>
                <w:szCs w:val="22"/>
              </w:rPr>
            </w:pPr>
          </w:p>
        </w:tc>
        <w:tc>
          <w:tcPr>
            <w:tcW w:w="1753" w:type="dxa"/>
            <w:tcBorders>
              <w:top w:val="single" w:sz="4" w:space="0" w:color="auto"/>
              <w:bottom w:val="single" w:sz="4" w:space="0" w:color="auto"/>
            </w:tcBorders>
            <w:vAlign w:val="center"/>
          </w:tcPr>
          <w:p w14:paraId="0EA070EB" w14:textId="0FA993E5" w:rsidR="00593698" w:rsidRPr="00593698" w:rsidRDefault="00593698" w:rsidP="00A83EB3">
            <w:pPr>
              <w:jc w:val="center"/>
              <w:rPr>
                <w:sz w:val="22"/>
                <w:szCs w:val="22"/>
              </w:rPr>
            </w:pPr>
            <w:r w:rsidRPr="00593698">
              <w:rPr>
                <w:sz w:val="22"/>
                <w:szCs w:val="22"/>
              </w:rPr>
              <w:t>In-season (29 May)</w:t>
            </w:r>
          </w:p>
        </w:tc>
        <w:tc>
          <w:tcPr>
            <w:tcW w:w="1486" w:type="dxa"/>
            <w:tcBorders>
              <w:top w:val="single" w:sz="4" w:space="0" w:color="auto"/>
              <w:bottom w:val="single" w:sz="4" w:space="0" w:color="auto"/>
            </w:tcBorders>
            <w:vAlign w:val="center"/>
          </w:tcPr>
          <w:p w14:paraId="3C189DEB" w14:textId="6FB60BDE" w:rsidR="00593698" w:rsidRPr="00593698" w:rsidRDefault="00A83EB3" w:rsidP="00A83EB3">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176F2334" w14:textId="2FE5C00F" w:rsidR="00593698" w:rsidRPr="00593698" w:rsidRDefault="00A83EB3" w:rsidP="00A83EB3">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1DA64BC6" w14:textId="54FE4108" w:rsidR="00593698" w:rsidRPr="00593698" w:rsidRDefault="00A83EB3" w:rsidP="00A83EB3">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0FB5A228" w14:textId="3753CD95" w:rsidR="00593698" w:rsidRPr="00593698" w:rsidRDefault="00593698" w:rsidP="00A83EB3">
            <w:pPr>
              <w:jc w:val="center"/>
              <w:rPr>
                <w:sz w:val="22"/>
                <w:szCs w:val="22"/>
              </w:rPr>
            </w:pPr>
            <w:r w:rsidRPr="00593698">
              <w:rPr>
                <w:sz w:val="22"/>
                <w:szCs w:val="22"/>
              </w:rPr>
              <w:t>HP5</w:t>
            </w:r>
          </w:p>
        </w:tc>
      </w:tr>
      <w:tr w:rsidR="00593698" w:rsidRPr="00593698" w14:paraId="02C8F35D" w14:textId="77777777" w:rsidTr="00593698">
        <w:tc>
          <w:tcPr>
            <w:tcW w:w="1576" w:type="dxa"/>
            <w:vMerge w:val="restart"/>
            <w:tcBorders>
              <w:top w:val="single" w:sz="4" w:space="0" w:color="auto"/>
            </w:tcBorders>
            <w:vAlign w:val="center"/>
          </w:tcPr>
          <w:p w14:paraId="6D3A2900" w14:textId="77777777" w:rsidR="00593698" w:rsidRPr="00593698" w:rsidRDefault="00593698" w:rsidP="00A83EB3">
            <w:pPr>
              <w:jc w:val="center"/>
              <w:rPr>
                <w:sz w:val="22"/>
                <w:szCs w:val="22"/>
              </w:rPr>
            </w:pPr>
            <w:r w:rsidRPr="00593698">
              <w:rPr>
                <w:sz w:val="22"/>
                <w:szCs w:val="22"/>
              </w:rPr>
              <w:t xml:space="preserve">2019 </w:t>
            </w:r>
          </w:p>
          <w:p w14:paraId="65C044F6" w14:textId="6540423E" w:rsidR="00593698" w:rsidRPr="00593698" w:rsidRDefault="00593698" w:rsidP="00A83EB3">
            <w:pPr>
              <w:jc w:val="center"/>
              <w:rPr>
                <w:sz w:val="22"/>
                <w:szCs w:val="22"/>
              </w:rPr>
            </w:pPr>
            <w:r w:rsidRPr="00593698">
              <w:rPr>
                <w:sz w:val="22"/>
                <w:szCs w:val="22"/>
              </w:rPr>
              <w:t>(spring oat, sown 4 April)</w:t>
            </w:r>
          </w:p>
        </w:tc>
        <w:tc>
          <w:tcPr>
            <w:tcW w:w="1753" w:type="dxa"/>
            <w:tcBorders>
              <w:top w:val="single" w:sz="4" w:space="0" w:color="auto"/>
              <w:bottom w:val="single" w:sz="4" w:space="0" w:color="auto"/>
            </w:tcBorders>
            <w:vAlign w:val="center"/>
          </w:tcPr>
          <w:p w14:paraId="1C227480" w14:textId="77777777" w:rsidR="00593698" w:rsidRPr="00593698" w:rsidRDefault="00593698" w:rsidP="00A83EB3">
            <w:pPr>
              <w:jc w:val="center"/>
              <w:rPr>
                <w:sz w:val="22"/>
                <w:szCs w:val="22"/>
              </w:rPr>
            </w:pPr>
            <w:r w:rsidRPr="00593698">
              <w:rPr>
                <w:sz w:val="22"/>
                <w:szCs w:val="22"/>
              </w:rPr>
              <w:t>Before cash crop planting (</w:t>
            </w:r>
            <w:r w:rsidRPr="00A83EB3">
              <w:rPr>
                <w:sz w:val="22"/>
                <w:szCs w:val="22"/>
                <w:highlight w:val="yellow"/>
              </w:rPr>
              <w:t>xx</w:t>
            </w:r>
            <w:r w:rsidRPr="00593698">
              <w:rPr>
                <w:sz w:val="22"/>
                <w:szCs w:val="22"/>
              </w:rPr>
              <w:t>)</w:t>
            </w:r>
          </w:p>
        </w:tc>
        <w:tc>
          <w:tcPr>
            <w:tcW w:w="1486" w:type="dxa"/>
            <w:tcBorders>
              <w:top w:val="single" w:sz="4" w:space="0" w:color="auto"/>
              <w:bottom w:val="single" w:sz="4" w:space="0" w:color="auto"/>
            </w:tcBorders>
            <w:vAlign w:val="center"/>
          </w:tcPr>
          <w:p w14:paraId="70DC11E3" w14:textId="77777777" w:rsidR="00593698" w:rsidRPr="00593698" w:rsidRDefault="00593698" w:rsidP="00A83EB3">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45A724EE" w14:textId="77777777" w:rsidR="00593698" w:rsidRPr="00593698" w:rsidRDefault="00593698" w:rsidP="00A83EB3">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6DE655E3" w:rsidR="00593698" w:rsidRPr="00593698" w:rsidRDefault="00593698" w:rsidP="00A83EB3">
            <w:pPr>
              <w:jc w:val="center"/>
              <w:rPr>
                <w:sz w:val="22"/>
                <w:szCs w:val="22"/>
              </w:rPr>
            </w:pPr>
            <w:r w:rsidRPr="00593698">
              <w:rPr>
                <w:sz w:val="22"/>
                <w:szCs w:val="22"/>
              </w:rPr>
              <w:t>-</w:t>
            </w:r>
          </w:p>
        </w:tc>
        <w:tc>
          <w:tcPr>
            <w:tcW w:w="1561" w:type="dxa"/>
            <w:tcBorders>
              <w:top w:val="single" w:sz="4" w:space="0" w:color="auto"/>
              <w:bottom w:val="single" w:sz="4" w:space="0" w:color="auto"/>
            </w:tcBorders>
            <w:vAlign w:val="center"/>
          </w:tcPr>
          <w:p w14:paraId="209B5999" w14:textId="77777777" w:rsidR="00593698" w:rsidRPr="00593698" w:rsidRDefault="00593698" w:rsidP="00A83EB3">
            <w:pPr>
              <w:jc w:val="center"/>
              <w:rPr>
                <w:sz w:val="22"/>
                <w:szCs w:val="22"/>
              </w:rPr>
            </w:pPr>
            <w:r w:rsidRPr="00593698">
              <w:rPr>
                <w:sz w:val="22"/>
                <w:szCs w:val="22"/>
              </w:rPr>
              <w:t>HP1</w:t>
            </w:r>
          </w:p>
        </w:tc>
      </w:tr>
      <w:tr w:rsidR="00A83EB3" w:rsidRPr="00593698" w14:paraId="4815C678" w14:textId="77777777" w:rsidTr="00864B67">
        <w:tc>
          <w:tcPr>
            <w:tcW w:w="1576" w:type="dxa"/>
            <w:vMerge/>
            <w:vAlign w:val="center"/>
          </w:tcPr>
          <w:p w14:paraId="722CF3C6" w14:textId="77777777" w:rsidR="00A83EB3" w:rsidRPr="00593698" w:rsidRDefault="00A83EB3" w:rsidP="00A83EB3">
            <w:pPr>
              <w:jc w:val="center"/>
              <w:rPr>
                <w:sz w:val="22"/>
                <w:szCs w:val="22"/>
              </w:rPr>
            </w:pPr>
          </w:p>
        </w:tc>
        <w:tc>
          <w:tcPr>
            <w:tcW w:w="1753" w:type="dxa"/>
            <w:vMerge w:val="restart"/>
            <w:tcBorders>
              <w:top w:val="single" w:sz="4" w:space="0" w:color="auto"/>
            </w:tcBorders>
            <w:vAlign w:val="center"/>
          </w:tcPr>
          <w:p w14:paraId="4190ED97" w14:textId="3073A0C7" w:rsidR="00A83EB3" w:rsidRPr="00593698" w:rsidRDefault="00A83EB3" w:rsidP="00A83EB3">
            <w:pPr>
              <w:jc w:val="center"/>
              <w:rPr>
                <w:sz w:val="22"/>
                <w:szCs w:val="22"/>
              </w:rPr>
            </w:pPr>
            <w:r w:rsidRPr="00593698">
              <w:rPr>
                <w:sz w:val="22"/>
                <w:szCs w:val="22"/>
              </w:rPr>
              <w:t>After emergence (14 May)</w:t>
            </w:r>
          </w:p>
        </w:tc>
        <w:tc>
          <w:tcPr>
            <w:tcW w:w="1486" w:type="dxa"/>
            <w:tcBorders>
              <w:top w:val="single" w:sz="4" w:space="0" w:color="auto"/>
              <w:bottom w:val="single" w:sz="4" w:space="0" w:color="auto"/>
            </w:tcBorders>
            <w:vAlign w:val="center"/>
          </w:tcPr>
          <w:p w14:paraId="6FF79198" w14:textId="07F2A970" w:rsidR="00A83EB3" w:rsidRPr="00593698" w:rsidRDefault="00A83EB3" w:rsidP="00A83EB3">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079968F6" w14:textId="1EBA4C27" w:rsidR="00A83EB3" w:rsidRPr="00593698" w:rsidRDefault="00A83EB3" w:rsidP="00A83EB3">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235C58D8" w14:textId="10027553" w:rsidR="00A83EB3" w:rsidRPr="00593698" w:rsidRDefault="00A83EB3" w:rsidP="00A83EB3">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28C92824" w14:textId="07A5D43D" w:rsidR="00A83EB3" w:rsidRPr="00593698" w:rsidRDefault="00A83EB3" w:rsidP="00A83EB3">
            <w:pPr>
              <w:jc w:val="center"/>
              <w:rPr>
                <w:sz w:val="22"/>
                <w:szCs w:val="22"/>
              </w:rPr>
            </w:pPr>
            <w:r w:rsidRPr="00593698">
              <w:rPr>
                <w:sz w:val="22"/>
                <w:szCs w:val="22"/>
              </w:rPr>
              <w:t>HP3</w:t>
            </w:r>
          </w:p>
        </w:tc>
      </w:tr>
      <w:tr w:rsidR="00A83EB3" w:rsidRPr="00593698" w14:paraId="58DC564A" w14:textId="77777777" w:rsidTr="00864B67">
        <w:tc>
          <w:tcPr>
            <w:tcW w:w="1576" w:type="dxa"/>
            <w:vMerge/>
            <w:tcBorders>
              <w:bottom w:val="single" w:sz="4" w:space="0" w:color="auto"/>
            </w:tcBorders>
            <w:vAlign w:val="center"/>
          </w:tcPr>
          <w:p w14:paraId="066BB7D3" w14:textId="77777777" w:rsidR="00A83EB3" w:rsidRPr="00593698" w:rsidRDefault="00A83EB3" w:rsidP="00A83EB3">
            <w:pPr>
              <w:jc w:val="center"/>
              <w:rPr>
                <w:sz w:val="22"/>
                <w:szCs w:val="22"/>
              </w:rPr>
            </w:pPr>
          </w:p>
        </w:tc>
        <w:tc>
          <w:tcPr>
            <w:tcW w:w="1753" w:type="dxa"/>
            <w:vMerge/>
            <w:tcBorders>
              <w:bottom w:val="single" w:sz="4" w:space="0" w:color="auto"/>
            </w:tcBorders>
            <w:vAlign w:val="center"/>
          </w:tcPr>
          <w:p w14:paraId="6D77BF0A" w14:textId="175FED26" w:rsidR="00A83EB3" w:rsidRPr="00593698" w:rsidRDefault="00A83EB3" w:rsidP="00A83EB3">
            <w:pPr>
              <w:jc w:val="center"/>
              <w:rPr>
                <w:sz w:val="22"/>
                <w:szCs w:val="22"/>
              </w:rPr>
            </w:pPr>
          </w:p>
        </w:tc>
        <w:tc>
          <w:tcPr>
            <w:tcW w:w="1486" w:type="dxa"/>
            <w:tcBorders>
              <w:top w:val="single" w:sz="4" w:space="0" w:color="auto"/>
              <w:bottom w:val="single" w:sz="4" w:space="0" w:color="auto"/>
            </w:tcBorders>
            <w:vAlign w:val="center"/>
          </w:tcPr>
          <w:p w14:paraId="25E8D4FA" w14:textId="357251FA" w:rsidR="00A83EB3" w:rsidRPr="00593698" w:rsidRDefault="00A83EB3" w:rsidP="00A83EB3">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703F357D" w14:textId="1BF841E3" w:rsidR="00A83EB3" w:rsidRPr="00593698" w:rsidRDefault="00A83EB3" w:rsidP="00A83EB3">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43F3DEDE" w14:textId="2531E8F9" w:rsidR="00A83EB3" w:rsidRPr="00593698" w:rsidRDefault="00A83EB3" w:rsidP="00A83EB3">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7DB9B832" w14:textId="092A71D4" w:rsidR="00A83EB3" w:rsidRPr="00593698" w:rsidRDefault="00A83EB3" w:rsidP="00A83EB3">
            <w:pPr>
              <w:jc w:val="center"/>
              <w:rPr>
                <w:sz w:val="22"/>
                <w:szCs w:val="22"/>
              </w:rPr>
            </w:pPr>
            <w:r w:rsidRPr="00593698">
              <w:rPr>
                <w:sz w:val="22"/>
                <w:szCs w:val="22"/>
              </w:rPr>
              <w:t>HP6</w:t>
            </w:r>
          </w:p>
        </w:tc>
      </w:tr>
      <w:tr w:rsidR="00593698" w:rsidRPr="00593698" w14:paraId="6DBC74CB" w14:textId="77777777" w:rsidTr="00593698">
        <w:tc>
          <w:tcPr>
            <w:tcW w:w="1576" w:type="dxa"/>
            <w:vMerge w:val="restart"/>
            <w:tcBorders>
              <w:top w:val="single" w:sz="4" w:space="0" w:color="auto"/>
            </w:tcBorders>
            <w:vAlign w:val="center"/>
          </w:tcPr>
          <w:p w14:paraId="1703F84A" w14:textId="77777777" w:rsidR="00593698" w:rsidRPr="00593698" w:rsidRDefault="00593698" w:rsidP="00A83EB3">
            <w:pPr>
              <w:jc w:val="center"/>
              <w:rPr>
                <w:sz w:val="22"/>
                <w:szCs w:val="22"/>
              </w:rPr>
            </w:pPr>
            <w:r w:rsidRPr="00593698">
              <w:rPr>
                <w:sz w:val="22"/>
                <w:szCs w:val="22"/>
              </w:rPr>
              <w:t xml:space="preserve">2020 </w:t>
            </w:r>
          </w:p>
          <w:p w14:paraId="1FECD998" w14:textId="2452C95F" w:rsidR="00593698" w:rsidRPr="00593698" w:rsidRDefault="00593698" w:rsidP="00A83EB3">
            <w:pPr>
              <w:jc w:val="center"/>
              <w:rPr>
                <w:sz w:val="22"/>
                <w:szCs w:val="22"/>
              </w:rPr>
            </w:pPr>
            <w:r w:rsidRPr="00593698">
              <w:rPr>
                <w:sz w:val="22"/>
                <w:szCs w:val="22"/>
              </w:rPr>
              <w:t>(faba bean, sown 15 April)</w:t>
            </w:r>
          </w:p>
        </w:tc>
        <w:tc>
          <w:tcPr>
            <w:tcW w:w="1753" w:type="dxa"/>
            <w:tcBorders>
              <w:top w:val="single" w:sz="4" w:space="0" w:color="auto"/>
              <w:bottom w:val="single" w:sz="4" w:space="0" w:color="auto"/>
            </w:tcBorders>
            <w:vAlign w:val="center"/>
          </w:tcPr>
          <w:p w14:paraId="5C644FB1" w14:textId="77777777" w:rsidR="00593698" w:rsidRPr="00593698" w:rsidRDefault="00593698" w:rsidP="00A83EB3">
            <w:pPr>
              <w:jc w:val="center"/>
              <w:rPr>
                <w:sz w:val="22"/>
                <w:szCs w:val="22"/>
              </w:rPr>
            </w:pPr>
            <w:r w:rsidRPr="00593698">
              <w:rPr>
                <w:sz w:val="22"/>
                <w:szCs w:val="22"/>
              </w:rPr>
              <w:t>Before cash crop planting (xx)</w:t>
            </w:r>
          </w:p>
        </w:tc>
        <w:tc>
          <w:tcPr>
            <w:tcW w:w="1486" w:type="dxa"/>
            <w:tcBorders>
              <w:top w:val="single" w:sz="4" w:space="0" w:color="auto"/>
              <w:bottom w:val="single" w:sz="4" w:space="0" w:color="auto"/>
            </w:tcBorders>
            <w:vAlign w:val="center"/>
          </w:tcPr>
          <w:p w14:paraId="0F523157" w14:textId="77777777" w:rsidR="00593698" w:rsidRPr="00593698" w:rsidRDefault="00593698" w:rsidP="00A83EB3">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5F3B89A1" w14:textId="77777777" w:rsidR="00593698" w:rsidRPr="00593698" w:rsidRDefault="00593698" w:rsidP="00A83EB3">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EC97446" w:rsidR="00593698" w:rsidRPr="00593698" w:rsidRDefault="00593698" w:rsidP="00A83EB3">
            <w:pPr>
              <w:jc w:val="center"/>
              <w:rPr>
                <w:sz w:val="22"/>
                <w:szCs w:val="22"/>
              </w:rPr>
            </w:pPr>
            <w:r w:rsidRPr="00593698">
              <w:rPr>
                <w:sz w:val="22"/>
                <w:szCs w:val="22"/>
              </w:rPr>
              <w:t>-</w:t>
            </w:r>
          </w:p>
        </w:tc>
        <w:tc>
          <w:tcPr>
            <w:tcW w:w="1561" w:type="dxa"/>
            <w:tcBorders>
              <w:top w:val="single" w:sz="4" w:space="0" w:color="auto"/>
              <w:bottom w:val="single" w:sz="4" w:space="0" w:color="auto"/>
            </w:tcBorders>
            <w:vAlign w:val="center"/>
          </w:tcPr>
          <w:p w14:paraId="6989FD04" w14:textId="77777777" w:rsidR="00593698" w:rsidRPr="00593698" w:rsidRDefault="00593698" w:rsidP="00A83EB3">
            <w:pPr>
              <w:jc w:val="center"/>
              <w:rPr>
                <w:sz w:val="22"/>
                <w:szCs w:val="22"/>
              </w:rPr>
            </w:pPr>
            <w:r w:rsidRPr="00593698">
              <w:rPr>
                <w:sz w:val="22"/>
                <w:szCs w:val="22"/>
              </w:rPr>
              <w:t>HP2</w:t>
            </w:r>
          </w:p>
        </w:tc>
      </w:tr>
      <w:tr w:rsidR="00593698" w:rsidRPr="00593698" w14:paraId="536BE0D6" w14:textId="77777777" w:rsidTr="00593698">
        <w:tc>
          <w:tcPr>
            <w:tcW w:w="1576" w:type="dxa"/>
            <w:vMerge/>
            <w:vAlign w:val="center"/>
          </w:tcPr>
          <w:p w14:paraId="71D970A0" w14:textId="77777777" w:rsidR="00593698" w:rsidRPr="00593698" w:rsidRDefault="00593698" w:rsidP="00A83EB3">
            <w:pPr>
              <w:jc w:val="center"/>
              <w:rPr>
                <w:sz w:val="22"/>
                <w:szCs w:val="22"/>
              </w:rPr>
            </w:pPr>
          </w:p>
        </w:tc>
        <w:tc>
          <w:tcPr>
            <w:tcW w:w="1753" w:type="dxa"/>
            <w:tcBorders>
              <w:top w:val="single" w:sz="4" w:space="0" w:color="auto"/>
              <w:bottom w:val="single" w:sz="4" w:space="0" w:color="auto"/>
            </w:tcBorders>
            <w:vAlign w:val="center"/>
          </w:tcPr>
          <w:p w14:paraId="3DC2A515" w14:textId="4B84D941" w:rsidR="00593698" w:rsidRPr="00593698" w:rsidRDefault="00593698" w:rsidP="00A83EB3">
            <w:pPr>
              <w:jc w:val="center"/>
              <w:rPr>
                <w:sz w:val="22"/>
                <w:szCs w:val="22"/>
              </w:rPr>
            </w:pPr>
            <w:r w:rsidRPr="00593698">
              <w:rPr>
                <w:sz w:val="22"/>
                <w:szCs w:val="22"/>
              </w:rPr>
              <w:t>After emergence (6 May)</w:t>
            </w:r>
          </w:p>
        </w:tc>
        <w:tc>
          <w:tcPr>
            <w:tcW w:w="1486" w:type="dxa"/>
            <w:tcBorders>
              <w:top w:val="single" w:sz="4" w:space="0" w:color="auto"/>
              <w:bottom w:val="single" w:sz="4" w:space="0" w:color="auto"/>
            </w:tcBorders>
            <w:vAlign w:val="center"/>
          </w:tcPr>
          <w:p w14:paraId="6F43F350" w14:textId="0DE1C37F" w:rsidR="00593698" w:rsidRPr="00593698" w:rsidRDefault="00593698" w:rsidP="00A83EB3">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593698" w:rsidRPr="00593698" w:rsidRDefault="00593698" w:rsidP="00A83EB3">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1AE98E7F" w:rsidR="00593698" w:rsidRPr="00593698" w:rsidRDefault="00593698" w:rsidP="00A83EB3">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593698" w:rsidRPr="00593698" w:rsidRDefault="00593698" w:rsidP="00A83EB3">
            <w:pPr>
              <w:jc w:val="center"/>
              <w:rPr>
                <w:sz w:val="22"/>
                <w:szCs w:val="22"/>
              </w:rPr>
            </w:pPr>
            <w:r w:rsidRPr="00593698">
              <w:rPr>
                <w:sz w:val="22"/>
                <w:szCs w:val="22"/>
              </w:rPr>
              <w:t>HP7</w:t>
            </w:r>
          </w:p>
        </w:tc>
      </w:tr>
      <w:tr w:rsidR="00593698" w:rsidRPr="00593698" w14:paraId="64578084" w14:textId="77777777" w:rsidTr="00593698">
        <w:tc>
          <w:tcPr>
            <w:tcW w:w="1576" w:type="dxa"/>
            <w:vMerge/>
            <w:vAlign w:val="center"/>
          </w:tcPr>
          <w:p w14:paraId="4FA4FFFF" w14:textId="77777777" w:rsidR="00593698" w:rsidRPr="00593698" w:rsidRDefault="00593698" w:rsidP="00A83EB3">
            <w:pPr>
              <w:jc w:val="center"/>
              <w:rPr>
                <w:sz w:val="22"/>
                <w:szCs w:val="22"/>
              </w:rPr>
            </w:pPr>
          </w:p>
        </w:tc>
        <w:tc>
          <w:tcPr>
            <w:tcW w:w="1753" w:type="dxa"/>
            <w:tcBorders>
              <w:top w:val="single" w:sz="4" w:space="0" w:color="auto"/>
              <w:bottom w:val="single" w:sz="4" w:space="0" w:color="auto"/>
            </w:tcBorders>
            <w:vAlign w:val="center"/>
          </w:tcPr>
          <w:p w14:paraId="07FDB56D" w14:textId="728CE46F" w:rsidR="00593698" w:rsidRPr="00593698" w:rsidRDefault="00593698" w:rsidP="00A83EB3">
            <w:pPr>
              <w:jc w:val="center"/>
              <w:rPr>
                <w:sz w:val="22"/>
                <w:szCs w:val="22"/>
              </w:rPr>
            </w:pPr>
            <w:r w:rsidRPr="00593698">
              <w:rPr>
                <w:sz w:val="22"/>
                <w:szCs w:val="22"/>
              </w:rPr>
              <w:t>In-season (20 May)</w:t>
            </w:r>
          </w:p>
        </w:tc>
        <w:tc>
          <w:tcPr>
            <w:tcW w:w="1486" w:type="dxa"/>
            <w:tcBorders>
              <w:top w:val="single" w:sz="4" w:space="0" w:color="auto"/>
              <w:bottom w:val="single" w:sz="4" w:space="0" w:color="auto"/>
            </w:tcBorders>
            <w:vAlign w:val="center"/>
          </w:tcPr>
          <w:p w14:paraId="2B25DDA2" w14:textId="0D0C4D45" w:rsidR="00593698" w:rsidRPr="00593698" w:rsidRDefault="00593698" w:rsidP="00A83EB3">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593698" w:rsidRPr="00593698" w:rsidRDefault="00593698" w:rsidP="00A83EB3">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25F08C7D" w:rsidR="00593698" w:rsidRPr="00593698" w:rsidRDefault="00593698" w:rsidP="00A83EB3">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593698" w:rsidRPr="00593698" w:rsidRDefault="00593698" w:rsidP="00A83EB3">
            <w:pPr>
              <w:jc w:val="center"/>
              <w:rPr>
                <w:sz w:val="22"/>
                <w:szCs w:val="22"/>
              </w:rPr>
            </w:pPr>
            <w:r w:rsidRPr="00593698">
              <w:rPr>
                <w:sz w:val="22"/>
                <w:szCs w:val="22"/>
              </w:rPr>
              <w:t>HP7</w:t>
            </w:r>
          </w:p>
        </w:tc>
      </w:tr>
      <w:tr w:rsidR="00593698" w:rsidRPr="00593698" w14:paraId="5890627D" w14:textId="77777777" w:rsidTr="00593698">
        <w:tc>
          <w:tcPr>
            <w:tcW w:w="1576" w:type="dxa"/>
            <w:vMerge/>
            <w:tcBorders>
              <w:bottom w:val="single" w:sz="4" w:space="0" w:color="auto"/>
            </w:tcBorders>
            <w:vAlign w:val="center"/>
          </w:tcPr>
          <w:p w14:paraId="71A320E5" w14:textId="77777777" w:rsidR="00593698" w:rsidRPr="00593698" w:rsidRDefault="00593698" w:rsidP="00A83EB3">
            <w:pPr>
              <w:jc w:val="center"/>
              <w:rPr>
                <w:sz w:val="22"/>
                <w:szCs w:val="22"/>
              </w:rPr>
            </w:pPr>
          </w:p>
        </w:tc>
        <w:tc>
          <w:tcPr>
            <w:tcW w:w="1753" w:type="dxa"/>
            <w:tcBorders>
              <w:top w:val="single" w:sz="4" w:space="0" w:color="auto"/>
              <w:bottom w:val="single" w:sz="4" w:space="0" w:color="auto"/>
            </w:tcBorders>
            <w:vAlign w:val="center"/>
          </w:tcPr>
          <w:p w14:paraId="1A31D346" w14:textId="0C22F2B3" w:rsidR="00593698" w:rsidRPr="00593698" w:rsidRDefault="00593698" w:rsidP="00A83EB3">
            <w:pPr>
              <w:jc w:val="center"/>
              <w:rPr>
                <w:sz w:val="22"/>
                <w:szCs w:val="22"/>
              </w:rPr>
            </w:pPr>
            <w:r w:rsidRPr="00593698">
              <w:rPr>
                <w:sz w:val="22"/>
                <w:szCs w:val="22"/>
              </w:rPr>
              <w:t>In-season (2 June)</w:t>
            </w:r>
          </w:p>
        </w:tc>
        <w:tc>
          <w:tcPr>
            <w:tcW w:w="1486" w:type="dxa"/>
            <w:tcBorders>
              <w:top w:val="single" w:sz="4" w:space="0" w:color="auto"/>
              <w:bottom w:val="single" w:sz="4" w:space="0" w:color="auto"/>
            </w:tcBorders>
            <w:vAlign w:val="center"/>
          </w:tcPr>
          <w:p w14:paraId="0482F56E" w14:textId="184A4FE9" w:rsidR="00593698" w:rsidRPr="00593698" w:rsidRDefault="00593698" w:rsidP="00A83EB3">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593698" w:rsidRPr="00593698" w:rsidRDefault="00593698" w:rsidP="00A83EB3">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1434079F" w:rsidR="00593698" w:rsidRPr="00593698" w:rsidRDefault="00593698" w:rsidP="00A83EB3">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593698" w:rsidRPr="00593698" w:rsidRDefault="00593698" w:rsidP="00A83EB3">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5B170BDE" w:rsidR="001A455C" w:rsidRPr="001A455C" w:rsidRDefault="00776C96" w:rsidP="001A455C">
      <w:pPr>
        <w:spacing w:line="360" w:lineRule="auto"/>
        <w:rPr>
          <w:lang w:val="en-US"/>
        </w:rPr>
      </w:pPr>
      <w:r w:rsidRPr="001A455C">
        <w:t xml:space="preserve">In the </w:t>
      </w:r>
      <w:r w:rsidR="005515FA">
        <w:t>NT</w:t>
      </w:r>
      <w:r w:rsidRPr="001A455C">
        <w:t xml:space="preserve"> and </w:t>
      </w:r>
      <w:r w:rsidR="0014451B">
        <w:t>SURF</w:t>
      </w:r>
      <w:r w:rsidRPr="001A455C">
        <w:t xml:space="preserve"> tillage treatments, all plots were sprayed before cash crop planting. For the </w:t>
      </w:r>
      <w:r w:rsidR="00645D68">
        <w:t>INV</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MixE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w:t>
      </w:r>
      <w:r w:rsidR="00063C63">
        <w:t xml:space="preserve">, herbicide applications were chosen that are effective against </w:t>
      </w:r>
      <w:r w:rsidR="00063C63">
        <w:t xml:space="preserve">this perennial weed. However, </w:t>
      </w:r>
      <w:r w:rsidR="00AC0E09">
        <w:t>those same herbicides could not be used in the MixE plots</w:t>
      </w:r>
      <w:r w:rsidR="00063C63">
        <w:t>, so the best available option was instead used</w:t>
      </w:r>
      <w:r w:rsidR="00AC0E09">
        <w:t xml:space="preserve">. </w:t>
      </w:r>
      <w:bookmarkStart w:id="4"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Avena fatua</w:t>
      </w:r>
      <w:r w:rsidR="00E64C10">
        <w:rPr>
          <w:i/>
          <w:iCs/>
        </w:rPr>
        <w:t xml:space="preserve"> </w:t>
      </w:r>
      <w:r w:rsidR="00E64C10">
        <w:t>L.</w:t>
      </w:r>
      <w:r w:rsidR="001A455C" w:rsidRPr="001A455C">
        <w:t xml:space="preserve">). </w:t>
      </w:r>
      <w:bookmarkEnd w:id="4"/>
      <w:r w:rsidR="001A455C" w:rsidRPr="001A455C">
        <w:t>All plots were managed identically for diseases and insect pests according to Dani</w:t>
      </w:r>
      <w:r w:rsidR="001A455C" w:rsidRPr="00A142CB">
        <w:t xml:space="preserve">sh standard recommendations and policies. </w:t>
      </w:r>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2A7D26" w:rsidRPr="00A142CB">
        <w:rPr>
          <w:lang w:val="en-US"/>
        </w:rPr>
        <w:t xml:space="preserve">Indicator </w:t>
      </w:r>
      <w:r w:rsidR="00063C63">
        <w:rPr>
          <w:lang w:val="en-US"/>
        </w:rPr>
        <w:t xml:space="preserve">(PLI)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1A455C" w:rsidRPr="00A142CB">
        <w:rPr>
          <w:lang w:val="en-US"/>
        </w:rPr>
        <w:t>.</w:t>
      </w:r>
    </w:p>
    <w:p w14:paraId="26C9F94A" w14:textId="0CC6A3C7" w:rsidR="001A455C" w:rsidRPr="001A455C" w:rsidRDefault="001A455C" w:rsidP="001A455C">
      <w:pPr>
        <w:spacing w:line="360" w:lineRule="auto"/>
        <w:rPr>
          <w:lang w:val="en-US"/>
        </w:rPr>
      </w:pPr>
      <w:r w:rsidRPr="001A455C">
        <w:rPr>
          <w:lang w:val="en-US"/>
        </w:rPr>
        <w:t xml:space="preserve">The long-term experiment is rainfed, but in 2018 an exception was made due to an extremely hot and dry early growing season. In order to maintain the long-term viability of the experiment, all plots were irrigated with 25 mm in early June to ensure the establishment of all treatments. Irrigation was done with sprinklers mounted on a boom that was dragged </w:t>
      </w:r>
      <w:r w:rsidRPr="001A455C">
        <w:rPr>
          <w:lang w:val="en-US"/>
        </w:rPr>
        <w:lastRenderedPageBreak/>
        <w:t>through the experiment.</w:t>
      </w:r>
      <w:r w:rsidR="002A7D26">
        <w:rPr>
          <w:lang w:val="en-US"/>
        </w:rPr>
        <w:t xml:space="preserve"> This was also done on production fields in Denmark with access to irrigation structure</w:t>
      </w:r>
      <w:r w:rsidR="00063C63">
        <w:rPr>
          <w:lang w:val="en-US"/>
        </w:rPr>
        <w:t>, and therefore represents realistic production management</w:t>
      </w:r>
      <w:r w:rsidR="002A7D26">
        <w:rPr>
          <w:lang w:val="en-US"/>
        </w:rPr>
        <w:t xml:space="preserve">. </w:t>
      </w:r>
      <w:r w:rsidRPr="001A455C">
        <w:rPr>
          <w:lang w:val="en-US"/>
        </w:rPr>
        <w:t xml:space="preserve"> </w:t>
      </w:r>
    </w:p>
    <w:p w14:paraId="2D6D4E7F" w14:textId="4760A1FD" w:rsidR="001A455C" w:rsidRPr="001A455C" w:rsidRDefault="001A455C" w:rsidP="001A455C">
      <w:pPr>
        <w:spacing w:line="360" w:lineRule="auto"/>
        <w:rPr>
          <w:lang w:val="en-US"/>
        </w:rPr>
      </w:pPr>
      <w:r w:rsidRPr="001A455C">
        <w:rPr>
          <w:lang w:val="en-US"/>
        </w:rPr>
        <w:t>Weather data for the present study was obtained from the Danish Meteorological Institute's (DMI) Open Data API for the Flakkebjerg station (55.322, 11.388)</w:t>
      </w:r>
      <w:r w:rsidR="00063C63">
        <w:rPr>
          <w:lang w:val="en-US"/>
        </w:rPr>
        <w:t>, located less than 1 km from the present study</w:t>
      </w:r>
      <w:r w:rsidRPr="001A455C">
        <w:rPr>
          <w:lang w:val="en-US"/>
        </w:rPr>
        <w:t xml:space="preserve">. The 30-year (1990-2020) mean annual temperature and precipitation for the site are 8.9 degrees Celsius and 589 mm, respectively.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r w:rsidRPr="003C7F19">
        <w:rPr>
          <w:b/>
          <w:bCs/>
        </w:rPr>
        <w:t>2.</w:t>
      </w:r>
      <w:r>
        <w:rPr>
          <w:b/>
          <w:bCs/>
        </w:rPr>
        <w:t>2</w:t>
      </w:r>
      <w:r w:rsidRPr="003C7F19">
        <w:rPr>
          <w:b/>
          <w:bCs/>
        </w:rPr>
        <w:t xml:space="preserve">.1  </w:t>
      </w:r>
      <w:r>
        <w:rPr>
          <w:b/>
          <w:bCs/>
        </w:rPr>
        <w:t>Crop yields</w:t>
      </w:r>
    </w:p>
    <w:p w14:paraId="7501D6A6" w14:textId="3B4C16E5" w:rsidR="001A455C" w:rsidRPr="001A455C" w:rsidRDefault="001A455C" w:rsidP="001A455C">
      <w:pPr>
        <w:spacing w:line="360" w:lineRule="auto"/>
      </w:pPr>
      <w:r w:rsidRPr="001A455C">
        <w:t xml:space="preserve">Each </w:t>
      </w:r>
      <w:r w:rsidR="007A49E4">
        <w:t>micro-plot</w:t>
      </w:r>
      <w:r w:rsidRPr="001A455C">
        <w:t xml:space="preserve"> (net size 10 m x 1.5 m) was harvested for grain yield with a plot combine</w:t>
      </w:r>
      <w:r w:rsidR="00DD770E">
        <w:t>r</w:t>
      </w:r>
      <w:r w:rsidRPr="001A455C">
        <w:t xml:space="preserve"> (8 August 2018</w:t>
      </w:r>
      <w:r w:rsidR="00063C63">
        <w:t xml:space="preserve">, </w:t>
      </w:r>
      <w:r w:rsidRPr="001A455C">
        <w:t>15 August 2019</w:t>
      </w:r>
      <w:r w:rsidR="00F36B54">
        <w:t xml:space="preserve">, </w:t>
      </w:r>
      <w:r w:rsidR="00063C63">
        <w:t xml:space="preserve">and </w:t>
      </w:r>
      <w:r w:rsidRPr="001A455C">
        <w:t>24 August 2020</w:t>
      </w:r>
      <w:r w:rsidR="00063C63">
        <w:t xml:space="preserve"> for spring barley, spring oat, and</w:t>
      </w:r>
      <w:r w:rsidRPr="001A455C">
        <w:t xml:space="preserve"> faba bean</w:t>
      </w:r>
      <w:r w:rsidR="00063C63">
        <w:t>, respectively</w:t>
      </w:r>
      <w:r w:rsidRPr="001A455C">
        <w:t xml:space="preserve">). Dry matter content was determined by a near-infrared spectroscopy analyzer </w:t>
      </w:r>
      <w:r w:rsidR="00A8682B">
        <w:t>[</w:t>
      </w:r>
      <w:r w:rsidRPr="001A455C">
        <w:t>InfraTec™ 1241 Grain Analyzer, Foss A/S; </w:t>
      </w:r>
      <w:bookmarkStart w:id="5"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(Büchmann et al., 2001)</w:t>
      </w:r>
      <w:r w:rsidR="00A8682B">
        <w:fldChar w:fldCharType="end"/>
      </w:r>
      <w:r w:rsidR="00A8682B">
        <w:t>]</w:t>
      </w:r>
      <w:bookmarkEnd w:id="5"/>
      <w:r w:rsidRPr="001A455C">
        <w:t>). Grain yields are reported on a dry matter basis.</w:t>
      </w:r>
    </w:p>
    <w:p w14:paraId="550CAF4F" w14:textId="39516849" w:rsidR="001A455C" w:rsidRDefault="001A455C" w:rsidP="001A455C">
      <w:pPr>
        <w:spacing w:line="360" w:lineRule="auto"/>
        <w:rPr>
          <w:b/>
          <w:bCs/>
        </w:rPr>
      </w:pPr>
      <w:r w:rsidRPr="003C7F19">
        <w:rPr>
          <w:b/>
          <w:bCs/>
        </w:rPr>
        <w:t>2.</w:t>
      </w:r>
      <w:r>
        <w:rPr>
          <w:b/>
          <w:bCs/>
        </w:rPr>
        <w:t>2</w:t>
      </w:r>
      <w:r w:rsidRPr="003C7F19">
        <w:rPr>
          <w:b/>
          <w:bCs/>
        </w:rPr>
        <w:t>.</w:t>
      </w:r>
      <w:r>
        <w:rPr>
          <w:b/>
          <w:bCs/>
        </w:rPr>
        <w:t>2</w:t>
      </w:r>
      <w:r w:rsidRPr="003C7F19">
        <w:rPr>
          <w:b/>
          <w:bCs/>
        </w:rPr>
        <w:t xml:space="preserve">  </w:t>
      </w:r>
      <w:r>
        <w:rPr>
          <w:b/>
          <w:bCs/>
        </w:rPr>
        <w:t>Fall vegetation</w:t>
      </w:r>
    </w:p>
    <w:p w14:paraId="02B90445" w14:textId="7AB3C055"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 and are described in detail below.</w:t>
      </w:r>
    </w:p>
    <w:p w14:paraId="0EE58BCF" w14:textId="1C84D36A" w:rsidR="001A455C" w:rsidRPr="001A455C" w:rsidRDefault="001A455C" w:rsidP="001A455C">
      <w:pPr>
        <w:spacing w:line="360" w:lineRule="auto"/>
        <w:rPr>
          <w:lang w:val="en-US"/>
        </w:rPr>
      </w:pPr>
      <w:r w:rsidRPr="001A455C">
        <w:rPr>
          <w:lang w:val="en-US"/>
        </w:rPr>
        <w:t xml:space="preserve">Table </w:t>
      </w:r>
      <w:r w:rsidR="00D00598">
        <w:rPr>
          <w:lang w:val="en-US"/>
        </w:rPr>
        <w:t>3</w:t>
      </w:r>
      <w:r w:rsidRPr="001A455C">
        <w:rPr>
          <w:lang w:val="en-US"/>
        </w:rPr>
        <w:t xml:space="preserve">. Summary of </w:t>
      </w:r>
      <w:r w:rsidR="00D00598">
        <w:rPr>
          <w:lang w:val="en-US"/>
        </w:rPr>
        <w:t xml:space="preserve">all </w:t>
      </w:r>
      <w:r w:rsidRPr="001A455C">
        <w:rPr>
          <w:lang w:val="en-US"/>
        </w:rPr>
        <w:t>vegetation measurements</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(AVESA*, CAPBP, CIRAR, EPHEX, HORVW, LOLPE, MATIN, PAPRH, RAPSR, TAROF, TRFRE)</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39DE0012" w:rsidR="001A455C" w:rsidRPr="001A455C" w:rsidRDefault="001A455C" w:rsidP="001A455C">
      <w:pPr>
        <w:spacing w:line="360" w:lineRule="auto"/>
        <w:rPr>
          <w:lang w:val="en-US"/>
        </w:rPr>
      </w:pPr>
      <w:r w:rsidRPr="001A455C">
        <w:rPr>
          <w:lang w:val="en-US"/>
        </w:rPr>
        <w:t>Ground cover composition was estimated from digital images taken in the fall (9 November 2018 and 1 November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r w:rsidRPr="001A455C">
        <w:rPr>
          <w:lang w:val="en-US"/>
        </w:rPr>
        <w:t>. Briefly, a 0.5 m</w:t>
      </w:r>
      <w:r w:rsidRPr="001A455C">
        <w:rPr>
          <w:vertAlign w:val="superscript"/>
          <w:lang w:val="en-US"/>
        </w:rPr>
        <w:t>2</w:t>
      </w:r>
      <w:r w:rsidRPr="001A455C">
        <w:rPr>
          <w:lang w:val="en-US"/>
        </w:rPr>
        <w:t xml:space="preserve"> quadrat was placed in the plot, and an image was taken from a height of 1 m above the center of the quadrat. Three images 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BC2028">
        <w:rPr>
          <w:lang w:val="en-US"/>
        </w:rPr>
        <w:lastRenderedPageBreak/>
        <w:t>(</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xml:space="preserve">, each species/genus was classified as ‘cover crop’, </w:t>
      </w:r>
      <w:r w:rsidR="000103DD">
        <w:rPr>
          <w:lang w:val="en-US"/>
        </w:rPr>
        <w:t xml:space="preserve">‘weed’, </w:t>
      </w:r>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6F668925" w:rsidR="001A455C" w:rsidRPr="001A455C" w:rsidRDefault="001A455C" w:rsidP="001A455C">
      <w:pPr>
        <w:spacing w:line="360" w:lineRule="auto"/>
        <w:rPr>
          <w:lang w:val="en-US"/>
        </w:rPr>
      </w:pPr>
      <w:r w:rsidRPr="001A455C">
        <w:rPr>
          <w:lang w:val="en-US"/>
        </w:rPr>
        <w:t xml:space="preserve">The amount of aboveground vegetative biomass in each treatment was measured shortly after image collection (15 November 2018 and 13 November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other, the latter of which included both weeds and volunteers). Therefore, the categories ‘cover crop’ and ‘other’ were used for all </w:t>
      </w:r>
      <w:r w:rsidR="00402490">
        <w:rPr>
          <w:lang w:val="en-US"/>
        </w:rPr>
        <w:t xml:space="preserve">aboveground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43525EFB" w:rsidR="001A455C" w:rsidRDefault="001A455C" w:rsidP="001A455C">
      <w:pPr>
        <w:spacing w:line="360" w:lineRule="auto"/>
        <w:rPr>
          <w:lang w:val="en-US"/>
        </w:rPr>
      </w:pPr>
      <w:r w:rsidRPr="001A455C">
        <w:rPr>
          <w:lang w:val="en-US"/>
        </w:rPr>
        <w:t>The flora emerging in spring in the experimental plots was assessed on 22 May 2019 and 27 May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B926BF3" w14:textId="45715CD4" w:rsidR="00D00598" w:rsidRDefault="00BC2028" w:rsidP="00045088">
      <w:pPr>
        <w:spacing w:line="360" w:lineRule="auto"/>
      </w:pPr>
      <w:r w:rsidRPr="00BC2028">
        <w:t xml:space="preserve">Potential ecological value was estimated using a methodology </w:t>
      </w:r>
      <w:r w:rsidR="00FD249C">
        <w:t xml:space="preserve">and database </w:t>
      </w:r>
      <w:r w:rsidRPr="00BC2028">
        <w:t xml:space="preserve">from Yvoz et al. 2021, including both pollinator value (the fall vegetation </w:t>
      </w:r>
      <w:r w:rsidR="002A55FC">
        <w:t>in the present study produced flowers</w:t>
      </w:r>
      <w:r w:rsidR="00D00598">
        <w:t>, see photos in supplemental material</w:t>
      </w:r>
      <w:r w:rsidRPr="00BC2028">
        <w:t>) and ecological food web support</w:t>
      </w:r>
      <w:r>
        <w:t xml:space="preserve"> i</w:t>
      </w:r>
      <w:r w:rsidR="002A55FC">
        <w:t xml:space="preserve">ncluding but not limited to </w:t>
      </w:r>
      <w:r>
        <w:t>natural enemies</w:t>
      </w:r>
      <w:r w:rsidRPr="00BC2028">
        <w:t xml:space="preserve"> (</w:t>
      </w:r>
      <w:r>
        <w:t>in the form of green plant and</w:t>
      </w:r>
      <w:r w:rsidR="00D00598">
        <w:t>/or</w:t>
      </w:r>
      <w:r>
        <w:t xml:space="preserve"> seed</w:t>
      </w:r>
      <w:r w:rsidRPr="00BC2028">
        <w:t xml:space="preserve">). Details on this calculation are presented in supplementary material but </w:t>
      </w:r>
      <w:r w:rsidR="002A55FC">
        <w:t>are</w:t>
      </w:r>
      <w:r w:rsidRPr="00BC2028">
        <w:t xml:space="preserve"> described here briefly. The first component, potential benefits to pollinators, was comprised of three sub-indices representing (1a) the absolute benefit to bees (</w:t>
      </w:r>
      <w:r w:rsidRPr="00D00598">
        <w:rPr>
          <w:highlight w:val="yellow"/>
        </w:rPr>
        <w:t>LATIN</w:t>
      </w:r>
      <w:r w:rsidRPr="00BC2028">
        <w:t>), (1b) bumble bees (</w:t>
      </w:r>
      <w:r w:rsidRPr="00D00598">
        <w:rPr>
          <w:highlight w:val="yellow"/>
        </w:rPr>
        <w:t>LATIN</w:t>
      </w:r>
      <w:r w:rsidRPr="00BC2028">
        <w:t>), and (1c) hoverflies (</w:t>
      </w:r>
      <w:r w:rsidRPr="00D00598">
        <w:rPr>
          <w:highlight w:val="yellow"/>
        </w:rPr>
        <w:t>LATIN</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t>
      </w:r>
      <w:r w:rsidRPr="00BC2028">
        <w:lastRenderedPageBreak/>
        <w:t xml:space="preserve">wasps. Organ level attributes reported by Yvoz et al. 2021 for 155 plant species were used to assign sub-index values. Out of the 11 species in our study, six had exact matches in </w:t>
      </w:r>
      <w:r>
        <w:t>the Yvoz et al.</w:t>
      </w:r>
      <w:r w:rsidRPr="00BC2028">
        <w:t xml:space="preserve"> database. For the other species and genus (Table </w:t>
      </w:r>
      <w:r w:rsidR="00D00598">
        <w:t>3</w:t>
      </w:r>
      <w:r w:rsidRPr="00BC2028">
        <w:t xml:space="preserve">), the mean value for all species within that genus reported in the database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6E6121">
        <w:t xml:space="preserve">. </w:t>
      </w:r>
      <w:r w:rsidR="00D00598">
        <w:t>The sensitivity of results to this assumption was tested by excluding the value of fodder radish in the calculations.</w:t>
      </w:r>
    </w:p>
    <w:p w14:paraId="00BF3892" w14:textId="5CACDF11"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204786">
        <w:t>services (</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r>
        <w:rPr>
          <w:b/>
          <w:bCs/>
        </w:rPr>
        <w:t>Multi-criteria summaries</w:t>
      </w:r>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461BBD93" w:rsidR="00C817D7" w:rsidRPr="006C3DC0" w:rsidRDefault="00C817D7" w:rsidP="00C817D7">
      <w:pPr>
        <w:numPr>
          <w:ilvl w:val="0"/>
          <w:numId w:val="2"/>
        </w:numPr>
        <w:spacing w:line="360" w:lineRule="auto"/>
        <w:rPr>
          <w:lang w:val="en-US"/>
        </w:rPr>
      </w:pPr>
      <w:r>
        <w:rPr>
          <w:lang w:val="en-US"/>
        </w:rPr>
        <w:t>Potential p</w:t>
      </w:r>
      <w:r w:rsidRPr="006C3DC0">
        <w:rPr>
          <w:lang w:val="en-US"/>
        </w:rPr>
        <w:t>lant community ecological value</w:t>
      </w:r>
      <w:r>
        <w:rPr>
          <w:lang w:val="en-US"/>
        </w:rPr>
        <w:t xml:space="preserve"> (</w:t>
      </w:r>
      <w:r w:rsidR="00FD6C6D">
        <w:rPr>
          <w:lang w:val="en-US"/>
        </w:rPr>
        <w:t xml:space="preserve">proxies </w:t>
      </w:r>
      <w:r>
        <w:rPr>
          <w:lang w:val="en-US"/>
        </w:rPr>
        <w:t>described above)</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39A3A94E" w:rsidR="00C817D7" w:rsidRPr="0048135E" w:rsidRDefault="00C817D7" w:rsidP="00C817D7">
      <w:pPr>
        <w:numPr>
          <w:ilvl w:val="0"/>
          <w:numId w:val="2"/>
        </w:numPr>
        <w:spacing w:line="360" w:lineRule="auto"/>
        <w:rPr>
          <w:lang w:val="en-US"/>
        </w:rPr>
      </w:pPr>
      <w:r>
        <w:rPr>
          <w:lang w:val="en-US"/>
        </w:rPr>
        <w:t xml:space="preserve">Potential pesticide toxicity loads (human health, ecosystems, environment – PLI) </w:t>
      </w:r>
    </w:p>
    <w:p w14:paraId="0F1DF917" w14:textId="77777777"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lastRenderedPageBreak/>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 This retained a meaningful zero interpretation and avoided exaggeration of small differences in absolute performances. The result was normalized values for all performances on a scale from 0 to 1.</w:t>
      </w:r>
    </w:p>
    <w:p w14:paraId="534375A9" w14:textId="288985C7" w:rsidR="00700ACD" w:rsidRPr="00700ACD" w:rsidRDefault="00B27B76" w:rsidP="00FD6C6D">
      <w:pPr>
        <w:spacing w:line="360" w:lineRule="auto"/>
      </w:pPr>
      <w:r>
        <w:t xml:space="preserve">When performance metrics represented a situation wherein a higher value is less desirable (e.g., perennial weed counts),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6DC19339"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r w:rsidRPr="00FD249C">
        <w:rPr>
          <w:i/>
          <w:iCs/>
        </w:rPr>
        <w:t>tidyverse</w:t>
      </w:r>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and </w:t>
      </w:r>
      <w:r w:rsidRPr="00FD249C">
        <w:rPr>
          <w:i/>
          <w:iCs/>
        </w:rPr>
        <w:t>glmmTMB</w:t>
      </w:r>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r w:rsidR="0014626F" w:rsidRPr="00FD249C">
        <w:rPr>
          <w:i/>
          <w:iCs/>
        </w:rPr>
        <w:t>emmeans</w:t>
      </w:r>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782F03">
        <w:t>, and a</w:t>
      </w:r>
      <w:r w:rsidR="0014626F">
        <w:t>ll</w:t>
      </w:r>
      <w:r w:rsidRPr="001C7F6C">
        <w:t xml:space="preserve"> R code is available as part of the </w:t>
      </w:r>
      <w:r w:rsidR="00FD249C">
        <w:t>G</w:t>
      </w:r>
      <w:r w:rsidRPr="001C7F6C">
        <w:t>ithub repository for this publication (</w:t>
      </w:r>
      <w:r w:rsidR="0014626F" w:rsidRPr="006F4E10">
        <w:rPr>
          <w:color w:val="FF0000"/>
        </w:rPr>
        <w:t>available upon acceptance</w:t>
      </w:r>
      <w:r w:rsidR="00E11F92" w:rsidRPr="006F4E10">
        <w:rPr>
          <w:color w:val="FF0000"/>
        </w:rPr>
        <w:t xml:space="preserve"> of the publication</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r w:rsidRPr="00D00706">
        <w:rPr>
          <w:b/>
          <w:bCs/>
        </w:rPr>
        <w:t>3  RESULTS</w:t>
      </w:r>
    </w:p>
    <w:p w14:paraId="34205FB4" w14:textId="069B2DBA" w:rsidR="0053182E" w:rsidRPr="00A52678" w:rsidRDefault="007D24BE" w:rsidP="00045088">
      <w:pPr>
        <w:spacing w:line="360" w:lineRule="auto"/>
        <w:rPr>
          <w:b/>
          <w:bCs/>
          <w:i/>
          <w:iCs/>
        </w:rPr>
      </w:pPr>
      <w:r w:rsidRPr="00A52678">
        <w:rPr>
          <w:b/>
          <w:bCs/>
          <w:i/>
          <w:iCs/>
        </w:rPr>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334A8DA4" w14:textId="6A78ADB4" w:rsidR="00CC097D" w:rsidRPr="00CC097D" w:rsidRDefault="002B4C35" w:rsidP="00CC097D">
            <w:pPr>
              <w:spacing w:line="360" w:lineRule="auto"/>
              <w:rPr>
                <w:lang w:val="da-DK"/>
              </w:rPr>
            </w:pPr>
            <w:r>
              <w:rPr>
                <w:noProof/>
                <w:lang w:val="da-DK"/>
              </w:rPr>
              <w:lastRenderedPageBreak/>
              <w:drawing>
                <wp:inline distT="0" distB="0" distL="0" distR="0" wp14:anchorId="32ACCD93" wp14:editId="048A6B0C">
                  <wp:extent cx="5731510" cy="4457700"/>
                  <wp:effectExtent l="0" t="0" r="2540" b="0"/>
                  <wp:docPr id="166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80" name="Picture 16668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inline>
              </w:drawing>
            </w: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153A9C49" w:rsidR="00F07C2C" w:rsidRPr="00F07C2C" w:rsidRDefault="00F07C2C" w:rsidP="00CF32A9">
            <w:pPr>
              <w:rPr>
                <w:i/>
                <w:iCs/>
              </w:rPr>
            </w:pPr>
            <w:r w:rsidRPr="007D24BE">
              <w:rPr>
                <w:i/>
                <w:iCs/>
              </w:rPr>
              <w:t>Figure 1</w:t>
            </w:r>
            <w:r w:rsidR="00953C94">
              <w:rPr>
                <w:i/>
                <w:iCs/>
              </w:rPr>
              <w:t xml:space="preserve">. (Top) </w:t>
            </w:r>
            <w:r w:rsidR="00A75203">
              <w:rPr>
                <w:i/>
                <w:iCs/>
              </w:rPr>
              <w:t>Weather summaries comparing study years to 30-year averages</w:t>
            </w:r>
            <w:r w:rsidR="004639D1">
              <w:rPr>
                <w:i/>
                <w:iCs/>
              </w:rPr>
              <w:t xml:space="preserve"> [long-term (LT) means]</w:t>
            </w:r>
            <w:r w:rsidR="00A75203">
              <w:rPr>
                <w:i/>
                <w:iCs/>
              </w:rPr>
              <w:t xml:space="preserve">. (Bottom) </w:t>
            </w:r>
            <w:r w:rsidR="002B4C35">
              <w:rPr>
                <w:i/>
                <w:iCs/>
              </w:rPr>
              <w:t xml:space="preserve">Yields (presented as estimated marginal means with 95% confidence intervals)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 xml:space="preserve">by cover crop treatment, with the mid-season planted radish (RadM)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2CF22F52" w:rsidR="00953C94" w:rsidRPr="00A75203" w:rsidRDefault="00953C94" w:rsidP="00A75203">
      <w:pPr>
        <w:spacing w:line="360" w:lineRule="auto"/>
      </w:pPr>
      <w:r w:rsidRPr="00A75203">
        <w:t>Yields varied significantly by crop</w:t>
      </w:r>
      <w:r w:rsidR="0092460A">
        <w:t xml:space="preserve"> year</w:t>
      </w:r>
      <w:r w:rsidRPr="00A75203">
        <w:t xml:space="preserve"> (p&lt;0.001) and by cover crop treatment (p&lt;0.001), but did not vary significantly by any other factors or their interactions. 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and in 2020 faba bean yields averaged 3.47 Mg ha</w:t>
      </w:r>
      <w:r w:rsidRPr="006F4E10">
        <w:rPr>
          <w:vertAlign w:val="superscript"/>
        </w:rPr>
        <w:t>-1</w:t>
      </w:r>
      <w:r w:rsidRPr="00A75203">
        <w:t xml:space="preserve">. </w:t>
      </w:r>
      <w:r w:rsidR="0092460A">
        <w:t xml:space="preserve">While the interaction between cover crop and crop year was not significant, there was an amplification of the differences over time (Figure 1). </w:t>
      </w:r>
      <w:r w:rsidRPr="00A75203">
        <w:t>On average, the RadM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lastRenderedPageBreak/>
        <w:t>3.2.1 Biomass</w:t>
      </w:r>
    </w:p>
    <w:p w14:paraId="2BF6C4D9" w14:textId="060E2F3A" w:rsidR="00F07C2C" w:rsidRDefault="00A75203" w:rsidP="00045088">
      <w:pPr>
        <w:spacing w:line="360" w:lineRule="auto"/>
      </w:pPr>
      <w:r>
        <w:t xml:space="preserve">The full statistical model </w:t>
      </w:r>
      <w:r w:rsidR="005070A2">
        <w:t xml:space="preserve">predicting fall biomass </w:t>
      </w:r>
      <w:r>
        <w:t>showed complex interactions</w:t>
      </w:r>
      <w:r w:rsidR="008D2724">
        <w:t xml:space="preserve">, but year </w:t>
      </w:r>
      <w:r w:rsidR="005642B7">
        <w:t xml:space="preserve">explained the largest magnitude of variation </w:t>
      </w:r>
      <w:r w:rsidR="008D2724">
        <w:t xml:space="preserve">(p&lt;0.001). </w:t>
      </w:r>
      <w:r w:rsidR="003E7CBF" w:rsidRPr="003E7CBF">
        <w:t>In 2018, average fall biomass production was 2.27 Mg ha</w:t>
      </w:r>
      <w:r w:rsidR="003E7CBF" w:rsidRPr="006F4E10">
        <w:rPr>
          <w:vertAlign w:val="superscript"/>
        </w:rPr>
        <w:t>-1</w:t>
      </w:r>
      <w:r w:rsidR="003E7CBF">
        <w:t>, while in 2019 the average fall biomass production was less than half</w:t>
      </w:r>
      <w:r w:rsidR="005642B7">
        <w:t xml:space="preserve"> of the 2018 value</w:t>
      </w:r>
      <w:r w:rsidR="003E7CBF">
        <w:t xml:space="preserve"> (0.99 Mg ha</w:t>
      </w:r>
      <w:r w:rsidR="003E7CBF" w:rsidRPr="006F4E10">
        <w:rPr>
          <w:vertAlign w:val="superscript"/>
        </w:rPr>
        <w:t>-1</w:t>
      </w:r>
      <w:r w:rsidR="004346DF">
        <w:t>; Figure 2</w:t>
      </w:r>
      <w:r w:rsidR="003E7CBF">
        <w:t xml:space="preserve">). </w:t>
      </w:r>
      <w:r w:rsidR="000347C5">
        <w:t>Residue treatment had a small but significant (p&lt;0.001) main effect without significant interactions, with residue removal reducing fall biomass by 0.2 Mg ha</w:t>
      </w:r>
      <w:r w:rsidR="000347C5" w:rsidRPr="006F4E10">
        <w:rPr>
          <w:vertAlign w:val="superscript"/>
        </w:rPr>
        <w:t>-1</w:t>
      </w:r>
      <w:r w:rsidR="000347C5">
        <w:t xml:space="preserve"> (SE:0.05). </w:t>
      </w:r>
      <w:r w:rsidR="008A45D0">
        <w:t>The effects of tillage and cover crop were amplified in 2018</w:t>
      </w:r>
      <w:r w:rsidR="00DC0149">
        <w:t xml:space="preserve"> compared to 2019</w:t>
      </w:r>
      <w:r w:rsidR="008A45D0">
        <w:t xml:space="preserve">, resulting in significant year interactions. </w:t>
      </w:r>
      <w:r w:rsidR="008D2724" w:rsidRPr="008D2724">
        <w:t xml:space="preserve">On average, increasing tillage intensity significantly decreased fall biomass by 27% and 9% when moving from </w:t>
      </w:r>
      <w:r w:rsidR="005515FA">
        <w:t>NT</w:t>
      </w:r>
      <w:r w:rsidR="008D2724" w:rsidRPr="008D2724">
        <w:t xml:space="preserve"> to </w:t>
      </w:r>
      <w:r w:rsidR="0014451B">
        <w:t>SURF</w:t>
      </w:r>
      <w:r w:rsidR="008D2724" w:rsidRPr="008D2724">
        <w:t xml:space="preserve"> tillage, and </w:t>
      </w:r>
      <w:r w:rsidR="0014451B">
        <w:t>SURF</w:t>
      </w:r>
      <w:r w:rsidR="008D2724" w:rsidRPr="008D2724">
        <w:t xml:space="preserve"> to inversion respectively. </w:t>
      </w:r>
      <w:r w:rsidR="00DC0149">
        <w:t xml:space="preserve">Tillage effects on biomass were strongest in the RadM and RadL </w:t>
      </w:r>
      <w:r w:rsidR="00DC0149" w:rsidRPr="008D2724">
        <w:t>(p=0.048)</w:t>
      </w:r>
      <w:r w:rsidR="00DC0149">
        <w:t xml:space="preserve"> compared to other treatments, and this pattern was consistent across years. </w:t>
      </w:r>
      <w:r w:rsidR="002314A6">
        <w:t>Growing degree days accumulated from cover crop planting to biomass sampling were not related to fall biomass values</w:t>
      </w:r>
      <w:r w:rsidR="004346DF">
        <w:t xml:space="preserve"> (Figure 2)</w:t>
      </w:r>
      <w:r w:rsidR="002314A6">
        <w:t>.</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4A5114B0" w14:textId="06E8559F" w:rsidR="001D3CD3" w:rsidRPr="001D3CD3" w:rsidRDefault="00A52678" w:rsidP="001D3CD3">
            <w:pPr>
              <w:spacing w:line="360" w:lineRule="auto"/>
              <w:rPr>
                <w:lang w:val="da-DK"/>
              </w:rPr>
            </w:pPr>
            <w:r w:rsidRPr="00A52678">
              <w:rPr>
                <w:noProof/>
                <w:lang w:val="da-DK"/>
              </w:rPr>
              <w:drawing>
                <wp:inline distT="0" distB="0" distL="0" distR="0" wp14:anchorId="6139E5E2" wp14:editId="64A5D2DA">
                  <wp:extent cx="5731510" cy="4011930"/>
                  <wp:effectExtent l="0" t="0" r="2540" b="7620"/>
                  <wp:docPr id="20841199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14E67A48"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standard errors)</w:t>
            </w:r>
            <w:r w:rsidR="00950EEA">
              <w:rPr>
                <w:i/>
                <w:iCs/>
              </w:rPr>
              <w:t xml:space="preserve"> was not related to growing degree days (GDDs, italic number in red</w:t>
            </w:r>
            <w:r w:rsidR="00AF5044">
              <w:rPr>
                <w:i/>
                <w:iCs/>
              </w:rPr>
              <w:t>) and exhibited complex treatment interactions (</w:t>
            </w:r>
            <w:r w:rsidR="004346DF">
              <w:rPr>
                <w:i/>
                <w:iCs/>
              </w:rPr>
              <w:t>different</w:t>
            </w:r>
            <w:r w:rsidR="00050CDF">
              <w:rPr>
                <w:i/>
                <w:iCs/>
              </w:rPr>
              <w:t xml:space="preserve"> </w:t>
            </w:r>
            <w:r w:rsidR="00AF5044">
              <w:rPr>
                <w:i/>
                <w:iCs/>
              </w:rPr>
              <w:t>letters within a year indicate significant differences)</w:t>
            </w:r>
            <w:r w:rsidR="0092460A">
              <w:rPr>
                <w:i/>
                <w:iCs/>
              </w:rPr>
              <w:t xml:space="preserve">, but with the mid-season planted radish (RadM) exhibiting the highest biomass in all systems </w:t>
            </w:r>
            <w:r w:rsidR="0092460A">
              <w:rPr>
                <w:i/>
                <w:iCs/>
              </w:rPr>
              <w:lastRenderedPageBreak/>
              <w:t>and years</w:t>
            </w:r>
            <w:r w:rsidR="00950EEA">
              <w:rPr>
                <w:i/>
                <w:iCs/>
              </w:rPr>
              <w:t xml:space="preserve">. (Bottom) </w:t>
            </w:r>
            <w:r w:rsidR="001D3CD3">
              <w:rPr>
                <w:i/>
                <w:iCs/>
              </w:rPr>
              <w:t>F</w:t>
            </w:r>
            <w:r w:rsidR="00AF5044">
              <w:rPr>
                <w:i/>
                <w:iCs/>
              </w:rPr>
              <w:t>all ground cover consisted mainly of cash crop volunteers</w:t>
            </w:r>
            <w:r w:rsidR="001D3CD3">
              <w:rPr>
                <w:i/>
                <w:iCs/>
              </w:rPr>
              <w:t>, with cover crop coverage ranging from 1-</w:t>
            </w:r>
            <w:r w:rsidR="00785EAA">
              <w:rPr>
                <w:i/>
                <w:iCs/>
              </w:rPr>
              <w:t>72% (white labels)</w:t>
            </w:r>
            <w:r w:rsidR="0092460A">
              <w:rPr>
                <w:i/>
                <w:iCs/>
              </w:rPr>
              <w:t xml:space="preserve"> and exhibiting crossover interactions with year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1EACA3CC" w14:textId="3B96DF68" w:rsidR="00C13EAE" w:rsidRDefault="00C13EAE" w:rsidP="00055C8C">
      <w:pPr>
        <w:spacing w:line="360" w:lineRule="auto"/>
      </w:pPr>
      <w:r>
        <w:t xml:space="preserve">Overall, soil coverage was dominated by cash crop volunteers (mean </w:t>
      </w:r>
      <w:r>
        <w:t xml:space="preserve">coverage </w:t>
      </w:r>
      <w:r>
        <w:t xml:space="preserve">of </w:t>
      </w:r>
      <w:r>
        <w:t xml:space="preserve">45%) followed by cover crops (mean of 9%), and weeds contributed less than 1% of coverage. </w:t>
      </w:r>
    </w:p>
    <w:p w14:paraId="5FACF4E1" w14:textId="77777777" w:rsidR="00055C8C" w:rsidRDefault="002314A6" w:rsidP="005C0BB4">
      <w:pPr>
        <w:spacing w:line="360" w:lineRule="auto"/>
      </w:pPr>
      <w:r>
        <w:t xml:space="preserve">The percentage of the soil covered by vegetation </w:t>
      </w:r>
      <w:r w:rsidR="00CF32A9">
        <w:t>varied</w:t>
      </w:r>
      <w:r>
        <w:t xml:space="preserve"> </w:t>
      </w:r>
      <w:r w:rsidR="008B07A4">
        <w:t>significantly by year (p=0.03)</w:t>
      </w:r>
      <w:r w:rsidR="00AF348D">
        <w:t xml:space="preserve"> with a mean of </w:t>
      </w:r>
      <w:r w:rsidR="006774E5">
        <w:t>77</w:t>
      </w:r>
      <w:r w:rsidR="00AF348D">
        <w:t xml:space="preserve">% (SE:2%) soil </w:t>
      </w:r>
      <w:r w:rsidR="00DC0149">
        <w:t xml:space="preserve">coverage </w:t>
      </w:r>
      <w:r w:rsidR="008B07A4">
        <w:t xml:space="preserve">in 2018 and </w:t>
      </w:r>
      <w:r w:rsidR="006774E5">
        <w:t>7</w:t>
      </w:r>
      <w:r w:rsidR="008B07A4">
        <w:t>0% (SE:3%) in 2019</w:t>
      </w:r>
      <w:r w:rsidR="004346DF">
        <w:t xml:space="preserve"> (Figure 2)</w:t>
      </w:r>
      <w:r>
        <w:t xml:space="preserve">. </w:t>
      </w:r>
    </w:p>
    <w:p w14:paraId="56C0BF29" w14:textId="1637C562" w:rsidR="005C0BB4" w:rsidRPr="005C0BB4" w:rsidRDefault="00055C8C" w:rsidP="005C0BB4">
      <w:pPr>
        <w:spacing w:line="360" w:lineRule="auto"/>
        <w:rPr>
          <w:lang w:val="en-US"/>
        </w:rPr>
      </w:pPr>
      <w:r>
        <w:t xml:space="preserve">The percentage of cover provided by cover crops </w:t>
      </w:r>
      <w:r w:rsidR="00763F20">
        <w:t>varied significantly by cover crop treatment</w:t>
      </w:r>
      <w:r>
        <w:t xml:space="preserve"> and its interaction with year</w:t>
      </w:r>
      <w:r w:rsidR="00763F20">
        <w:t xml:space="preserve"> (p&lt;0.001)</w:t>
      </w:r>
      <w:r>
        <w:t>, while t</w:t>
      </w:r>
      <w:r w:rsidR="00EA5B2A">
        <w:t xml:space="preserve">illage, residue, nor their interactions had significant impacts on </w:t>
      </w:r>
      <w:r w:rsidR="00406592">
        <w:t>how</w:t>
      </w:r>
      <w:r w:rsidR="00EA5B2A">
        <w:t xml:space="preserve"> </w:t>
      </w:r>
      <w:r w:rsidR="00406592">
        <w:t xml:space="preserve">the </w:t>
      </w:r>
      <w:r w:rsidR="002E25E6">
        <w:t xml:space="preserve">cover crop </w:t>
      </w:r>
      <w:r w:rsidR="00406592">
        <w:t>contributed to coverage</w:t>
      </w:r>
      <w:r w:rsidR="00EA5B2A">
        <w:t>. The</w:t>
      </w:r>
      <w:r>
        <w:t xml:space="preserve"> interaction between cover crop treatment and year was</w:t>
      </w:r>
      <w:r w:rsidR="00EA5B2A">
        <w:t xml:space="preserve"> driven by </w:t>
      </w:r>
      <w:r>
        <w:t xml:space="preserve">a cross-over effect in </w:t>
      </w:r>
      <w:r w:rsidR="00EA5B2A">
        <w:t xml:space="preserve">MixE: in 2018 the </w:t>
      </w:r>
      <w:r w:rsidR="00A3505F">
        <w:t xml:space="preserve">MixE </w:t>
      </w:r>
      <w:r w:rsidR="00EA5B2A">
        <w:t>cover crop</w:t>
      </w:r>
      <w:r w:rsidR="00CF32A9">
        <w:t>s</w:t>
      </w:r>
      <w:r w:rsidR="00EA5B2A">
        <w:t xml:space="preserve"> contributed an average of 21% (SE</w:t>
      </w:r>
      <w:r w:rsidR="00AF348D">
        <w:t xml:space="preserve">:5%) </w:t>
      </w:r>
      <w:r w:rsidR="00CF32A9">
        <w:t xml:space="preserve">coverage, </w:t>
      </w:r>
      <w:r w:rsidR="00AF348D">
        <w:t xml:space="preserve">while in 2019 </w:t>
      </w:r>
      <w:r w:rsidR="00226AAF">
        <w:t xml:space="preserve">they contributed an </w:t>
      </w:r>
      <w:r w:rsidR="00AF348D">
        <w:t>average of 58% (SE:6%</w:t>
      </w:r>
      <w:r w:rsidR="004346DF">
        <w:t>; Figure 2</w:t>
      </w:r>
      <w:r w:rsidR="00AF348D">
        <w:t xml:space="preserve">). </w:t>
      </w:r>
      <w:r w:rsidR="00226AAF">
        <w:t>In the other cover crop treatments, t</w:t>
      </w:r>
      <w:r w:rsidR="00AF348D">
        <w:t xml:space="preserve">he contributions of the cover crop </w:t>
      </w:r>
      <w:r w:rsidR="00226AAF">
        <w:t xml:space="preserve">to coverage </w:t>
      </w:r>
      <w:r w:rsidR="00AF348D">
        <w:t>did not vary significantly by year</w:t>
      </w:r>
      <w:r w:rsidR="005C0BB4">
        <w:t>, with RadM having the highest cover crop coverage</w:t>
      </w:r>
      <w:r>
        <w:t xml:space="preserve"> across years</w:t>
      </w:r>
      <w:r w:rsidR="005C0BB4">
        <w:t xml:space="preserve"> (50%, SE:4%), followed by RadL (25%, SE:4%), MixM (7%, SE:3%) and NoCC (&lt;1%, SE:3%)</w:t>
      </w:r>
      <w:r w:rsidR="00AF348D">
        <w:t>.</w:t>
      </w:r>
      <w:r w:rsidR="00F87470">
        <w:t xml:space="preserve">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575F52C0" w:rsidR="00EA65A3" w:rsidRDefault="008302FF" w:rsidP="00045088">
      <w:pPr>
        <w:spacing w:line="360" w:lineRule="auto"/>
      </w:pPr>
      <w:r>
        <w:t>Communities were most strongly dictated by year of measurement</w:t>
      </w:r>
      <w:r w:rsidR="00785EAA">
        <w:t xml:space="preserve"> due to the crop volunteer species varying by year</w:t>
      </w:r>
      <w:r w:rsidR="00EA65A3">
        <w:t>. Model fit</w:t>
      </w:r>
      <w:r w:rsidR="00EF62F9">
        <w:t xml:space="preserve">, </w:t>
      </w:r>
      <w:r w:rsidR="00EA65A3">
        <w:t>convergence</w:t>
      </w:r>
      <w:r w:rsidR="00EF62F9">
        <w:t xml:space="preserve"> and interpretability</w:t>
      </w:r>
      <w:r w:rsidR="00EA65A3">
        <w:t xml:space="preserve"> w</w:t>
      </w:r>
      <w:r w:rsidR="00EF62F9">
        <w:t>ere</w:t>
      </w:r>
      <w:r w:rsidR="00EA65A3">
        <w:t xml:space="preserve"> improved when models were fit to years individually, so results are reported for those models</w:t>
      </w:r>
      <w:r w:rsidR="004346DF">
        <w:t xml:space="preserve"> (Figure 3)</w:t>
      </w:r>
      <w:r w:rsidR="00EA65A3">
        <w:t xml:space="preserve">. Within a year, cover crop treatment explained 65-70% of the variance and had a significant effect on community structure (p&lt;0.001), with tillage and straw removal treatments explaining less than 1% of the total variance each, respectively. </w:t>
      </w:r>
      <w:r w:rsidR="00041F28">
        <w:t xml:space="preserve">The two </w:t>
      </w:r>
      <w:r w:rsidR="00EF62F9">
        <w:t xml:space="preserve">cover crop </w:t>
      </w:r>
      <w:r w:rsidR="00041F28">
        <w:t>mix</w:t>
      </w:r>
      <w:r w:rsidR="00EF62F9">
        <w:t>ture</w:t>
      </w:r>
      <w:r w:rsidR="00041F28">
        <w:t xml:space="preserve"> treatments (MixE and MixM) had communities distinct from the two radish treatments (RadM and RadL), with the NoCC communities being more similar to the mix</w:t>
      </w:r>
      <w:r w:rsidR="00EF62F9">
        <w:t>ture</w:t>
      </w:r>
      <w:r w:rsidR="00041F28">
        <w:t xml:space="preserve"> treatments in both years (Figure 3).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21AB856E" w14:textId="668D0E16" w:rsidR="00602B25" w:rsidRPr="00602B25" w:rsidRDefault="00602B25" w:rsidP="00602B25">
            <w:pPr>
              <w:spacing w:line="360" w:lineRule="auto"/>
              <w:rPr>
                <w:lang w:val="da-DK"/>
              </w:rPr>
            </w:pPr>
            <w:r w:rsidRPr="00602B25">
              <w:rPr>
                <w:noProof/>
                <w:lang w:val="da-DK"/>
              </w:rPr>
              <w:lastRenderedPageBreak/>
              <w:drawing>
                <wp:inline distT="0" distB="0" distL="0" distR="0" wp14:anchorId="029ED059" wp14:editId="295D318A">
                  <wp:extent cx="5532120" cy="5532120"/>
                  <wp:effectExtent l="0" t="0" r="0" b="0"/>
                  <wp:docPr id="2034688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32120" cy="5532120"/>
                          </a:xfrm>
                          <a:prstGeom prst="rect">
                            <a:avLst/>
                          </a:prstGeom>
                          <a:noFill/>
                          <a:ln>
                            <a:noFill/>
                          </a:ln>
                        </pic:spPr>
                      </pic:pic>
                    </a:graphicData>
                  </a:graphic>
                </wp:inline>
              </w:drawing>
            </w:r>
          </w:p>
          <w:p w14:paraId="04F1211D" w14:textId="1D77427D" w:rsidR="0038548F" w:rsidRDefault="0038548F" w:rsidP="00045088">
            <w:pPr>
              <w:spacing w:line="360" w:lineRule="auto"/>
            </w:pPr>
          </w:p>
        </w:tc>
      </w:tr>
      <w:tr w:rsidR="0038548F" w14:paraId="3D438F13" w14:textId="77777777" w:rsidTr="0038548F">
        <w:tc>
          <w:tcPr>
            <w:tcW w:w="9016" w:type="dxa"/>
          </w:tcPr>
          <w:p w14:paraId="7E23C4D8" w14:textId="5CD32A04" w:rsidR="0038548F" w:rsidRDefault="0038548F" w:rsidP="00045088">
            <w:pPr>
              <w:spacing w:line="360" w:lineRule="auto"/>
            </w:pPr>
            <w:r w:rsidRPr="00D86704">
              <w:rPr>
                <w:b/>
                <w:bCs/>
              </w:rPr>
              <w:t>Figure 3</w:t>
            </w:r>
            <w:r w:rsidR="009133AC">
              <w:t xml:space="preserve"> </w:t>
            </w:r>
            <w:r w:rsidR="009133AC" w:rsidRPr="00D86704">
              <w:rPr>
                <w:i/>
                <w:iCs/>
              </w:rPr>
              <w:t>(Top)</w:t>
            </w:r>
            <w:r w:rsidR="009133AC">
              <w:t xml:space="preserve"> Cover crop system had the largest impact on fall vegetation communities, with a minor impact of tillage system</w:t>
            </w:r>
            <w:r w:rsidR="00EF62F9">
              <w:t xml:space="preserve"> and straw removal</w:t>
            </w:r>
            <w:r w:rsidR="0089183E">
              <w:t>.</w:t>
            </w:r>
            <w:r w:rsidR="009133AC">
              <w:t xml:space="preserve"> </w:t>
            </w:r>
            <w:r w:rsidR="009133AC" w:rsidRPr="00D86704">
              <w:rPr>
                <w:i/>
                <w:iCs/>
              </w:rPr>
              <w:t>(Bottom)</w:t>
            </w:r>
            <w:r w:rsidR="009133AC">
              <w:t xml:space="preserve"> Radish cover crop systems (RadM, RadL) had the highest potential ecosystem value, with the mixes (MixE, MixM) and NoCC systems having similarly low ecosystem value, due to a high percent</w:t>
            </w:r>
            <w:r w:rsidR="00D86704">
              <w:t xml:space="preserve"> coverage</w:t>
            </w:r>
            <w:r w:rsidR="009133AC">
              <w:t xml:space="preserve"> of low value 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46D6F3F9" w14:textId="39D262DF" w:rsidR="00CA273C" w:rsidRDefault="00B83835" w:rsidP="00045088">
      <w:pPr>
        <w:spacing w:line="360" w:lineRule="auto"/>
      </w:pPr>
      <w:r>
        <w:t xml:space="preserve">Year and cover crop treatment had significant impacts on the number of species observed in a community (p&lt;0.001). </w:t>
      </w:r>
      <w:r w:rsidR="006D5A73">
        <w:t xml:space="preserve">The number of species observed ranged from one to eight, with a mode of two in 2018 and three in 2019. </w:t>
      </w:r>
      <w:r>
        <w:t>The MixE community had 1</w:t>
      </w:r>
      <w:r w:rsidR="006804BA">
        <w:t>.</w:t>
      </w:r>
      <w:r>
        <w:t>4 (SE:</w:t>
      </w:r>
      <w:r w:rsidR="006804BA">
        <w:t>0.</w:t>
      </w:r>
      <w:r w:rsidR="006D5A73">
        <w:t>2</w:t>
      </w:r>
      <w:r w:rsidR="006804BA">
        <w:t>, p=0.02</w:t>
      </w:r>
      <w:r>
        <w:t>) and 1</w:t>
      </w:r>
      <w:r w:rsidR="006804BA">
        <w:t>.</w:t>
      </w:r>
      <w:r>
        <w:t>5</w:t>
      </w:r>
      <w:r w:rsidR="006804BA">
        <w:t xml:space="preserve"> (SE:0.</w:t>
      </w:r>
      <w:r w:rsidR="006D5A73">
        <w:t>2</w:t>
      </w:r>
      <w:r w:rsidR="006804BA">
        <w:t xml:space="preserve">, p&lt;0.001) </w:t>
      </w:r>
      <w:r w:rsidR="006D5A73">
        <w:t xml:space="preserve">times </w:t>
      </w:r>
      <w:r w:rsidR="006804BA">
        <w:t xml:space="preserve">more species compared to the RadL and RadM communities, respectively, but the number of species in all other cover crop treatment comparisons were </w:t>
      </w:r>
      <w:r w:rsidR="006804BA">
        <w:lastRenderedPageBreak/>
        <w:t xml:space="preserve">not significantly different. </w:t>
      </w:r>
      <w:r w:rsidR="00CA273C">
        <w:t xml:space="preserve">The evenness of the communities </w:t>
      </w:r>
      <w:r w:rsidR="00770D8A">
        <w:t>ranged from 0.09 to 1, and there was an amplifying interaction between cover crop treatment and year (p&lt;0.001)</w:t>
      </w:r>
      <w:r w:rsidR="00A3505F">
        <w:t>. E</w:t>
      </w:r>
      <w:r w:rsidR="00770D8A">
        <w:t xml:space="preserve">venness </w:t>
      </w:r>
      <w:r w:rsidR="00B20190">
        <w:t>was generally higher in the radish cover crop treatments</w:t>
      </w:r>
      <w:r w:rsidR="00770D8A">
        <w:t xml:space="preserve">, followed by the early-planted mix, followed by the mid-planted mix and no cover treatments; this pattern was true </w:t>
      </w:r>
      <w:r w:rsidR="00B20190">
        <w:t>regardless of tillage</w:t>
      </w:r>
      <w:r w:rsidR="00770D8A">
        <w:t xml:space="preserve"> system, straw management, and year</w:t>
      </w:r>
      <w:r w:rsidR="00B20190">
        <w:t xml:space="preserve"> (supporting information). </w:t>
      </w:r>
    </w:p>
    <w:p w14:paraId="7815ADC7" w14:textId="75CD1984"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RAPSR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coverage, and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those communities had very low ecological value (see supplemental material). </w:t>
      </w:r>
      <w:r w:rsidR="009133AC">
        <w:t xml:space="preserve">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3995A30F"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residue (p&lt;0.001). Within the </w:t>
      </w:r>
      <w:r w:rsidR="005515FA">
        <w:t>NT</w:t>
      </w:r>
      <w:r>
        <w:t xml:space="preserve"> system, MixE had </w:t>
      </w:r>
      <w:r w:rsidR="00030F1C">
        <w:t xml:space="preserve">significantly more </w:t>
      </w:r>
      <w:r w:rsidR="00D215C3">
        <w:t xml:space="preserve">weeds compared to all other treatments (p&lt;0.001), while in all other tillage systems there were no differences between cover crop treatments; this effect was </w:t>
      </w:r>
      <w:r w:rsidR="00030F1C">
        <w:t xml:space="preserve">significantly </w:t>
      </w:r>
      <w:r w:rsidR="00D215C3">
        <w:t xml:space="preserve">more pronounced in 2019 </w:t>
      </w:r>
      <w:r w:rsidR="00030F1C">
        <w:t xml:space="preserve">(2.6-3.7 times more weeds) </w:t>
      </w:r>
      <w:r w:rsidR="00D215C3">
        <w:t>compared to 2020</w:t>
      </w:r>
      <w:r w:rsidR="00030F1C">
        <w:t xml:space="preserve"> (1.6-1.7 times more weeds), but the patterns were the same. </w:t>
      </w:r>
      <w:r w:rsidR="0000618C">
        <w:t xml:space="preserve">On average there were twice as many weeds in 2019 (mean:163, SE:10) compared to 2020 (mean:76, SE:5).  </w:t>
      </w:r>
      <w:r w:rsidR="00206215">
        <w:t>On average, t</w:t>
      </w:r>
      <w:r w:rsidR="0086566B" w:rsidRPr="002A6EBF">
        <w:rPr>
          <w:highlight w:val="yellow"/>
        </w:rPr>
        <w:t>he total number of weeds was highest in the inversion tillage systems</w:t>
      </w:r>
      <w:r w:rsidR="00F668A9" w:rsidRPr="002A6EBF">
        <w:rPr>
          <w:highlight w:val="yellow"/>
        </w:rPr>
        <w:t xml:space="preserve"> (mean:</w:t>
      </w:r>
      <w:r w:rsidR="00206215">
        <w:rPr>
          <w:highlight w:val="yellow"/>
        </w:rPr>
        <w:t xml:space="preserve">174 </w:t>
      </w:r>
      <w:r w:rsidR="00F668A9" w:rsidRPr="002A6EBF">
        <w:rPr>
          <w:highlight w:val="yellow"/>
        </w:rPr>
        <w:t>plants m</w:t>
      </w:r>
      <w:r w:rsidR="00F668A9" w:rsidRPr="002A6EBF">
        <w:rPr>
          <w:highlight w:val="yellow"/>
          <w:vertAlign w:val="superscript"/>
        </w:rPr>
        <w:t>-2</w:t>
      </w:r>
      <w:r w:rsidR="00F668A9" w:rsidRPr="002A6EBF">
        <w:rPr>
          <w:highlight w:val="yellow"/>
        </w:rPr>
        <w:t>, SE:</w:t>
      </w:r>
      <w:r w:rsidR="00206215">
        <w:rPr>
          <w:highlight w:val="yellow"/>
        </w:rPr>
        <w:t>14</w:t>
      </w:r>
      <w:r w:rsidR="00F668A9" w:rsidRPr="002A6EBF">
        <w:rPr>
          <w:highlight w:val="yellow"/>
        </w:rPr>
        <w:t>)</w:t>
      </w:r>
      <w:r w:rsidR="0086566B" w:rsidRPr="002A6EBF">
        <w:rPr>
          <w:highlight w:val="yellow"/>
        </w:rPr>
        <w:t xml:space="preserve">, followed by </w:t>
      </w:r>
      <w:r w:rsidR="0014451B">
        <w:rPr>
          <w:highlight w:val="yellow"/>
        </w:rPr>
        <w:t>SURF</w:t>
      </w:r>
      <w:r w:rsidR="0086566B" w:rsidRPr="002A6EBF">
        <w:rPr>
          <w:highlight w:val="yellow"/>
        </w:rPr>
        <w:t xml:space="preserve"> tillage systems</w:t>
      </w:r>
      <w:r w:rsidR="00F668A9" w:rsidRPr="002A6EBF">
        <w:rPr>
          <w:highlight w:val="yellow"/>
        </w:rPr>
        <w:t xml:space="preserve"> (mean:</w:t>
      </w:r>
      <w:r w:rsidR="00206215">
        <w:rPr>
          <w:highlight w:val="yellow"/>
        </w:rPr>
        <w:t>109</w:t>
      </w:r>
      <w:r w:rsidR="00F668A9" w:rsidRPr="002A6EBF">
        <w:rPr>
          <w:highlight w:val="yellow"/>
        </w:rPr>
        <w:t xml:space="preserve"> plants m</w:t>
      </w:r>
      <w:r w:rsidR="00F668A9" w:rsidRPr="002A6EBF">
        <w:rPr>
          <w:highlight w:val="yellow"/>
          <w:vertAlign w:val="superscript"/>
        </w:rPr>
        <w:t>-2</w:t>
      </w:r>
      <w:r w:rsidR="00F668A9" w:rsidRPr="002A6EBF">
        <w:rPr>
          <w:highlight w:val="yellow"/>
        </w:rPr>
        <w:t>, SE:</w:t>
      </w:r>
      <w:r w:rsidR="00206215">
        <w:rPr>
          <w:highlight w:val="yellow"/>
        </w:rPr>
        <w:t>9</w:t>
      </w:r>
      <w:r w:rsidR="00F668A9" w:rsidRPr="002A6EBF">
        <w:rPr>
          <w:highlight w:val="yellow"/>
        </w:rPr>
        <w:t>)</w:t>
      </w:r>
      <w:r w:rsidR="0086566B" w:rsidRPr="002A6EBF">
        <w:rPr>
          <w:highlight w:val="yellow"/>
        </w:rPr>
        <w:t xml:space="preserve">, with the </w:t>
      </w:r>
      <w:r w:rsidR="005515FA">
        <w:rPr>
          <w:highlight w:val="yellow"/>
        </w:rPr>
        <w:t>NT</w:t>
      </w:r>
      <w:r w:rsidR="0086566B" w:rsidRPr="002A6EBF">
        <w:rPr>
          <w:highlight w:val="yellow"/>
        </w:rPr>
        <w:t xml:space="preserve"> systems having the smallest number of total weeds</w:t>
      </w:r>
      <w:r w:rsidR="00F668A9" w:rsidRPr="002A6EBF">
        <w:rPr>
          <w:highlight w:val="yellow"/>
        </w:rPr>
        <w:t xml:space="preserve"> (mean:</w:t>
      </w:r>
      <w:r w:rsidR="00206215">
        <w:rPr>
          <w:highlight w:val="yellow"/>
        </w:rPr>
        <w:t>55</w:t>
      </w:r>
      <w:r w:rsidR="00F668A9" w:rsidRPr="002A6EBF">
        <w:rPr>
          <w:highlight w:val="yellow"/>
        </w:rPr>
        <w:t xml:space="preserve"> plants m</w:t>
      </w:r>
      <w:r w:rsidR="00F668A9" w:rsidRPr="002A6EBF">
        <w:rPr>
          <w:highlight w:val="yellow"/>
          <w:vertAlign w:val="superscript"/>
        </w:rPr>
        <w:t>-2</w:t>
      </w:r>
      <w:r w:rsidR="00F668A9" w:rsidRPr="002A6EBF">
        <w:rPr>
          <w:highlight w:val="yellow"/>
        </w:rPr>
        <w:t>, SE:</w:t>
      </w:r>
      <w:r w:rsidR="00206215">
        <w:rPr>
          <w:highlight w:val="yellow"/>
        </w:rPr>
        <w:t>5</w:t>
      </w:r>
      <w:r w:rsidR="0000618C">
        <w:rPr>
          <w:highlight w:val="yellow"/>
        </w:rPr>
        <w:t xml:space="preserve">; </w:t>
      </w:r>
      <w:r w:rsidR="0000618C" w:rsidRPr="0000618C">
        <w:rPr>
          <w:b/>
          <w:bCs/>
          <w:highlight w:val="yellow"/>
        </w:rPr>
        <w:t>Figure 4</w:t>
      </w:r>
      <w:r w:rsidR="00F668A9" w:rsidRPr="002A6EBF">
        <w:rPr>
          <w:highlight w:val="yellow"/>
        </w:rPr>
        <w:t>)</w:t>
      </w:r>
      <w:r w:rsidR="0000618C">
        <w:t xml:space="preserve">. This </w:t>
      </w:r>
      <w:r w:rsidR="00030C38">
        <w:t>pattern</w:t>
      </w:r>
      <w:r w:rsidR="0086566B">
        <w:t xml:space="preserve"> w</w:t>
      </w:r>
      <w:r w:rsidR="00030C38">
        <w:t>as</w:t>
      </w:r>
      <w:r w:rsidR="0086566B">
        <w:t xml:space="preserve"> </w:t>
      </w:r>
      <w:r w:rsidR="0000618C">
        <w:t xml:space="preserve">consistent in both years, but was </w:t>
      </w:r>
      <w:r w:rsidR="0086566B">
        <w:t xml:space="preserve">magnified in 2019 </w:t>
      </w:r>
      <w:r w:rsidR="0000618C">
        <w:t>(when there were more weeds)</w:t>
      </w:r>
      <w:r w:rsidR="0086566B">
        <w:t xml:space="preserve">. </w:t>
      </w:r>
      <w:r w:rsidR="00FE32A7">
        <w:t xml:space="preserve">The largest observed differences in total spring weed counts were in the </w:t>
      </w:r>
      <w:r w:rsidR="005515FA">
        <w:t>NT</w:t>
      </w:r>
      <w:r w:rsidR="00FE32A7">
        <w:t xml:space="preserve"> system, with MixE having 1.5-1.7 times more weeds compared to the other cover crop treatments.</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2C35802D" w14:textId="0E2FEE95" w:rsidR="005E12EA" w:rsidRPr="005E12EA" w:rsidRDefault="00F960D0" w:rsidP="00030F1C">
            <w:pPr>
              <w:spacing w:line="360" w:lineRule="auto"/>
              <w:rPr>
                <w:lang w:val="da-DK"/>
              </w:rPr>
            </w:pPr>
            <w:r>
              <w:rPr>
                <w:noProof/>
                <w:lang w:val="da-DK"/>
              </w:rPr>
              <w:lastRenderedPageBreak/>
              <w:drawing>
                <wp:inline distT="0" distB="0" distL="0" distR="0" wp14:anchorId="5FE08851" wp14:editId="7C021613">
                  <wp:extent cx="5731510" cy="6550025"/>
                  <wp:effectExtent l="0" t="0" r="2540" b="3175"/>
                  <wp:docPr id="111800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05148" name="Picture 11180051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6550025"/>
                          </a:xfrm>
                          <a:prstGeom prst="rect">
                            <a:avLst/>
                          </a:prstGeom>
                        </pic:spPr>
                      </pic:pic>
                    </a:graphicData>
                  </a:graphic>
                </wp:inline>
              </w:drawing>
            </w:r>
          </w:p>
        </w:tc>
      </w:tr>
      <w:tr w:rsidR="005E12EA" w14:paraId="77868ADE" w14:textId="77777777" w:rsidTr="0054576C">
        <w:tc>
          <w:tcPr>
            <w:tcW w:w="9026" w:type="dxa"/>
          </w:tcPr>
          <w:p w14:paraId="0E6944F1" w14:textId="74D1F83B"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r w:rsidR="00F960D0">
              <w:t xml:space="preserve">There were no differences in total or perennial weed counts within the inversion tillage treatment (Inv), but in </w:t>
            </w:r>
            <w:r w:rsidR="00C70707">
              <w:t xml:space="preserve">the </w:t>
            </w:r>
            <w:r w:rsidR="005515FA">
              <w:t>NT</w:t>
            </w:r>
            <w:r w:rsidR="00C70707">
              <w:t xml:space="preserve"> and surface</w:t>
            </w:r>
            <w:r w:rsidR="00F960D0">
              <w:t xml:space="preserve"> (Surf)</w:t>
            </w:r>
            <w:r w:rsidR="00C70707">
              <w:t xml:space="preserve"> tillage systems </w:t>
            </w:r>
            <w:r w:rsidR="00F960D0">
              <w:t xml:space="preserve">the early-planted mix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p>
        </w:tc>
      </w:tr>
    </w:tbl>
    <w:p w14:paraId="0FE38C89" w14:textId="77777777" w:rsidR="0054576C" w:rsidRDefault="0054576C" w:rsidP="0054576C">
      <w:pPr>
        <w:spacing w:line="360" w:lineRule="auto"/>
      </w:pPr>
    </w:p>
    <w:p w14:paraId="12FFB7EF" w14:textId="75164A68" w:rsidR="0000618C" w:rsidRDefault="0000618C" w:rsidP="0054576C">
      <w:pPr>
        <w:spacing w:line="360" w:lineRule="auto"/>
      </w:pPr>
      <w:r>
        <w:t xml:space="preserve">Despite having less total weeds, both </w:t>
      </w:r>
      <w:r w:rsidR="005515FA">
        <w:t>NT</w:t>
      </w:r>
      <w:r>
        <w:t xml:space="preserve"> and </w:t>
      </w:r>
      <w:r w:rsidR="0014451B">
        <w:t>SURF</w:t>
      </w:r>
      <w:r>
        <w:t xml:space="preserve"> tillage had significantly increased numbers of perennial weeds compared to inversion tillage. The perennial weeds were mainly CIRAR (82%, versus 18% EQUAR). Averaged over </w:t>
      </w:r>
      <w:r w:rsidR="005515FA">
        <w:t>NT</w:t>
      </w:r>
      <w:r>
        <w:t xml:space="preserve"> and </w:t>
      </w:r>
      <w:r w:rsidR="0014451B">
        <w:t>SURF</w:t>
      </w:r>
      <w:r>
        <w:t xml:space="preserve"> tillage treatments, the </w:t>
      </w:r>
      <w:r>
        <w:lastRenderedPageBreak/>
        <w:t xml:space="preserve">number of perennial weeds in the MixE was 11 times higher (SE:6; p&lt;0.001) compared to the the NoCC treatment, and 2.6-8.6 times higher than the other cover crop treatments; these effects were erased in the inversion tillage treatment. The MixM had a borderline significant increase in perennial weeds compared to the NoCC </w:t>
      </w:r>
      <w:r w:rsidR="00C20C1A">
        <w:t xml:space="preserve">in the </w:t>
      </w:r>
      <w:r w:rsidR="005515FA">
        <w:t>NT</w:t>
      </w:r>
      <w:r w:rsidR="00C20C1A">
        <w:t xml:space="preserve"> system </w:t>
      </w:r>
      <w:r>
        <w:t>(p=0.05), but all other treatments were not significantly different from the NoCC. The</w:t>
      </w:r>
      <w:r w:rsidR="00C20C1A">
        <w:t xml:space="preserve">re was an inverse relationship between </w:t>
      </w:r>
      <w:r>
        <w:t xml:space="preserve">faba bean yields </w:t>
      </w:r>
      <w:r w:rsidR="00C20C1A">
        <w:t xml:space="preserve">and perennial </w:t>
      </w:r>
      <w:r>
        <w:t xml:space="preserve">weeds, with more perennial weeds corresponding to lower faba bean yields </w:t>
      </w:r>
      <w:r w:rsidR="00C20C1A">
        <w:t>(see supporting information)</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5553EEDF"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14451B">
        <w:t>SURF</w:t>
      </w:r>
      <w:r w:rsidR="00C70707">
        <w:t xml:space="preserve"> tillage. </w:t>
      </w:r>
      <w:r w:rsidR="00765D21">
        <w:t>In all systems</w:t>
      </w:r>
      <w:r>
        <w:t xml:space="preserve"> and years</w:t>
      </w:r>
      <w:r w:rsidR="00765D21">
        <w:t>, pesticide loads were lowest in the MixE treatments</w:t>
      </w:r>
      <w:r w:rsidR="00C70707">
        <w:t xml:space="preserve"> compared to the other cover crop treatments (</w:t>
      </w:r>
      <w:r w:rsidR="00737D7A">
        <w:t>supporting information</w:t>
      </w:r>
      <w:r w:rsidR="00765D21">
        <w:t xml:space="preserve">). </w:t>
      </w:r>
    </w:p>
    <w:p w14:paraId="28CC9E30" w14:textId="29B33CCF" w:rsidR="007348E9" w:rsidRPr="007348E9" w:rsidRDefault="007348E9" w:rsidP="0054576C">
      <w:pPr>
        <w:spacing w:line="360" w:lineRule="auto"/>
        <w:rPr>
          <w:b/>
          <w:bCs/>
          <w:i/>
          <w:iCs/>
        </w:rPr>
      </w:pPr>
      <w:r w:rsidRPr="007348E9">
        <w:rPr>
          <w:b/>
          <w:bCs/>
          <w:i/>
          <w:iCs/>
        </w:rPr>
        <w:t>3.4 Multi-criteria summary</w:t>
      </w:r>
    </w:p>
    <w:p w14:paraId="7B060C0D" w14:textId="481AFCE8" w:rsidR="007348E9" w:rsidRDefault="00A80E50" w:rsidP="0054576C">
      <w:pPr>
        <w:spacing w:line="360" w:lineRule="auto"/>
      </w:pPr>
      <w:r>
        <w:t xml:space="preserve">The system with the highest overall value (assuming equal weighting for all metrics) was the mid-season planted radish (RadM) implemented in a </w:t>
      </w:r>
      <w:r w:rsidR="005515FA">
        <w:t>NT</w:t>
      </w:r>
      <w:r>
        <w:t xml:space="preserve"> system with retained residue (</w:t>
      </w:r>
      <w:r w:rsidRPr="00A80E50">
        <w:rPr>
          <w:b/>
          <w:bCs/>
        </w:rPr>
        <w:t>Figure 5</w:t>
      </w:r>
      <w:r>
        <w:t xml:space="preserve">), while the system with the lowest overall value was the mid-season planted mixture (MixM) implemented in a </w:t>
      </w:r>
      <w:r w:rsidR="005515FA">
        <w:t>NT</w:t>
      </w:r>
      <w:r>
        <w:t xml:space="preserve"> system with residue removal. Across tillage and residue management systems, the RadM was the best performing cover crop treatment, and the MixM the worst.</w:t>
      </w:r>
      <w:r w:rsidR="00F61077">
        <w:t xml:space="preserve"> The early-planted mixture (MixE) performed well in the inversion tillage system, but poorly in the other tillage systems. The impact of residue management on the total value was marginal in the inversion tillage system, but residue retention in the </w:t>
      </w:r>
      <w:r w:rsidR="0014451B">
        <w:t>SURF</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5DAE5A23"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small grain residue management systems.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r w:rsidRPr="003C7F19">
        <w:rPr>
          <w:b/>
          <w:bCs/>
        </w:rPr>
        <w:t>4  DISCUSSION</w:t>
      </w:r>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22B783BA"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averages</w:t>
      </w:r>
      <w:r w:rsidR="00737D7A">
        <w:t xml:space="preserve">, demonstrating </w:t>
      </w:r>
      <w:r w:rsidR="00C20C1A">
        <w:t>the study</w:t>
      </w:r>
      <w:r w:rsidR="00737D7A">
        <w:t xml:space="preserve"> results are 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2B7D00A7" w14:textId="1BF4D1F3" w:rsidR="0053182E" w:rsidRPr="00A52678" w:rsidRDefault="00737D7A" w:rsidP="00045088">
      <w:pPr>
        <w:spacing w:line="360" w:lineRule="auto"/>
        <w:rPr>
          <w:b/>
          <w:bCs/>
          <w:i/>
          <w:iCs/>
        </w:rPr>
      </w:pPr>
      <w:r w:rsidRPr="00A52678">
        <w:rPr>
          <w:b/>
          <w:bCs/>
          <w:i/>
          <w:iCs/>
        </w:rPr>
        <w:t xml:space="preserve"> </w:t>
      </w:r>
      <w:r w:rsidR="005E150B" w:rsidRPr="00A52678">
        <w:rPr>
          <w:b/>
          <w:bCs/>
          <w:i/>
          <w:iCs/>
        </w:rPr>
        <w:t>4.2 Interactions between management practices</w:t>
      </w:r>
    </w:p>
    <w:p w14:paraId="1989F081" w14:textId="7E196853" w:rsidR="00E33D15" w:rsidRDefault="00E33D15" w:rsidP="00E33D15">
      <w:pPr>
        <w:spacing w:line="360" w:lineRule="auto"/>
      </w:pPr>
      <w:r>
        <w:t xml:space="preserve">Our results suggest radish cover crops, especially when planted mid-season, are a robust cover cropping system that performed well </w:t>
      </w:r>
      <w:r w:rsidR="00A52678">
        <w:t xml:space="preserve">in the majority of performance metrics </w:t>
      </w:r>
      <w:r>
        <w:t xml:space="preserve">across tillage systems, straw managements, and weather years in </w:t>
      </w:r>
      <w:r w:rsidR="0098059C">
        <w:t>a</w:t>
      </w:r>
      <w:r>
        <w:t xml:space="preserve"> </w:t>
      </w:r>
      <w:r w:rsidR="00A52678">
        <w:t>temperate oceanic</w:t>
      </w:r>
      <w:r>
        <w:t xml:space="preserve"> climate</w:t>
      </w:r>
      <w:r w:rsidR="0098059C">
        <w:t xml:space="preserve"> </w:t>
      </w:r>
      <w:r w:rsidR="0098059C">
        <w:fldChar w:fldCharType="begin"/>
      </w:r>
      <w:r w:rsidR="0098059C">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98059C">
        <w:fldChar w:fldCharType="separate"/>
      </w:r>
      <w:r w:rsidR="0098059C" w:rsidRPr="0098059C">
        <w:t>(Peel et al., 2007)</w:t>
      </w:r>
      <w:r w:rsidR="0098059C">
        <w:fldChar w:fldCharType="end"/>
      </w:r>
      <w:r>
        <w:t>. Other temperate areas in Europe have likewise found radish cover crop systems perform well in a variety of contexts</w:t>
      </w:r>
      <w:r w:rsidR="006B785A">
        <w:t xml:space="preserve"> </w:t>
      </w:r>
      <w:r w:rsidR="001479F9">
        <w:fldChar w:fldCharType="begin"/>
      </w:r>
      <w:r w:rsidR="001479F9">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rsidR="001479F9">
        <w:fldChar w:fldCharType="separate"/>
      </w:r>
      <w:r w:rsidR="001479F9" w:rsidRPr="001479F9">
        <w:t>(Elhakeem et al., 2023; Leskovšek et al., 2025)</w:t>
      </w:r>
      <w:r w:rsidR="001479F9">
        <w:fldChar w:fldCharType="end"/>
      </w:r>
      <w:r w:rsidR="006B785A">
        <w:t>. In Northern latitudes where available heat units reduce quickly following August cash crop harvests, species that establish and grow quickly such as radish likely provide more reliable performance</w:t>
      </w:r>
      <w:r w:rsidR="00F508EF">
        <w:t xml:space="preserve"> compared to slower growing grass and clover species, which may only perform well under certain conditions </w:t>
      </w:r>
      <w:r w:rsidR="00F508EF" w:rsidRPr="006F4E10">
        <w:rPr>
          <w:highlight w:val="yellow"/>
        </w:rPr>
        <w:t>(CITE)</w:t>
      </w:r>
      <w:r w:rsidR="006B785A">
        <w:t xml:space="preserve">. </w:t>
      </w:r>
      <w:r>
        <w:t xml:space="preserve">     </w:t>
      </w:r>
    </w:p>
    <w:p w14:paraId="746931A3" w14:textId="0C800DF0" w:rsidR="002E4D53" w:rsidRDefault="00260E18" w:rsidP="00045088">
      <w:pPr>
        <w:spacing w:line="360" w:lineRule="auto"/>
      </w:pPr>
      <w:r>
        <w:t>While year had a strong impact on all outcomes</w:t>
      </w:r>
      <w:r w:rsidR="00E33D15">
        <w:t xml:space="preserve"> in this study</w:t>
      </w:r>
      <w:r>
        <w:t xml:space="preserve">, it interacted with management practices by amplifying or dampening effects, rather than inducing cross-over </w:t>
      </w:r>
      <w:r w:rsidR="002E4D53">
        <w:t xml:space="preserve">interactions. A notable exception is performance of the early-planted cover crop mixture – in one year the resulting fall biomass contained very little contribution from the planted cover crop, while in another year it contributed over half of the total </w:t>
      </w:r>
      <w:r w:rsidR="00BD0B68">
        <w:t xml:space="preserve">fall </w:t>
      </w:r>
      <w:r w:rsidR="002E4D53">
        <w:t xml:space="preserve">biomass (Figure 2). However, in both cases the absolute amount of </w:t>
      </w:r>
      <w:r w:rsidR="00BD0B68">
        <w:t xml:space="preserve">cover crop </w:t>
      </w:r>
      <w:r w:rsidR="002E4D53">
        <w:t xml:space="preserve">biomass produced was still low. </w:t>
      </w:r>
    </w:p>
    <w:p w14:paraId="09AB2D1F" w14:textId="45214639" w:rsidR="00E33D15" w:rsidRDefault="00BD0B68" w:rsidP="00045088">
      <w:pPr>
        <w:spacing w:line="360" w:lineRule="auto"/>
      </w:pPr>
      <w:r>
        <w:t>The tillage system also amplified differences between cover crop treatments,</w:t>
      </w:r>
      <w:r w:rsidR="00E33D15">
        <w:t xml:space="preserve"> but in general did not change cover crop systems’ biomass and cover</w:t>
      </w:r>
      <w:r w:rsidR="00F508EF">
        <w:t>age</w:t>
      </w:r>
      <w:r w:rsidR="00E33D15">
        <w:t xml:space="preserve"> rankings</w:t>
      </w:r>
      <w:r w:rsidR="00F508EF">
        <w:t>,</w:t>
      </w:r>
      <w:r w:rsidR="00E33D15">
        <w:t xml:space="preserve"> and had </w:t>
      </w:r>
      <w:r w:rsidR="00F508EF">
        <w:t xml:space="preserve">only minor </w:t>
      </w:r>
      <w:r w:rsidR="00E33D15">
        <w:t>impacts on fall communities compared to the cover crop treatment.</w:t>
      </w:r>
    </w:p>
    <w:p w14:paraId="6FEFBC32" w14:textId="03A5C25D" w:rsidR="00260E18" w:rsidRDefault="00260E18" w:rsidP="00045088">
      <w:pPr>
        <w:spacing w:line="360" w:lineRule="auto"/>
      </w:pPr>
      <w:r>
        <w:t>Of the management practices investigated, s</w:t>
      </w:r>
      <w:r w:rsidR="005E150B">
        <w:t xml:space="preserve">traw </w:t>
      </w:r>
      <w:r>
        <w:t>management (</w:t>
      </w:r>
      <w:r w:rsidR="005E150B">
        <w:t>retention</w:t>
      </w:r>
      <w:r>
        <w:t xml:space="preserve"> or </w:t>
      </w:r>
      <w:r w:rsidR="005E150B">
        <w:t>removal</w:t>
      </w:r>
      <w:r>
        <w:t>)</w:t>
      </w:r>
      <w:r w:rsidR="005E150B">
        <w:t xml:space="preserve"> had </w:t>
      </w:r>
      <w:r>
        <w:t xml:space="preserve">the weakest </w:t>
      </w:r>
      <w:r w:rsidR="005E150B">
        <w:t xml:space="preserve">impacts on the </w:t>
      </w:r>
      <w:r>
        <w:t>outcomes</w:t>
      </w:r>
      <w:r w:rsidR="005E150B">
        <w:t xml:space="preserve"> evaluated in this study. This could be due to the incomplete removal of straw using a two-pass system wherein the </w:t>
      </w:r>
      <w:r>
        <w:t>straw is removed after grain has been harvested, resulting in around 60% of the straw being removed (CITE). A layer of straw mulch is therefore present in both systems,</w:t>
      </w:r>
      <w:r w:rsidR="009A203A">
        <w:t xml:space="preserve"> and </w:t>
      </w:r>
      <w:r w:rsidR="00A82D15">
        <w:t>the impact of the layer thickness may only manifest under certain environmental conditions</w:t>
      </w:r>
      <w:r>
        <w:t xml:space="preserve">. </w:t>
      </w:r>
    </w:p>
    <w:p w14:paraId="722498FE" w14:textId="148EA147" w:rsidR="00737D7A" w:rsidRPr="00602609" w:rsidRDefault="005E150B" w:rsidP="00045088">
      <w:pPr>
        <w:spacing w:line="360" w:lineRule="auto"/>
        <w:rPr>
          <w:lang w:val="da-DK"/>
        </w:rPr>
      </w:pPr>
      <w:r>
        <w:t>In our study the cover crop mixtures performed poorly in the majority of performance metrics employed.</w:t>
      </w:r>
      <w:r w:rsidR="006F15B8">
        <w:t xml:space="preserve"> </w:t>
      </w:r>
      <w:r w:rsidR="00DD04CB">
        <w:t>T</w:t>
      </w:r>
      <w:r w:rsidR="006F15B8">
        <w:t>he presence of the cover crop mixture</w:t>
      </w:r>
      <w:r w:rsidR="00DD04CB">
        <w:t xml:space="preserve"> early in the season prevented the use of </w:t>
      </w:r>
      <w:r w:rsidR="00DD04CB">
        <w:lastRenderedPageBreak/>
        <w:t>herbicides effective against Canadian thistle, and in reduced tillage systems this allowed the agronomically harmful perennial weed to establish, which impacted grain yields. The mixtures</w:t>
      </w:r>
      <w:r w:rsidR="00AE3AE5">
        <w:t>’ performance was not resilient against weather variation, and varied strongly between management systems.</w:t>
      </w:r>
      <w:r w:rsidR="00DD04CB">
        <w:t xml:space="preserve"> </w:t>
      </w:r>
      <w:r w:rsidR="00A82D15">
        <w:t xml:space="preserve">This adds to </w:t>
      </w:r>
      <w:r w:rsidR="00737D7A">
        <w:t xml:space="preserve">a growing body of research suggesting the use of cover crop mixes must be carefully </w:t>
      </w:r>
      <w:r>
        <w:t xml:space="preserve">and thoughtfully </w:t>
      </w:r>
      <w:r w:rsidR="00737D7A">
        <w:t>implemented</w:t>
      </w:r>
      <w:r>
        <w:t>, and the goals for the use of the mixes must be clearly articulated</w:t>
      </w:r>
      <w:r w:rsidR="00A82D15">
        <w:t xml:space="preserve">, as desirable outcomes are not guaranteed through diversity alone </w:t>
      </w:r>
      <w:r w:rsidR="00A82D15">
        <w:fldChar w:fldCharType="begin"/>
      </w:r>
      <w:r w:rsidR="00A142CB">
        <w:instrText xml:space="preserve"> ADDIN ZOTERO_ITEM CSL_CITATION {"citationID":"CwHy9nyI","properties":{"formattedCitation":"(Florence &amp; McGuire, 2020; MacLaren et al., 2019; McKenzie-Gopsill et al., 2022; Smith et al., 2020)","plainCitation":"(Florence &amp; McGuire, 2020; MacLaren et al., 2019; McKenzie-Gopsill et al., 2022;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A142CB" w:rsidRPr="00A142CB">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A82D15">
        <w:fldChar w:fldCharType="separate"/>
      </w:r>
      <w:r w:rsidR="00A142CB" w:rsidRPr="00A142CB">
        <w:rPr>
          <w:lang w:val="da-DK"/>
        </w:rPr>
        <w:t>(Florence &amp; McGuire, 2020; MacLaren et al., 2019; McKenzie-Gopsill et al., 2022; Smith et al., 2020)</w:t>
      </w:r>
      <w:r w:rsidR="00A82D15">
        <w:fldChar w:fldCharType="end"/>
      </w:r>
      <w:r w:rsidRPr="00602609">
        <w:rPr>
          <w:lang w:val="da-DK"/>
        </w:rPr>
        <w:t xml:space="preserve">.  </w:t>
      </w:r>
      <w:r w:rsidR="00737D7A" w:rsidRPr="00602609">
        <w:rPr>
          <w:lang w:val="da-DK"/>
        </w:rPr>
        <w:t xml:space="preserve"> </w:t>
      </w:r>
    </w:p>
    <w:p w14:paraId="055086BC" w14:textId="77777777" w:rsidR="000347C5" w:rsidRPr="00602609" w:rsidRDefault="000347C5" w:rsidP="00045088">
      <w:pPr>
        <w:spacing w:line="360" w:lineRule="auto"/>
        <w:rPr>
          <w:lang w:val="da-DK"/>
        </w:rPr>
      </w:pP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2EA51ED1"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t xml:space="preserve"> (CITE). Our results show that in addition to supporting higher biomass production that effectively competes with other vegetation </w:t>
      </w:r>
      <w:r>
        <w:fldChar w:fldCharType="begin"/>
      </w:r>
      <w:r>
        <w:instrText xml:space="preserve"> ADDIN ZOTERO_ITEM CSL_CITATION {"citationID":"TsnxnQay","properties":{"formattedCitation":"(Lawley et al., 2012)","plainCitation":"(Lawley et al., 2012)","noteIndex":0},"citationItems":[{"id":2223,"uris":["http://zotero.org/users/3599437/items/YBXMEIRX"],"itemData":{"id":2223,"type":"article-journal","abstract":"Little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Pr="00CA273C">
        <w:t>(Lawley et al., 2012)</w:t>
      </w:r>
      <w:r>
        <w:fldChar w:fldCharType="end"/>
      </w:r>
      <w:r>
        <w:t xml:space="preserve">, radish cover crops may also support fall vegetation communities with higher potential ecological value compared to vegetation resulting from both no-cover and cover crop mixtures. In our study, this was largely due to the radish cover crop replacing low-ecological value cash crop volunteers in the communities (Figure 3). While the other treatments supported more diverse fall communities, the communities were less even than the radish treatments; the contributions of species to soil cover was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truly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3430DB5D"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w:t>
      </w:r>
      <w:r w:rsidR="00AE3AE5" w:rsidRPr="006F4E10">
        <w:lastRenderedPageBreak/>
        <w:t>– in reality these weights would differ according to farmer values and priorities, as well as policy and financial contexts. Utilizing different weightings to represent these different contexts could help identify</w:t>
      </w:r>
      <w:r w:rsidRPr="006F4E10">
        <w:t xml:space="preserve"> systems best suited to certain farm ideotypes, </w:t>
      </w:r>
      <w:r w:rsidR="00AE3AE5" w:rsidRPr="006F4E10">
        <w:t xml:space="preserve"> </w:t>
      </w:r>
      <w:r w:rsidRPr="006F4E10">
        <w:t xml:space="preserve">or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r w:rsidRPr="003C7F19">
        <w:rPr>
          <w:b/>
          <w:bCs/>
        </w:rPr>
        <w:t>5  CONCLUSIONS</w:t>
      </w:r>
    </w:p>
    <w:p w14:paraId="2223803F" w14:textId="2224DE71" w:rsidR="00D00706" w:rsidRDefault="00494819" w:rsidP="00045088">
      <w:pPr>
        <w:spacing w:line="360" w:lineRule="auto"/>
      </w:pPr>
      <w:r>
        <w:t>Will write after getting everyone’s edits…</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7E8A4D3B" w:rsidR="00045088" w:rsidRPr="00045088" w:rsidRDefault="00045088" w:rsidP="00045088">
      <w:pPr>
        <w:spacing w:line="360" w:lineRule="auto"/>
      </w:pPr>
      <w:commentRangeStart w:id="6"/>
      <w:r w:rsidRPr="00045088">
        <w:t xml:space="preserve">The study formed part of the EU Project </w:t>
      </w:r>
      <w:r w:rsidR="0040336B">
        <w:t xml:space="preserve">XXX </w:t>
      </w:r>
      <w:r w:rsidRPr="00045088">
        <w:t xml:space="preserve">led by </w:t>
      </w:r>
      <w:r w:rsidR="0040336B">
        <w:t>XX</w:t>
      </w:r>
      <w:r w:rsidRPr="00045088">
        <w:t xml:space="preserve"> of </w:t>
      </w:r>
      <w:r w:rsidR="0040336B">
        <w:t>XX</w:t>
      </w:r>
      <w:r w:rsidRPr="00045088">
        <w:t xml:space="preserve"> University.</w:t>
      </w:r>
      <w:r w:rsidR="0040336B">
        <w:t xml:space="preserve"> The authors acknowledge the contributions of Eugene Driessen, Karen XX, XXX who collected all data presented and whose field and laboratory expertise contributed significantly to this work. </w:t>
      </w:r>
      <w:commentRangeEnd w:id="6"/>
      <w:r w:rsidR="00602609" w:rsidRPr="00045088">
        <w:rPr>
          <w:rStyle w:val="CommentReference"/>
          <w:sz w:val="24"/>
          <w:szCs w:val="24"/>
        </w:rPr>
        <w:commentReference w:id="6"/>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3AA21B76" w14:textId="77777777" w:rsidR="00A142CB" w:rsidRDefault="00602609" w:rsidP="00A142CB">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A142CB">
        <w:t xml:space="preserve">Adeux, G., Cordeau, S., Antichi, D., Carlesi, S., Mazzoncini, M., Munier-Jolain, N., &amp; Bàrberi, P. (2021). Cover crops promote crop productivity but do not enhance weed management in tillage-based cropping systems. </w:t>
      </w:r>
      <w:r w:rsidR="00A142CB">
        <w:rPr>
          <w:i/>
          <w:iCs/>
        </w:rPr>
        <w:t>European Journal of Agronomy</w:t>
      </w:r>
      <w:r w:rsidR="00A142CB">
        <w:t xml:space="preserve">, </w:t>
      </w:r>
      <w:r w:rsidR="00A142CB">
        <w:rPr>
          <w:i/>
          <w:iCs/>
        </w:rPr>
        <w:t>123</w:t>
      </w:r>
      <w:r w:rsidR="00A142CB">
        <w:t>, 126221. https://doi.org/10.1016/j.eja.2020.126221</w:t>
      </w:r>
    </w:p>
    <w:p w14:paraId="7804632B" w14:textId="77777777" w:rsidR="00A142CB" w:rsidRDefault="00A142CB" w:rsidP="00A142CB">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5B5D58A3" w14:textId="77777777" w:rsidR="00A142CB" w:rsidRDefault="00A142CB" w:rsidP="00A142CB">
      <w:pPr>
        <w:pStyle w:val="Bibliography"/>
      </w:pPr>
      <w:r>
        <w:lastRenderedPageBreak/>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271E5456" w14:textId="77777777" w:rsidR="00A142CB" w:rsidRDefault="00A142CB" w:rsidP="00A142CB">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51962907" w14:textId="77777777" w:rsidR="00A142CB" w:rsidRDefault="00A142CB" w:rsidP="00A142CB">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08B0DDD1" w14:textId="77777777" w:rsidR="00A142CB" w:rsidRDefault="00A142CB" w:rsidP="00A142CB">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043A6077" w14:textId="77777777" w:rsidR="00A142CB" w:rsidRDefault="00A142CB" w:rsidP="00A142CB">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4E9357EC" w14:textId="77777777" w:rsidR="00A142CB" w:rsidRDefault="00A142CB" w:rsidP="00A142CB">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05A0D666" w14:textId="77777777" w:rsidR="00A142CB" w:rsidRDefault="00A142CB" w:rsidP="00A142CB">
      <w:pPr>
        <w:pStyle w:val="Bibliography"/>
      </w:pPr>
      <w:r>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064DBC7B" w14:textId="77777777" w:rsidR="00A142CB" w:rsidRDefault="00A142CB" w:rsidP="00A142CB">
      <w:pPr>
        <w:pStyle w:val="Bibliography"/>
      </w:pPr>
      <w:r>
        <w:lastRenderedPageBreak/>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6F4481B7" w14:textId="77777777" w:rsidR="00A142CB" w:rsidRDefault="00A142CB" w:rsidP="00A142CB">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32312AD0" w14:textId="77777777" w:rsidR="00A142CB" w:rsidRPr="00A142CB" w:rsidRDefault="00A142CB" w:rsidP="00A142CB">
      <w:pPr>
        <w:pStyle w:val="Bibliography"/>
        <w:rPr>
          <w:lang w:val="da-DK"/>
        </w:rPr>
      </w:pPr>
      <w:r>
        <w:t xml:space="preserve">Cusser, S., Bahlai, C., Swinton, S. M., Robertson, G. P., &amp; Haddad, N. M. (2020). Long-term research avoids spurious and misleading trends in sustainability attributes of no-till. </w:t>
      </w:r>
      <w:r w:rsidRPr="00A142CB">
        <w:rPr>
          <w:i/>
          <w:iCs/>
          <w:lang w:val="da-DK"/>
        </w:rPr>
        <w:t>Global Change Biology</w:t>
      </w:r>
      <w:r w:rsidRPr="00A142CB">
        <w:rPr>
          <w:lang w:val="da-DK"/>
        </w:rPr>
        <w:t xml:space="preserve">, </w:t>
      </w:r>
      <w:r w:rsidRPr="00A142CB">
        <w:rPr>
          <w:i/>
          <w:iCs/>
          <w:lang w:val="da-DK"/>
        </w:rPr>
        <w:t>26</w:t>
      </w:r>
      <w:r w:rsidRPr="00A142CB">
        <w:rPr>
          <w:lang w:val="da-DK"/>
        </w:rPr>
        <w:t>(6), 3715–3725. https://doi.org/10.1111/gcb.15080</w:t>
      </w:r>
    </w:p>
    <w:p w14:paraId="2344459B" w14:textId="77777777" w:rsidR="00A142CB" w:rsidRDefault="00A142CB" w:rsidP="00A142CB">
      <w:pPr>
        <w:pStyle w:val="Bibliography"/>
      </w:pPr>
      <w:r w:rsidRPr="00A142CB">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0D2F0F32" w14:textId="77777777" w:rsidR="00A142CB" w:rsidRDefault="00A142CB" w:rsidP="00A142CB">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6166BA5E" w14:textId="77777777" w:rsidR="00A142CB" w:rsidRDefault="00A142CB" w:rsidP="00A142CB">
      <w:pPr>
        <w:pStyle w:val="Bibliography"/>
      </w:pPr>
      <w:r>
        <w:t xml:space="preserve">Elhakeem, A., Porre, R. J., Hoffland, E., Van Dam, J. C., Drost, S. M., &amp; De Deyn, G. B. (2023). 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3D0893BF" w14:textId="77777777" w:rsidR="00A142CB" w:rsidRDefault="00A142CB" w:rsidP="00A142CB">
      <w:pPr>
        <w:pStyle w:val="Bibliography"/>
      </w:pPr>
      <w:r>
        <w:lastRenderedPageBreak/>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0D18D9EF" w14:textId="77777777" w:rsidR="00A142CB" w:rsidRDefault="00A142CB" w:rsidP="00A142CB">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0D6D6D9C" w14:textId="77777777" w:rsidR="00A142CB" w:rsidRDefault="00A142CB" w:rsidP="00A142CB">
      <w:pPr>
        <w:pStyle w:val="Bibliography"/>
      </w:pPr>
      <w:r>
        <w:t xml:space="preserve">FAO. (2023). </w:t>
      </w:r>
      <w:r>
        <w:rPr>
          <w:i/>
          <w:iCs/>
        </w:rPr>
        <w:t>Crop and Livestock Products</w:t>
      </w:r>
      <w:r>
        <w:t xml:space="preserve"> [Dataset]. Food and Agriculture Organization of the United Nations. https://www.fao.org/faostat/en/#data/QCL</w:t>
      </w:r>
    </w:p>
    <w:p w14:paraId="3A12AD99" w14:textId="77777777" w:rsidR="00A142CB" w:rsidRDefault="00A142CB" w:rsidP="00A142CB">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799A9BB3" w14:textId="77777777" w:rsidR="00A142CB" w:rsidRDefault="00A142CB" w:rsidP="00A142CB">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3B54090E" w14:textId="77777777" w:rsidR="00A142CB" w:rsidRDefault="00A142CB" w:rsidP="00A142CB">
      <w:pPr>
        <w:pStyle w:val="Bibliography"/>
      </w:pPr>
      <w:r>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21EC2EA3" w14:textId="77777777" w:rsidR="00A142CB" w:rsidRDefault="00A142CB" w:rsidP="00A142CB">
      <w:pPr>
        <w:pStyle w:val="Bibliography"/>
      </w:pPr>
      <w:r w:rsidRPr="00A142CB">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7CC5E0CD" w14:textId="77777777" w:rsidR="00A142CB" w:rsidRDefault="00A142CB" w:rsidP="00A142CB">
      <w:pPr>
        <w:pStyle w:val="Bibliography"/>
      </w:pPr>
      <w:r>
        <w:t xml:space="preserve">Henle, K., Alard, D., Clitherow, J., Cobb, P., Firbank, L., Kull, T., McCracken, D., Moritz, R. F. A., Niemelä, J., Rebane, M., Wascher, D., Watt, A., &amp; Young, J. (2008). </w:t>
      </w:r>
      <w:r>
        <w:lastRenderedPageBreak/>
        <w:t xml:space="preserve">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4E4E2483" w14:textId="77777777" w:rsidR="00A142CB" w:rsidRDefault="00A142CB" w:rsidP="00A142CB">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26DBA22A" w14:textId="77777777" w:rsidR="00A142CB" w:rsidRDefault="00A142CB" w:rsidP="00A142CB">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52E8E04D" w14:textId="77777777" w:rsidR="00A142CB" w:rsidRDefault="00A142CB" w:rsidP="00A142CB">
      <w:pPr>
        <w:pStyle w:val="Bibliography"/>
      </w:pPr>
      <w:r w:rsidRPr="00A142CB">
        <w:rPr>
          <w:lang w:val="da-DK"/>
        </w:rPr>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4AF1C8E8" w14:textId="77777777" w:rsidR="00A142CB" w:rsidRDefault="00A142CB" w:rsidP="00A142CB">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38B54B71" w14:textId="77777777" w:rsidR="00A142CB" w:rsidRDefault="00A142CB" w:rsidP="00A142CB">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1E1BFBC1" w14:textId="77777777" w:rsidR="00A142CB" w:rsidRDefault="00A142CB" w:rsidP="00A142CB">
      <w:pPr>
        <w:pStyle w:val="Bibliography"/>
      </w:pPr>
      <w:r>
        <w:t xml:space="preserve">Lenth, R. V. (2024). </w:t>
      </w:r>
      <w:r>
        <w:rPr>
          <w:i/>
          <w:iCs/>
        </w:rPr>
        <w:t>emmeans: Estimated Marginal Means, aka Least-Squares Means</w:t>
      </w:r>
      <w:r>
        <w:t>. https://CRAN.R-project.org/package=emmeans</w:t>
      </w:r>
    </w:p>
    <w:p w14:paraId="3295DC74" w14:textId="77777777" w:rsidR="00A142CB" w:rsidRDefault="00A142CB" w:rsidP="00A142CB">
      <w:pPr>
        <w:pStyle w:val="Bibliography"/>
      </w:pPr>
      <w:r w:rsidRPr="00A142CB">
        <w:rPr>
          <w:lang w:val="da-DK"/>
        </w:rPr>
        <w:lastRenderedPageBreak/>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3A37109A" w14:textId="77777777" w:rsidR="00A142CB" w:rsidRDefault="00A142CB" w:rsidP="00A142CB">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6D84C234" w14:textId="77777777" w:rsidR="00A142CB" w:rsidRDefault="00A142CB" w:rsidP="00A142CB">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191B3210" w14:textId="77777777" w:rsidR="00A142CB" w:rsidRDefault="00A142CB" w:rsidP="00A142CB">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435C5C50" w14:textId="77777777" w:rsidR="00A142CB" w:rsidRDefault="00A142CB" w:rsidP="00A142CB">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494E545C" w14:textId="77777777" w:rsidR="00A142CB" w:rsidRDefault="00A142CB" w:rsidP="00A142CB">
      <w:pPr>
        <w:pStyle w:val="Bibliography"/>
      </w:pPr>
      <w:r>
        <w:t xml:space="preserve">Melander, B., Holst, N., Jensen, P. K., Hansen, E. M., &amp; Olesen, J. E. (2008). Apera spica-venti population dynamics and impact on crop yield as affected by tillage, crop rotation, location and herbicide programmes. </w:t>
      </w:r>
      <w:r>
        <w:rPr>
          <w:i/>
          <w:iCs/>
        </w:rPr>
        <w:t>Weed Research</w:t>
      </w:r>
      <w:r>
        <w:t xml:space="preserve">, </w:t>
      </w:r>
      <w:r>
        <w:rPr>
          <w:i/>
          <w:iCs/>
        </w:rPr>
        <w:t>48</w:t>
      </w:r>
      <w:r>
        <w:t>(1), 48–57. https://doi.org/10.1111/j.1365-3180.2008.00597.x</w:t>
      </w:r>
    </w:p>
    <w:p w14:paraId="5D072B75" w14:textId="77777777" w:rsidR="00A142CB" w:rsidRDefault="00A142CB" w:rsidP="00A142CB">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771AFFC4" w14:textId="77777777" w:rsidR="00A142CB" w:rsidRDefault="00A142CB" w:rsidP="00A142CB">
      <w:pPr>
        <w:pStyle w:val="Bibliography"/>
      </w:pPr>
      <w:r>
        <w:t xml:space="preserve">Miranda-Vélez, J. F., Simpson, G. L., Hansen, E. M., &amp; Munkholm, L. J. (2026). In-season effects of winter cover crops and tillage on soil NO3- and N leaching – Analysis with </w:t>
      </w:r>
      <w:r>
        <w:lastRenderedPageBreak/>
        <w:t xml:space="preserve">generalized additive models. </w:t>
      </w:r>
      <w:r>
        <w:rPr>
          <w:i/>
          <w:iCs/>
        </w:rPr>
        <w:t>Agriculture, Ecosystems &amp; Environment</w:t>
      </w:r>
      <w:r>
        <w:t xml:space="preserve">, </w:t>
      </w:r>
      <w:r>
        <w:rPr>
          <w:i/>
          <w:iCs/>
        </w:rPr>
        <w:t>396</w:t>
      </w:r>
      <w:r>
        <w:t>, 110011. https://doi.org/10.1016/j.agee.2025.110011</w:t>
      </w:r>
    </w:p>
    <w:p w14:paraId="61D3015B" w14:textId="77777777" w:rsidR="00A142CB" w:rsidRDefault="00A142CB" w:rsidP="00A142CB">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76E7E356" w14:textId="77777777" w:rsidR="00A142CB" w:rsidRDefault="00A142CB" w:rsidP="00A142CB">
      <w:pPr>
        <w:pStyle w:val="Bibliography"/>
      </w:pPr>
      <w:r>
        <w:t xml:space="preserve">Moreau, D., Pointurier, O., Nicolardot, B., Villerd, J., &amp; Colbach, N. (2020). In which cropping systems can residual weeds reduce nitrate leaching and soil erosion? </w:t>
      </w:r>
      <w:r>
        <w:rPr>
          <w:i/>
          <w:iCs/>
        </w:rPr>
        <w:t>European Journal of Agronomy</w:t>
      </w:r>
      <w:r>
        <w:t xml:space="preserve">, </w:t>
      </w:r>
      <w:r>
        <w:rPr>
          <w:i/>
          <w:iCs/>
        </w:rPr>
        <w:t>119</w:t>
      </w:r>
      <w:r>
        <w:t>, 126015. https://doi.org/10.1016/j.eja.2020.126015</w:t>
      </w:r>
    </w:p>
    <w:p w14:paraId="39094DEF" w14:textId="77777777" w:rsidR="00A142CB" w:rsidRDefault="00A142CB" w:rsidP="00A142CB">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34FF8EAF" w14:textId="77777777" w:rsidR="00A142CB" w:rsidRDefault="00A142CB" w:rsidP="00A142CB">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4B11A6A4" w14:textId="77777777" w:rsidR="00A142CB" w:rsidRDefault="00A142CB" w:rsidP="00A142CB">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7F32BDF6" w14:textId="77777777" w:rsidR="00A142CB" w:rsidRDefault="00A142CB" w:rsidP="00A142CB">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58AE8525" w14:textId="77777777" w:rsidR="00A142CB" w:rsidRDefault="00A142CB" w:rsidP="00A142CB">
      <w:pPr>
        <w:pStyle w:val="Bibliography"/>
      </w:pPr>
      <w:r>
        <w:lastRenderedPageBreak/>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3A36C32B" w14:textId="77777777" w:rsidR="00A142CB" w:rsidRDefault="00A142CB" w:rsidP="00A142CB">
      <w:pPr>
        <w:pStyle w:val="Bibliography"/>
      </w:pPr>
      <w:r>
        <w:t xml:space="preserve">R Core Team. (2024). </w:t>
      </w:r>
      <w:r>
        <w:rPr>
          <w:i/>
          <w:iCs/>
        </w:rPr>
        <w:t>R: A Language and Environment for Statistical Computing</w:t>
      </w:r>
      <w:r>
        <w:t>. R Foundation for Statistical Computing. https://www.R-project.org/</w:t>
      </w:r>
    </w:p>
    <w:p w14:paraId="61EA2395" w14:textId="77777777" w:rsidR="00A142CB" w:rsidRDefault="00A142CB" w:rsidP="00A142CB">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6E63F899" w14:textId="77777777" w:rsidR="00A142CB" w:rsidRDefault="00A142CB" w:rsidP="00A142CB">
      <w:pPr>
        <w:pStyle w:val="Bibliography"/>
      </w:pPr>
      <w:r>
        <w:t xml:space="preserve">Ritchie, H., &amp; Roser, M. (2019). Half of the world’s habitable land is used for agriculture. </w:t>
      </w:r>
      <w:r>
        <w:rPr>
          <w:i/>
          <w:iCs/>
        </w:rPr>
        <w:t>Our World in Data</w:t>
      </w:r>
      <w:r>
        <w:t>.</w:t>
      </w:r>
    </w:p>
    <w:p w14:paraId="0C44EDE3" w14:textId="77777777" w:rsidR="00A142CB" w:rsidRDefault="00A142CB" w:rsidP="00A142CB">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4B66CAF2" w14:textId="77777777" w:rsidR="00A142CB" w:rsidRDefault="00A142CB" w:rsidP="00A142CB">
      <w:pPr>
        <w:pStyle w:val="Bibliography"/>
      </w:pPr>
      <w:r>
        <w:t xml:space="preserve">Salonen, J., Andersson, L., Andreasen, C., &amp; Semb Torresen, K. (2008). </w:t>
      </w:r>
      <w:r>
        <w:rPr>
          <w:i/>
          <w:iCs/>
        </w:rPr>
        <w:t>Key perennial weeds in arable crops in the Nordic countries</w:t>
      </w:r>
      <w:r>
        <w:t>.</w:t>
      </w:r>
    </w:p>
    <w:p w14:paraId="41848992" w14:textId="77777777" w:rsidR="00A142CB" w:rsidRDefault="00A142CB" w:rsidP="00A142CB">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149E6FD9" w14:textId="77777777" w:rsidR="00A142CB" w:rsidRDefault="00A142CB" w:rsidP="00A142CB">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1D358817" w14:textId="77777777" w:rsidR="00A142CB" w:rsidRDefault="00A142CB" w:rsidP="00A142CB">
      <w:pPr>
        <w:pStyle w:val="Bibliography"/>
      </w:pPr>
      <w:r>
        <w:lastRenderedPageBreak/>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29B28CEF" w14:textId="77777777" w:rsidR="00A142CB" w:rsidRDefault="00A142CB" w:rsidP="00A142CB">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41D5779A" w14:textId="77777777" w:rsidR="00A142CB" w:rsidRDefault="00A142CB" w:rsidP="00A142CB">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355A336D" w14:textId="77777777" w:rsidR="00A142CB" w:rsidRDefault="00A142CB" w:rsidP="00A142CB">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6073A653" w14:textId="77777777" w:rsidR="00A142CB" w:rsidRDefault="00A142CB" w:rsidP="00A142CB">
      <w:pPr>
        <w:pStyle w:val="Bibliography"/>
      </w:pPr>
      <w:r>
        <w:t xml:space="preserve">Smith, R. G., Warren, N. D., &amp; Cordeau, S. (2020). Are cover crop mixtures better at suppressing weeds than cover crop monocultures? </w:t>
      </w:r>
      <w:r>
        <w:rPr>
          <w:i/>
          <w:iCs/>
        </w:rPr>
        <w:t>Weed Science</w:t>
      </w:r>
      <w:r>
        <w:t xml:space="preserve">, </w:t>
      </w:r>
      <w:r>
        <w:rPr>
          <w:i/>
          <w:iCs/>
        </w:rPr>
        <w:t>68</w:t>
      </w:r>
      <w:r>
        <w:t>(2), 186–194. https://doi.org/10.1017/wsc.2020.12</w:t>
      </w:r>
    </w:p>
    <w:p w14:paraId="4FC0B42A" w14:textId="77777777" w:rsidR="00A142CB" w:rsidRDefault="00A142CB" w:rsidP="00A142CB">
      <w:pPr>
        <w:pStyle w:val="Bibliography"/>
      </w:pPr>
      <w:r>
        <w:t xml:space="preserve">Statistics Denmark. (2025). </w:t>
      </w:r>
      <w:r>
        <w:rPr>
          <w:i/>
          <w:iCs/>
        </w:rPr>
        <w:t>Cropland</w:t>
      </w:r>
      <w:r>
        <w:t>. https://www.dst.dk/en/Statistik/emner/erhvervsliv/landbrug-gartneri-og-skovbrug/det-dyrkede-areal</w:t>
      </w:r>
    </w:p>
    <w:p w14:paraId="2ECC8C52" w14:textId="77777777" w:rsidR="00A142CB" w:rsidRDefault="00A142CB" w:rsidP="00A142CB">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782FF031" w14:textId="77777777" w:rsidR="00A142CB" w:rsidRDefault="00A142CB" w:rsidP="00A142CB">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621E6FCD" w14:textId="77777777" w:rsidR="00A142CB" w:rsidRDefault="00A142CB" w:rsidP="00A142CB">
      <w:pPr>
        <w:pStyle w:val="Bibliography"/>
      </w:pPr>
      <w:r>
        <w:lastRenderedPageBreak/>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44B3E9CF" w14:textId="77777777" w:rsidR="00A142CB" w:rsidRDefault="00A142CB" w:rsidP="00A142CB">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451D77FA" w14:textId="77777777" w:rsidR="00A142CB" w:rsidRDefault="00A142CB" w:rsidP="00A142CB">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16907A21" w14:textId="77777777" w:rsidR="00A142CB" w:rsidRDefault="00A142CB" w:rsidP="00A142CB">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3FAA0254" w14:textId="77777777" w:rsidR="00A142CB" w:rsidRDefault="00A142CB" w:rsidP="00A142CB">
      <w:pPr>
        <w:pStyle w:val="Bibliography"/>
      </w:pPr>
      <w:r>
        <w:t xml:space="preserve">Westh, T. B., Hauschild, M. Z., Birkved, M., Jørgensen, M. S., Rosenbaum, R. K., &amp; Fantke, P. (2015). The USEtox story: A survey of model developer visions and user requirements. </w:t>
      </w:r>
      <w:r>
        <w:rPr>
          <w:i/>
          <w:iCs/>
        </w:rPr>
        <w:t>The International Journal of Life Cycle Assessment</w:t>
      </w:r>
      <w:r>
        <w:t xml:space="preserve">, </w:t>
      </w:r>
      <w:r>
        <w:rPr>
          <w:i/>
          <w:iCs/>
        </w:rPr>
        <w:t>20</w:t>
      </w:r>
      <w:r>
        <w:t>(2), 299–310. https://doi.org/10.1007/s11367-014-0829-8</w:t>
      </w:r>
    </w:p>
    <w:p w14:paraId="78282F26" w14:textId="77777777" w:rsidR="00A142CB" w:rsidRDefault="00A142CB" w:rsidP="00A142CB">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38A5AE74" w14:textId="77777777" w:rsidR="00A142CB" w:rsidRDefault="00A142CB" w:rsidP="00A142CB">
      <w:pPr>
        <w:pStyle w:val="Bibliography"/>
      </w:pPr>
      <w:r>
        <w:t xml:space="preserve">Wickham, H., &amp; Bryan, J. (2023). </w:t>
      </w:r>
      <w:r>
        <w:rPr>
          <w:i/>
          <w:iCs/>
        </w:rPr>
        <w:t>readxl: Read Excel Files</w:t>
      </w:r>
      <w:r>
        <w:t>. https://CRAN.R-project.org/package=readxl</w:t>
      </w:r>
    </w:p>
    <w:p w14:paraId="4722767A" w14:textId="77777777" w:rsidR="00A142CB" w:rsidRDefault="00A142CB" w:rsidP="00A142CB">
      <w:pPr>
        <w:pStyle w:val="Bibliography"/>
      </w:pPr>
      <w:r>
        <w:lastRenderedPageBreak/>
        <w:t xml:space="preserve">Wickham, H., Pedersen, T. L., &amp; Seidel, D. (2025). </w:t>
      </w:r>
      <w:r>
        <w:rPr>
          <w:i/>
          <w:iCs/>
        </w:rPr>
        <w:t>scales: Scale Functions for Visualization</w:t>
      </w:r>
      <w:r>
        <w:t>. https://CRAN.R-project.org/package=scales</w:t>
      </w:r>
    </w:p>
    <w:p w14:paraId="1027F419" w14:textId="77777777" w:rsidR="00A142CB" w:rsidRDefault="00A142CB" w:rsidP="00A142CB">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1EA959AC"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8"/>
      <w:footerReference w:type="default" r:id="rId19"/>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1-22T08:32:00Z" w:initials="VN">
    <w:p w14:paraId="7A375AD7" w14:textId="77777777" w:rsidR="00541BA9" w:rsidRDefault="00541BA9" w:rsidP="00541BA9">
      <w:pPr>
        <w:pStyle w:val="CommentText"/>
      </w:pPr>
      <w:r>
        <w:rPr>
          <w:rStyle w:val="CommentReference"/>
        </w:rPr>
        <w:annotationRef/>
      </w:r>
      <w:r>
        <w:t>Add to reference list</w:t>
      </w:r>
    </w:p>
  </w:comment>
  <w:comment w:id="3" w:author="Virginia Anne Nichols" w:date="2026-01-22T09:16:00Z" w:initials="VN">
    <w:p w14:paraId="6C81547D" w14:textId="77777777"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6" w:author="Virginia Anne Nichols" w:date="2025-11-26T10:39:00Z" w:initials="VN">
    <w:p w14:paraId="30569D99" w14:textId="2937DD7A" w:rsidR="00602609" w:rsidRDefault="00602609" w:rsidP="00602609">
      <w:pPr>
        <w:pStyle w:val="CommentText"/>
      </w:pPr>
      <w:r>
        <w:rPr>
          <w:rStyle w:val="CommentReference"/>
        </w:rPr>
        <w:annotationRef/>
      </w:r>
      <w:r>
        <w:t>Bo or Mette can you fill this 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75AD7" w15:done="0"/>
  <w15:commentEx w15:paraId="6C81547D" w15:done="0"/>
  <w15:commentEx w15:paraId="30569D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976B4B" w16cex:dateUtc="2026-01-22T07:32:00Z"/>
  <w16cex:commentExtensible w16cex:durableId="33B89A46" w16cex:dateUtc="2026-01-22T08:16:00Z"/>
  <w16cex:commentExtensible w16cex:durableId="0C509EE4" w16cex:dateUtc="2025-11-2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75AD7" w16cid:durableId="0C976B4B"/>
  <w16cid:commentId w16cid:paraId="6C81547D" w16cid:durableId="33B89A46"/>
  <w16cid:commentId w16cid:paraId="30569D99" w16cid:durableId="0C509E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25FA" w14:textId="77777777" w:rsidR="00504D16" w:rsidRDefault="00504D16">
      <w:r>
        <w:separator/>
      </w:r>
    </w:p>
  </w:endnote>
  <w:endnote w:type="continuationSeparator" w:id="0">
    <w:p w14:paraId="411CF97A" w14:textId="77777777" w:rsidR="00504D16" w:rsidRDefault="00504D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2B23A" w14:textId="77777777" w:rsidR="00504D16" w:rsidRDefault="00504D16">
      <w:r>
        <w:separator/>
      </w:r>
    </w:p>
  </w:footnote>
  <w:footnote w:type="continuationSeparator" w:id="0">
    <w:p w14:paraId="1E90F748" w14:textId="77777777" w:rsidR="00504D16" w:rsidRDefault="00504D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8"/>
    <w:rsid w:val="0000618C"/>
    <w:rsid w:val="000103DD"/>
    <w:rsid w:val="0001054F"/>
    <w:rsid w:val="00030C38"/>
    <w:rsid w:val="00030F1C"/>
    <w:rsid w:val="00033458"/>
    <w:rsid w:val="00033FDA"/>
    <w:rsid w:val="000347C5"/>
    <w:rsid w:val="00041F28"/>
    <w:rsid w:val="00045088"/>
    <w:rsid w:val="000508B5"/>
    <w:rsid w:val="00050CDF"/>
    <w:rsid w:val="00055C8C"/>
    <w:rsid w:val="00057203"/>
    <w:rsid w:val="00062BFA"/>
    <w:rsid w:val="00063C63"/>
    <w:rsid w:val="000701DF"/>
    <w:rsid w:val="00075466"/>
    <w:rsid w:val="00091299"/>
    <w:rsid w:val="00092530"/>
    <w:rsid w:val="000A074B"/>
    <w:rsid w:val="000A78B8"/>
    <w:rsid w:val="000B0944"/>
    <w:rsid w:val="000B2786"/>
    <w:rsid w:val="000B6D43"/>
    <w:rsid w:val="000B7E46"/>
    <w:rsid w:val="000C25A5"/>
    <w:rsid w:val="000E0ED3"/>
    <w:rsid w:val="000E7436"/>
    <w:rsid w:val="00101B88"/>
    <w:rsid w:val="00111917"/>
    <w:rsid w:val="001151AB"/>
    <w:rsid w:val="0012160D"/>
    <w:rsid w:val="00121AD9"/>
    <w:rsid w:val="00123F93"/>
    <w:rsid w:val="0012446A"/>
    <w:rsid w:val="00125166"/>
    <w:rsid w:val="00126F2F"/>
    <w:rsid w:val="00133612"/>
    <w:rsid w:val="0014451B"/>
    <w:rsid w:val="0014626F"/>
    <w:rsid w:val="001479F9"/>
    <w:rsid w:val="00156D97"/>
    <w:rsid w:val="00197824"/>
    <w:rsid w:val="001A00CE"/>
    <w:rsid w:val="001A1339"/>
    <w:rsid w:val="001A1A26"/>
    <w:rsid w:val="001A2BE0"/>
    <w:rsid w:val="001A455C"/>
    <w:rsid w:val="001B5010"/>
    <w:rsid w:val="001C0F78"/>
    <w:rsid w:val="001C2FB2"/>
    <w:rsid w:val="001C52EB"/>
    <w:rsid w:val="001C7E86"/>
    <w:rsid w:val="001C7F6C"/>
    <w:rsid w:val="001D3CD3"/>
    <w:rsid w:val="001E79BC"/>
    <w:rsid w:val="001F07F6"/>
    <w:rsid w:val="00204786"/>
    <w:rsid w:val="00206215"/>
    <w:rsid w:val="00216616"/>
    <w:rsid w:val="0022360D"/>
    <w:rsid w:val="00226AAF"/>
    <w:rsid w:val="002314A6"/>
    <w:rsid w:val="00231E9B"/>
    <w:rsid w:val="002505D4"/>
    <w:rsid w:val="0025438D"/>
    <w:rsid w:val="00257317"/>
    <w:rsid w:val="00260E18"/>
    <w:rsid w:val="00274552"/>
    <w:rsid w:val="00276F65"/>
    <w:rsid w:val="00297F70"/>
    <w:rsid w:val="002A08AE"/>
    <w:rsid w:val="002A4453"/>
    <w:rsid w:val="002A518A"/>
    <w:rsid w:val="002A55FC"/>
    <w:rsid w:val="002A5F86"/>
    <w:rsid w:val="002A6EBF"/>
    <w:rsid w:val="002A7D26"/>
    <w:rsid w:val="002B4C35"/>
    <w:rsid w:val="002B6F1A"/>
    <w:rsid w:val="002B6F7E"/>
    <w:rsid w:val="002C160E"/>
    <w:rsid w:val="002C3BDB"/>
    <w:rsid w:val="002D10E5"/>
    <w:rsid w:val="002D5BD0"/>
    <w:rsid w:val="002E25E6"/>
    <w:rsid w:val="002E4152"/>
    <w:rsid w:val="002E4D53"/>
    <w:rsid w:val="002F485B"/>
    <w:rsid w:val="002F5DE4"/>
    <w:rsid w:val="00300184"/>
    <w:rsid w:val="0032308D"/>
    <w:rsid w:val="0034221E"/>
    <w:rsid w:val="003479FB"/>
    <w:rsid w:val="00381089"/>
    <w:rsid w:val="0038548F"/>
    <w:rsid w:val="003A1B51"/>
    <w:rsid w:val="003B122A"/>
    <w:rsid w:val="003C0D24"/>
    <w:rsid w:val="003C7F19"/>
    <w:rsid w:val="003D3B6E"/>
    <w:rsid w:val="003E7454"/>
    <w:rsid w:val="003E7CBF"/>
    <w:rsid w:val="00402490"/>
    <w:rsid w:val="0040336B"/>
    <w:rsid w:val="00406592"/>
    <w:rsid w:val="004246D5"/>
    <w:rsid w:val="004346DF"/>
    <w:rsid w:val="00434E4D"/>
    <w:rsid w:val="00434EDD"/>
    <w:rsid w:val="00436E4A"/>
    <w:rsid w:val="004564AC"/>
    <w:rsid w:val="00462BFF"/>
    <w:rsid w:val="004639D1"/>
    <w:rsid w:val="00484C33"/>
    <w:rsid w:val="00494819"/>
    <w:rsid w:val="00496DB9"/>
    <w:rsid w:val="004A247E"/>
    <w:rsid w:val="004B32D1"/>
    <w:rsid w:val="004C06F7"/>
    <w:rsid w:val="004C0D61"/>
    <w:rsid w:val="004C4425"/>
    <w:rsid w:val="004E1E8C"/>
    <w:rsid w:val="004E29C7"/>
    <w:rsid w:val="004E7F25"/>
    <w:rsid w:val="004F07A5"/>
    <w:rsid w:val="004F47C3"/>
    <w:rsid w:val="00504D16"/>
    <w:rsid w:val="00506067"/>
    <w:rsid w:val="005070A2"/>
    <w:rsid w:val="00513033"/>
    <w:rsid w:val="00523DF1"/>
    <w:rsid w:val="0053182E"/>
    <w:rsid w:val="00541BA9"/>
    <w:rsid w:val="00542AB7"/>
    <w:rsid w:val="00542FF3"/>
    <w:rsid w:val="0054576C"/>
    <w:rsid w:val="0054664B"/>
    <w:rsid w:val="005515FA"/>
    <w:rsid w:val="00553D8F"/>
    <w:rsid w:val="00556DE2"/>
    <w:rsid w:val="005579A3"/>
    <w:rsid w:val="00563083"/>
    <w:rsid w:val="005642B7"/>
    <w:rsid w:val="00572988"/>
    <w:rsid w:val="00583A92"/>
    <w:rsid w:val="00593698"/>
    <w:rsid w:val="00593E72"/>
    <w:rsid w:val="005A4CB9"/>
    <w:rsid w:val="005A746C"/>
    <w:rsid w:val="005B40AA"/>
    <w:rsid w:val="005B774F"/>
    <w:rsid w:val="005C0BB4"/>
    <w:rsid w:val="005C27E0"/>
    <w:rsid w:val="005C3B4B"/>
    <w:rsid w:val="005D5FF2"/>
    <w:rsid w:val="005E12EA"/>
    <w:rsid w:val="005E150B"/>
    <w:rsid w:val="005E5E7E"/>
    <w:rsid w:val="005F1FF2"/>
    <w:rsid w:val="005F4DAC"/>
    <w:rsid w:val="00602609"/>
    <w:rsid w:val="0060270F"/>
    <w:rsid w:val="00602B25"/>
    <w:rsid w:val="00604776"/>
    <w:rsid w:val="006067D9"/>
    <w:rsid w:val="00614437"/>
    <w:rsid w:val="00623603"/>
    <w:rsid w:val="0062645F"/>
    <w:rsid w:val="00645D68"/>
    <w:rsid w:val="00646AD5"/>
    <w:rsid w:val="00647DEF"/>
    <w:rsid w:val="006774E5"/>
    <w:rsid w:val="006804BA"/>
    <w:rsid w:val="00680EF7"/>
    <w:rsid w:val="00686048"/>
    <w:rsid w:val="006A110F"/>
    <w:rsid w:val="006A4060"/>
    <w:rsid w:val="006B4AC3"/>
    <w:rsid w:val="006B6B39"/>
    <w:rsid w:val="006B785A"/>
    <w:rsid w:val="006C04E3"/>
    <w:rsid w:val="006C0AA5"/>
    <w:rsid w:val="006C3DC0"/>
    <w:rsid w:val="006D5A73"/>
    <w:rsid w:val="006E0E49"/>
    <w:rsid w:val="006E36A2"/>
    <w:rsid w:val="006E6121"/>
    <w:rsid w:val="006F15B8"/>
    <w:rsid w:val="006F3CE0"/>
    <w:rsid w:val="006F4E10"/>
    <w:rsid w:val="006F54D7"/>
    <w:rsid w:val="00700ACD"/>
    <w:rsid w:val="007010D9"/>
    <w:rsid w:val="00704184"/>
    <w:rsid w:val="00707657"/>
    <w:rsid w:val="0071502D"/>
    <w:rsid w:val="00715DB1"/>
    <w:rsid w:val="00717BE6"/>
    <w:rsid w:val="00733FC7"/>
    <w:rsid w:val="007348E9"/>
    <w:rsid w:val="00737D7A"/>
    <w:rsid w:val="007604BF"/>
    <w:rsid w:val="00763F20"/>
    <w:rsid w:val="00765D21"/>
    <w:rsid w:val="00770D8A"/>
    <w:rsid w:val="00774D16"/>
    <w:rsid w:val="00776C96"/>
    <w:rsid w:val="00781333"/>
    <w:rsid w:val="00782F03"/>
    <w:rsid w:val="00785EAA"/>
    <w:rsid w:val="007974E5"/>
    <w:rsid w:val="007A1907"/>
    <w:rsid w:val="007A49E4"/>
    <w:rsid w:val="007B00DA"/>
    <w:rsid w:val="007B2BE5"/>
    <w:rsid w:val="007C0649"/>
    <w:rsid w:val="007C2B45"/>
    <w:rsid w:val="007D24BE"/>
    <w:rsid w:val="007E73A6"/>
    <w:rsid w:val="00802EF3"/>
    <w:rsid w:val="00806BB5"/>
    <w:rsid w:val="00806D32"/>
    <w:rsid w:val="008141BB"/>
    <w:rsid w:val="008302FF"/>
    <w:rsid w:val="00840816"/>
    <w:rsid w:val="00842881"/>
    <w:rsid w:val="00864051"/>
    <w:rsid w:val="0086566B"/>
    <w:rsid w:val="0086596F"/>
    <w:rsid w:val="008845F0"/>
    <w:rsid w:val="008877EC"/>
    <w:rsid w:val="00890183"/>
    <w:rsid w:val="0089183E"/>
    <w:rsid w:val="008935F3"/>
    <w:rsid w:val="00897714"/>
    <w:rsid w:val="008A45D0"/>
    <w:rsid w:val="008B07A4"/>
    <w:rsid w:val="008C1C95"/>
    <w:rsid w:val="008D2724"/>
    <w:rsid w:val="008D3E81"/>
    <w:rsid w:val="008E0AD1"/>
    <w:rsid w:val="00901263"/>
    <w:rsid w:val="009133AC"/>
    <w:rsid w:val="009217F6"/>
    <w:rsid w:val="0092460A"/>
    <w:rsid w:val="009432A7"/>
    <w:rsid w:val="00950EEA"/>
    <w:rsid w:val="00953C94"/>
    <w:rsid w:val="00962AFD"/>
    <w:rsid w:val="0098059C"/>
    <w:rsid w:val="009915C2"/>
    <w:rsid w:val="00997243"/>
    <w:rsid w:val="009A203A"/>
    <w:rsid w:val="009A3A5B"/>
    <w:rsid w:val="009A55B2"/>
    <w:rsid w:val="009A7EA2"/>
    <w:rsid w:val="009B1DCF"/>
    <w:rsid w:val="009C058A"/>
    <w:rsid w:val="009C1E41"/>
    <w:rsid w:val="009D06A0"/>
    <w:rsid w:val="009D7861"/>
    <w:rsid w:val="009E4F40"/>
    <w:rsid w:val="009E6CDC"/>
    <w:rsid w:val="00A04631"/>
    <w:rsid w:val="00A142CB"/>
    <w:rsid w:val="00A20044"/>
    <w:rsid w:val="00A20B07"/>
    <w:rsid w:val="00A240D9"/>
    <w:rsid w:val="00A249FA"/>
    <w:rsid w:val="00A31C4F"/>
    <w:rsid w:val="00A3505F"/>
    <w:rsid w:val="00A41B89"/>
    <w:rsid w:val="00A43FCF"/>
    <w:rsid w:val="00A453E4"/>
    <w:rsid w:val="00A52678"/>
    <w:rsid w:val="00A62539"/>
    <w:rsid w:val="00A75203"/>
    <w:rsid w:val="00A80E50"/>
    <w:rsid w:val="00A81ACF"/>
    <w:rsid w:val="00A82D15"/>
    <w:rsid w:val="00A83B4F"/>
    <w:rsid w:val="00A83EB3"/>
    <w:rsid w:val="00A8682B"/>
    <w:rsid w:val="00A90095"/>
    <w:rsid w:val="00A935FC"/>
    <w:rsid w:val="00A9790A"/>
    <w:rsid w:val="00AA2DBB"/>
    <w:rsid w:val="00AC0E09"/>
    <w:rsid w:val="00AC10C6"/>
    <w:rsid w:val="00AC574D"/>
    <w:rsid w:val="00AC6691"/>
    <w:rsid w:val="00AD04C7"/>
    <w:rsid w:val="00AD6F9E"/>
    <w:rsid w:val="00AE1EFC"/>
    <w:rsid w:val="00AE2C54"/>
    <w:rsid w:val="00AE3AE5"/>
    <w:rsid w:val="00AE6687"/>
    <w:rsid w:val="00AF0363"/>
    <w:rsid w:val="00AF348D"/>
    <w:rsid w:val="00AF5044"/>
    <w:rsid w:val="00B20190"/>
    <w:rsid w:val="00B2115D"/>
    <w:rsid w:val="00B27B76"/>
    <w:rsid w:val="00B3112B"/>
    <w:rsid w:val="00B409A1"/>
    <w:rsid w:val="00B4141B"/>
    <w:rsid w:val="00B444A3"/>
    <w:rsid w:val="00B76139"/>
    <w:rsid w:val="00B83835"/>
    <w:rsid w:val="00BA7F3D"/>
    <w:rsid w:val="00BB112E"/>
    <w:rsid w:val="00BB220E"/>
    <w:rsid w:val="00BB2262"/>
    <w:rsid w:val="00BB7322"/>
    <w:rsid w:val="00BB7C9B"/>
    <w:rsid w:val="00BC2028"/>
    <w:rsid w:val="00BC7DE8"/>
    <w:rsid w:val="00BD0B68"/>
    <w:rsid w:val="00BD2394"/>
    <w:rsid w:val="00BD5966"/>
    <w:rsid w:val="00BE5883"/>
    <w:rsid w:val="00BF3618"/>
    <w:rsid w:val="00C10FAD"/>
    <w:rsid w:val="00C1138B"/>
    <w:rsid w:val="00C13EAE"/>
    <w:rsid w:val="00C16073"/>
    <w:rsid w:val="00C20C1A"/>
    <w:rsid w:val="00C23509"/>
    <w:rsid w:val="00C33AD4"/>
    <w:rsid w:val="00C35B15"/>
    <w:rsid w:val="00C37AD5"/>
    <w:rsid w:val="00C459D5"/>
    <w:rsid w:val="00C651C3"/>
    <w:rsid w:val="00C70707"/>
    <w:rsid w:val="00C75545"/>
    <w:rsid w:val="00C75709"/>
    <w:rsid w:val="00C817D7"/>
    <w:rsid w:val="00C91C94"/>
    <w:rsid w:val="00CA1D8C"/>
    <w:rsid w:val="00CA273C"/>
    <w:rsid w:val="00CA2FBE"/>
    <w:rsid w:val="00CB1BFB"/>
    <w:rsid w:val="00CC097D"/>
    <w:rsid w:val="00CC0DC2"/>
    <w:rsid w:val="00CC1AAD"/>
    <w:rsid w:val="00CC4F03"/>
    <w:rsid w:val="00CC5D66"/>
    <w:rsid w:val="00CC6C30"/>
    <w:rsid w:val="00CD19F2"/>
    <w:rsid w:val="00CD7E08"/>
    <w:rsid w:val="00CF198B"/>
    <w:rsid w:val="00CF1E52"/>
    <w:rsid w:val="00CF32A9"/>
    <w:rsid w:val="00D00598"/>
    <w:rsid w:val="00D00706"/>
    <w:rsid w:val="00D066A5"/>
    <w:rsid w:val="00D12203"/>
    <w:rsid w:val="00D208C5"/>
    <w:rsid w:val="00D215C3"/>
    <w:rsid w:val="00D276E3"/>
    <w:rsid w:val="00D34E34"/>
    <w:rsid w:val="00D37FA3"/>
    <w:rsid w:val="00D52562"/>
    <w:rsid w:val="00D56F4F"/>
    <w:rsid w:val="00D60536"/>
    <w:rsid w:val="00D86704"/>
    <w:rsid w:val="00D87780"/>
    <w:rsid w:val="00D92540"/>
    <w:rsid w:val="00D96229"/>
    <w:rsid w:val="00DA275B"/>
    <w:rsid w:val="00DA3E7B"/>
    <w:rsid w:val="00DA570F"/>
    <w:rsid w:val="00DB07CC"/>
    <w:rsid w:val="00DB3916"/>
    <w:rsid w:val="00DC0149"/>
    <w:rsid w:val="00DC0967"/>
    <w:rsid w:val="00DC3511"/>
    <w:rsid w:val="00DC3E09"/>
    <w:rsid w:val="00DC7880"/>
    <w:rsid w:val="00DD04CB"/>
    <w:rsid w:val="00DD770E"/>
    <w:rsid w:val="00DE3417"/>
    <w:rsid w:val="00DE4D97"/>
    <w:rsid w:val="00DF07E9"/>
    <w:rsid w:val="00E04EB0"/>
    <w:rsid w:val="00E11F92"/>
    <w:rsid w:val="00E1366F"/>
    <w:rsid w:val="00E20D20"/>
    <w:rsid w:val="00E33D15"/>
    <w:rsid w:val="00E35659"/>
    <w:rsid w:val="00E41219"/>
    <w:rsid w:val="00E458E4"/>
    <w:rsid w:val="00E45AC5"/>
    <w:rsid w:val="00E50039"/>
    <w:rsid w:val="00E50922"/>
    <w:rsid w:val="00E64C10"/>
    <w:rsid w:val="00E67272"/>
    <w:rsid w:val="00E75CD1"/>
    <w:rsid w:val="00E77106"/>
    <w:rsid w:val="00E83610"/>
    <w:rsid w:val="00E84791"/>
    <w:rsid w:val="00E9789B"/>
    <w:rsid w:val="00EA5B2A"/>
    <w:rsid w:val="00EA65A3"/>
    <w:rsid w:val="00EC5CCC"/>
    <w:rsid w:val="00EE1254"/>
    <w:rsid w:val="00EE52D6"/>
    <w:rsid w:val="00EF288A"/>
    <w:rsid w:val="00EF3506"/>
    <w:rsid w:val="00EF62F9"/>
    <w:rsid w:val="00F07C2C"/>
    <w:rsid w:val="00F26976"/>
    <w:rsid w:val="00F34EA9"/>
    <w:rsid w:val="00F35751"/>
    <w:rsid w:val="00F36B54"/>
    <w:rsid w:val="00F371C1"/>
    <w:rsid w:val="00F4447D"/>
    <w:rsid w:val="00F508EF"/>
    <w:rsid w:val="00F51540"/>
    <w:rsid w:val="00F61077"/>
    <w:rsid w:val="00F667EB"/>
    <w:rsid w:val="00F668A9"/>
    <w:rsid w:val="00F87470"/>
    <w:rsid w:val="00F949F1"/>
    <w:rsid w:val="00F960D0"/>
    <w:rsid w:val="00FA1677"/>
    <w:rsid w:val="00FA499F"/>
    <w:rsid w:val="00FB0203"/>
    <w:rsid w:val="00FC4A41"/>
    <w:rsid w:val="00FD05FC"/>
    <w:rsid w:val="00FD249C"/>
    <w:rsid w:val="00FD373D"/>
    <w:rsid w:val="00FD5287"/>
    <w:rsid w:val="00FD6C6D"/>
    <w:rsid w:val="00FD74C7"/>
    <w:rsid w:val="00FE32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523</TotalTime>
  <Pages>33</Pages>
  <Words>32202</Words>
  <Characters>196436</Characters>
  <Application>Microsoft Office Word</Application>
  <DocSecurity>0</DocSecurity>
  <Lines>1636</Lines>
  <Paragraphs>456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228182</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12</cp:revision>
  <cp:lastPrinted>2020-05-11T07:49:00Z</cp:lastPrinted>
  <dcterms:created xsi:type="dcterms:W3CDTF">2026-01-20T13:19:00Z</dcterms:created>
  <dcterms:modified xsi:type="dcterms:W3CDTF">2026-03-16T08:26:00Z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id="Zutu2JlD"/&gt;&lt;style id="http://www.zotero.org/styles/apa" locale="en-US" hasBibliography="1" bibliographyStyleHasBeenSet="1"/&gt;&lt;prefs&gt;&lt;pref name="fieldType" value="Field"/&gt;&lt;/prefs&gt;&lt;/data&gt;</vt:lpwstr>
  </property>
</Properties>
</file>