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8396E" w14:textId="53D1A5BA" w:rsidR="0053182E" w:rsidRPr="00045088" w:rsidRDefault="009432A7" w:rsidP="00045088">
      <w:pPr>
        <w:spacing w:line="360" w:lineRule="auto"/>
        <w:rPr>
          <w:b/>
          <w:bCs/>
        </w:rPr>
      </w:pPr>
      <w:bookmarkStart w:id="0" w:name="_Hlk35338779"/>
      <w:r>
        <w:rPr>
          <w:b/>
          <w:bCs/>
        </w:rPr>
        <w:t>Agronomic and ecological impacts of fall vegetation in 30 cropping systems</w:t>
      </w:r>
    </w:p>
    <w:p w14:paraId="4B503908" w14:textId="77777777" w:rsidR="0053182E" w:rsidRPr="00045088" w:rsidRDefault="0053182E" w:rsidP="00045088">
      <w:pPr>
        <w:spacing w:line="360" w:lineRule="auto"/>
      </w:pPr>
    </w:p>
    <w:p w14:paraId="5FA8BC59" w14:textId="15684B6C" w:rsidR="0053182E" w:rsidRPr="00045088" w:rsidRDefault="009432A7" w:rsidP="00045088">
      <w:pPr>
        <w:spacing w:line="360" w:lineRule="auto"/>
        <w:rPr>
          <w:b/>
          <w:bCs/>
        </w:rPr>
      </w:pPr>
      <w:r>
        <w:rPr>
          <w:b/>
          <w:bCs/>
        </w:rPr>
        <w:t>Virginia A. Nichols</w:t>
      </w:r>
      <w:r w:rsidR="008141BB" w:rsidRPr="00045088">
        <w:rPr>
          <w:b/>
          <w:bCs/>
          <w:vertAlign w:val="superscript"/>
        </w:rPr>
        <w:t>1</w:t>
      </w:r>
      <w:r w:rsidR="009D06A0" w:rsidRPr="00045088">
        <w:rPr>
          <w:b/>
          <w:bCs/>
        </w:rPr>
        <w:t xml:space="preserve"> </w:t>
      </w:r>
      <w:r>
        <w:rPr>
          <w:b/>
          <w:bCs/>
        </w:rPr>
        <w:t>Marco Gentili</w:t>
      </w:r>
      <w:r w:rsidR="008141BB" w:rsidRPr="00045088">
        <w:rPr>
          <w:b/>
          <w:bCs/>
          <w:vertAlign w:val="superscript"/>
        </w:rPr>
        <w:t>1</w:t>
      </w:r>
      <w:r w:rsidR="0053182E" w:rsidRPr="00045088">
        <w:rPr>
          <w:b/>
          <w:bCs/>
        </w:rPr>
        <w:t xml:space="preserve"> </w:t>
      </w:r>
      <w:r>
        <w:rPr>
          <w:b/>
          <w:bCs/>
        </w:rPr>
        <w:t>Emma Randahl-Beltran</w:t>
      </w:r>
      <w:r w:rsidRPr="00045088">
        <w:rPr>
          <w:b/>
          <w:bCs/>
          <w:vertAlign w:val="superscript"/>
        </w:rPr>
        <w:t>1</w:t>
      </w:r>
      <w:r>
        <w:rPr>
          <w:b/>
          <w:bCs/>
        </w:rPr>
        <w:t xml:space="preserve"> Mette S</w:t>
      </w:r>
      <w:r>
        <w:rPr>
          <w:b/>
          <w:bCs/>
          <w:lang w:val="en-US"/>
        </w:rPr>
        <w:t>ønderskov</w:t>
      </w:r>
      <w:r w:rsidRPr="00045088">
        <w:rPr>
          <w:b/>
          <w:bCs/>
          <w:vertAlign w:val="superscript"/>
        </w:rPr>
        <w:t>1</w:t>
      </w:r>
      <w:r>
        <w:rPr>
          <w:b/>
          <w:bCs/>
          <w:lang w:val="en-US"/>
        </w:rPr>
        <w:t xml:space="preserve"> Bo Melander</w:t>
      </w:r>
      <w:r w:rsidRPr="00045088">
        <w:rPr>
          <w:b/>
          <w:bCs/>
          <w:vertAlign w:val="superscript"/>
        </w:rPr>
        <w:t>1</w:t>
      </w:r>
    </w:p>
    <w:p w14:paraId="674E975E" w14:textId="77777777" w:rsidR="0053182E" w:rsidRPr="00045088" w:rsidRDefault="0053182E" w:rsidP="00045088">
      <w:pPr>
        <w:spacing w:line="360" w:lineRule="auto"/>
      </w:pPr>
    </w:p>
    <w:p w14:paraId="4D11E6B6" w14:textId="7AE7F584" w:rsidR="0053182E" w:rsidRPr="00045088" w:rsidRDefault="008141BB" w:rsidP="00045088">
      <w:pPr>
        <w:spacing w:line="360" w:lineRule="auto"/>
      </w:pPr>
      <w:r w:rsidRPr="00045088">
        <w:rPr>
          <w:vertAlign w:val="superscript"/>
        </w:rPr>
        <w:t>1</w:t>
      </w:r>
      <w:r w:rsidR="009432A7">
        <w:t>Department of Agroecology</w:t>
      </w:r>
      <w:r w:rsidR="0053182E" w:rsidRPr="00045088">
        <w:t xml:space="preserve">, </w:t>
      </w:r>
      <w:r w:rsidR="009432A7">
        <w:t>Aarhus University, 1 Fors</w:t>
      </w:r>
      <w:r w:rsidR="009432A7">
        <w:rPr>
          <w:lang w:val="en-US"/>
        </w:rPr>
        <w:t>øgsvej, 4200 Slagelse, Denmark</w:t>
      </w:r>
      <w:r w:rsidR="00C23509" w:rsidRPr="00045088">
        <w:t xml:space="preserve"> </w:t>
      </w:r>
    </w:p>
    <w:p w14:paraId="13CD2A59" w14:textId="1C0ACE3E" w:rsidR="008141BB" w:rsidRPr="00045088" w:rsidRDefault="008141BB" w:rsidP="00045088">
      <w:pPr>
        <w:spacing w:line="360" w:lineRule="auto"/>
      </w:pPr>
    </w:p>
    <w:p w14:paraId="6596DF3D" w14:textId="50D140CB" w:rsidR="008141BB" w:rsidRPr="00045088" w:rsidRDefault="008141BB" w:rsidP="00045088">
      <w:pPr>
        <w:spacing w:line="360" w:lineRule="auto"/>
      </w:pPr>
      <w:r w:rsidRPr="00045088">
        <w:t>Correspondence</w:t>
      </w:r>
    </w:p>
    <w:p w14:paraId="06AF94F3" w14:textId="6020F3F2" w:rsidR="008141BB" w:rsidRPr="00045088" w:rsidRDefault="009432A7" w:rsidP="00045088">
      <w:pPr>
        <w:spacing w:line="360" w:lineRule="auto"/>
      </w:pPr>
      <w:r>
        <w:t>Virginia A. Nichols</w:t>
      </w:r>
    </w:p>
    <w:p w14:paraId="69317082" w14:textId="7A94EB73" w:rsidR="008141BB" w:rsidRDefault="008141BB" w:rsidP="00045088">
      <w:pPr>
        <w:spacing w:line="360" w:lineRule="auto"/>
        <w:rPr>
          <w:lang w:val="en-US"/>
        </w:rPr>
      </w:pPr>
      <w:r w:rsidRPr="00045088">
        <w:t xml:space="preserve">Email: </w:t>
      </w:r>
      <w:hyperlink r:id="rId7" w:history="1">
        <w:r w:rsidR="009432A7" w:rsidRPr="00561EFC">
          <w:rPr>
            <w:rStyle w:val="Hyperlink"/>
          </w:rPr>
          <w:t>gina.nichols</w:t>
        </w:r>
        <w:r w:rsidR="009432A7" w:rsidRPr="00561EFC">
          <w:rPr>
            <w:rStyle w:val="Hyperlink"/>
            <w:lang w:val="en-US"/>
          </w:rPr>
          <w:t>@agro.au.dk</w:t>
        </w:r>
      </w:hyperlink>
    </w:p>
    <w:p w14:paraId="6FD048AC" w14:textId="412D01E3" w:rsidR="009432A7" w:rsidRDefault="009432A7" w:rsidP="00045088">
      <w:pPr>
        <w:spacing w:line="360" w:lineRule="auto"/>
        <w:rPr>
          <w:lang w:val="en-US"/>
        </w:rPr>
      </w:pPr>
      <w:r>
        <w:rPr>
          <w:lang w:val="en-US"/>
        </w:rPr>
        <w:t>Marco…</w:t>
      </w:r>
    </w:p>
    <w:p w14:paraId="3D5DF2E4" w14:textId="7630C702" w:rsidR="009432A7" w:rsidRDefault="009432A7" w:rsidP="00045088">
      <w:pPr>
        <w:spacing w:line="360" w:lineRule="auto"/>
        <w:rPr>
          <w:lang w:val="en-US"/>
        </w:rPr>
      </w:pPr>
      <w:r>
        <w:rPr>
          <w:lang w:val="en-US"/>
        </w:rPr>
        <w:t>Emma</w:t>
      </w:r>
    </w:p>
    <w:p w14:paraId="6DD3D143" w14:textId="2BE71097" w:rsidR="009432A7" w:rsidRDefault="009432A7" w:rsidP="00045088">
      <w:pPr>
        <w:spacing w:line="360" w:lineRule="auto"/>
        <w:rPr>
          <w:lang w:val="en-US"/>
        </w:rPr>
      </w:pPr>
      <w:r>
        <w:rPr>
          <w:lang w:val="en-US"/>
        </w:rPr>
        <w:t>Mette</w:t>
      </w:r>
    </w:p>
    <w:p w14:paraId="282E3391" w14:textId="45698E2E" w:rsidR="009432A7" w:rsidRPr="009432A7" w:rsidRDefault="009432A7" w:rsidP="00045088">
      <w:pPr>
        <w:spacing w:line="360" w:lineRule="auto"/>
        <w:rPr>
          <w:lang w:val="en-US"/>
        </w:rPr>
      </w:pPr>
      <w:r>
        <w:rPr>
          <w:lang w:val="en-US"/>
        </w:rPr>
        <w:t>Bo…</w:t>
      </w:r>
    </w:p>
    <w:p w14:paraId="42CCADBB" w14:textId="0EF9F97E" w:rsidR="0053182E" w:rsidRPr="00045088" w:rsidRDefault="0053182E" w:rsidP="00045088">
      <w:pPr>
        <w:spacing w:line="360" w:lineRule="auto"/>
      </w:pPr>
    </w:p>
    <w:p w14:paraId="26E51B1C" w14:textId="785E09A7" w:rsidR="008141BB" w:rsidRPr="00045088" w:rsidRDefault="008141BB" w:rsidP="00045088">
      <w:pPr>
        <w:spacing w:line="360" w:lineRule="auto"/>
      </w:pPr>
      <w:r w:rsidRPr="00045088">
        <w:t>Funding information</w:t>
      </w:r>
    </w:p>
    <w:p w14:paraId="4AA53398" w14:textId="57302D79" w:rsidR="008141BB" w:rsidRPr="00045088" w:rsidRDefault="00D52562" w:rsidP="00045088">
      <w:pPr>
        <w:spacing w:line="360" w:lineRule="auto"/>
      </w:pPr>
      <w:r>
        <w:t>[List n</w:t>
      </w:r>
      <w:r w:rsidR="008141BB" w:rsidRPr="00045088">
        <w:t>ame of funders</w:t>
      </w:r>
      <w:r>
        <w:t xml:space="preserve"> and grant details]</w:t>
      </w:r>
    </w:p>
    <w:p w14:paraId="4131C210" w14:textId="3B413A58" w:rsidR="00C23509" w:rsidRPr="00045088" w:rsidRDefault="009432A7" w:rsidP="00045088">
      <w:pPr>
        <w:spacing w:line="360" w:lineRule="auto"/>
      </w:pPr>
      <w:r>
        <w:t>Bo</w:t>
      </w:r>
    </w:p>
    <w:p w14:paraId="2A994339" w14:textId="77777777" w:rsidR="009432A7" w:rsidRDefault="009432A7" w:rsidP="00045088">
      <w:pPr>
        <w:spacing w:line="360" w:lineRule="auto"/>
      </w:pPr>
    </w:p>
    <w:p w14:paraId="1B304622" w14:textId="77777777" w:rsidR="00B76139" w:rsidRPr="00045088" w:rsidRDefault="00C23509" w:rsidP="00045088">
      <w:pPr>
        <w:spacing w:line="360" w:lineRule="auto"/>
      </w:pPr>
      <w:r w:rsidRPr="00045088">
        <w:t xml:space="preserve">Word count = </w:t>
      </w:r>
      <w:r w:rsidR="00CF198B" w:rsidRPr="00045088">
        <w:t>7</w:t>
      </w:r>
      <w:r w:rsidRPr="00045088">
        <w:t>000 maximum (including all tables, legends and references)</w:t>
      </w:r>
    </w:p>
    <w:p w14:paraId="25FF3F26" w14:textId="6603F1F7" w:rsidR="0053182E" w:rsidRDefault="0053182E" w:rsidP="00045088">
      <w:pPr>
        <w:spacing w:line="360" w:lineRule="auto"/>
        <w:rPr>
          <w:b/>
          <w:bCs/>
        </w:rPr>
      </w:pPr>
      <w:r w:rsidRPr="00045088">
        <w:br w:type="page"/>
      </w:r>
      <w:r w:rsidR="008141BB" w:rsidRPr="00045088">
        <w:rPr>
          <w:b/>
          <w:bCs/>
        </w:rPr>
        <w:lastRenderedPageBreak/>
        <w:t>Abstract</w:t>
      </w:r>
      <w:r w:rsidR="009432A7">
        <w:rPr>
          <w:b/>
          <w:bCs/>
        </w:rPr>
        <w:t xml:space="preserve"> (250 words max)</w:t>
      </w:r>
    </w:p>
    <w:p w14:paraId="446CB580" w14:textId="56A92745" w:rsidR="00AE1EFC" w:rsidRPr="00AE1EFC" w:rsidRDefault="00AE1EFC" w:rsidP="00AE1EFC">
      <w:pPr>
        <w:spacing w:line="360" w:lineRule="auto"/>
        <w:rPr>
          <w:lang w:val="en-US"/>
        </w:rPr>
      </w:pPr>
      <w:r w:rsidRPr="00AE1EFC">
        <w:rPr>
          <w:lang w:val="en-US"/>
        </w:rPr>
        <w:t xml:space="preserve">With increasing environmental pressures from population growth and climate change, interest is growing in </w:t>
      </w:r>
      <w:r>
        <w:rPr>
          <w:lang w:val="en-US"/>
        </w:rPr>
        <w:t xml:space="preserve">holistically </w:t>
      </w:r>
      <w:r w:rsidRPr="00AE1EFC">
        <w:rPr>
          <w:lang w:val="en-US"/>
        </w:rPr>
        <w:t xml:space="preserve">evaluating non-crop </w:t>
      </w:r>
      <w:r w:rsidR="00C10FAD">
        <w:rPr>
          <w:lang w:val="en-US"/>
        </w:rPr>
        <w:t>plant communities</w:t>
      </w:r>
      <w:r w:rsidRPr="00AE1EFC">
        <w:rPr>
          <w:lang w:val="en-US"/>
        </w:rPr>
        <w:t xml:space="preserve">. This study assessed fall vegetation communities and </w:t>
      </w:r>
      <w:r w:rsidR="00C10FAD">
        <w:rPr>
          <w:lang w:val="en-US"/>
        </w:rPr>
        <w:t xml:space="preserve">attendant </w:t>
      </w:r>
      <w:r w:rsidRPr="00AE1EFC">
        <w:rPr>
          <w:lang w:val="en-US"/>
        </w:rPr>
        <w:t>agronomic performance in 30 replicated cropping systems over three growing seasons in Zealand, Denmark. Treatments included five cover crop systems [</w:t>
      </w:r>
      <w:r w:rsidR="00C10FAD">
        <w:rPr>
          <w:lang w:val="en-US"/>
        </w:rPr>
        <w:t>grass/clover (</w:t>
      </w:r>
      <w:r w:rsidRPr="00AE1EFC">
        <w:rPr>
          <w:i/>
          <w:iCs/>
          <w:lang w:val="en-US"/>
        </w:rPr>
        <w:t>Lolium perenne</w:t>
      </w:r>
      <w:r w:rsidR="00C10FAD" w:rsidRPr="00C10FAD">
        <w:rPr>
          <w:i/>
          <w:iCs/>
          <w:lang w:val="en-US"/>
        </w:rPr>
        <w:t>/</w:t>
      </w:r>
      <w:r w:rsidRPr="00AE1EFC">
        <w:rPr>
          <w:i/>
          <w:iCs/>
          <w:lang w:val="en-US"/>
        </w:rPr>
        <w:t>Trifolium repens</w:t>
      </w:r>
      <w:r w:rsidR="00C10FAD">
        <w:rPr>
          <w:lang w:val="en-US"/>
        </w:rPr>
        <w:t>)</w:t>
      </w:r>
      <w:r w:rsidRPr="00AE1EFC">
        <w:rPr>
          <w:lang w:val="en-US"/>
        </w:rPr>
        <w:t xml:space="preserve"> mixtures sown early</w:t>
      </w:r>
      <w:r w:rsidR="00C10FAD">
        <w:rPr>
          <w:lang w:val="en-US"/>
        </w:rPr>
        <w:t>- (MixE)</w:t>
      </w:r>
      <w:r w:rsidRPr="00AE1EFC">
        <w:rPr>
          <w:lang w:val="en-US"/>
        </w:rPr>
        <w:t xml:space="preserve"> and mid-season</w:t>
      </w:r>
      <w:r w:rsidR="00C10FAD">
        <w:rPr>
          <w:lang w:val="en-US"/>
        </w:rPr>
        <w:t xml:space="preserve"> (MixM)</w:t>
      </w:r>
      <w:r w:rsidRPr="00AE1EFC">
        <w:rPr>
          <w:lang w:val="en-US"/>
        </w:rPr>
        <w:t xml:space="preserve">, </w:t>
      </w:r>
      <w:r w:rsidR="00C10FAD">
        <w:rPr>
          <w:lang w:val="en-US"/>
        </w:rPr>
        <w:t>radish (</w:t>
      </w:r>
      <w:r w:rsidRPr="00AE1EFC">
        <w:rPr>
          <w:i/>
          <w:iCs/>
          <w:lang w:val="en-US"/>
        </w:rPr>
        <w:t>Raphanus sativus</w:t>
      </w:r>
      <w:r w:rsidR="00C10FAD">
        <w:rPr>
          <w:lang w:val="en-US"/>
        </w:rPr>
        <w:t>)</w:t>
      </w:r>
      <w:r w:rsidRPr="00AE1EFC">
        <w:rPr>
          <w:lang w:val="en-US"/>
        </w:rPr>
        <w:t xml:space="preserve"> sown mid-season</w:t>
      </w:r>
      <w:r w:rsidR="00C10FAD">
        <w:rPr>
          <w:lang w:val="en-US"/>
        </w:rPr>
        <w:t xml:space="preserve"> (RadM)</w:t>
      </w:r>
      <w:r w:rsidRPr="00AE1EFC">
        <w:rPr>
          <w:lang w:val="en-US"/>
        </w:rPr>
        <w:t xml:space="preserve"> and post-harvest</w:t>
      </w:r>
      <w:r w:rsidR="00C10FAD">
        <w:rPr>
          <w:lang w:val="en-US"/>
        </w:rPr>
        <w:t xml:space="preserve"> (RadL)</w:t>
      </w:r>
      <w:r w:rsidRPr="00AE1EFC">
        <w:rPr>
          <w:lang w:val="en-US"/>
        </w:rPr>
        <w:t>, and a no-cover control</w:t>
      </w:r>
      <w:r w:rsidR="00C10FAD">
        <w:rPr>
          <w:lang w:val="en-US"/>
        </w:rPr>
        <w:t xml:space="preserve"> (NoCC)</w:t>
      </w:r>
      <w:r w:rsidRPr="00AE1EFC">
        <w:rPr>
          <w:lang w:val="en-US"/>
        </w:rPr>
        <w:t xml:space="preserve">] combined with three tillage approaches (no-till, surface, inversion) and two residue managements (retained, removed). Measured responses included crop yield, fall biomass, plant cover, and spring weed counts. The study coincided with </w:t>
      </w:r>
      <w:r w:rsidR="009A7EA2">
        <w:rPr>
          <w:lang w:val="en-US"/>
        </w:rPr>
        <w:t xml:space="preserve">warm years exhibiting </w:t>
      </w:r>
      <w:r w:rsidRPr="00AE1EFC">
        <w:rPr>
          <w:lang w:val="en-US"/>
        </w:rPr>
        <w:t>extreme drought (2018) and high precipitation (2019).</w:t>
      </w:r>
      <w:r w:rsidR="00C10FAD">
        <w:rPr>
          <w:lang w:val="en-US"/>
        </w:rPr>
        <w:t xml:space="preserve"> </w:t>
      </w:r>
      <w:r w:rsidRPr="00AE1EFC">
        <w:rPr>
          <w:lang w:val="en-US"/>
        </w:rPr>
        <w:t xml:space="preserve">Soil cover remained stable (~75%) across treatments and years, while fall biomass varied. Radish cover crops consistently increased biomass relative to </w:t>
      </w:r>
      <w:r w:rsidR="00C10FAD">
        <w:rPr>
          <w:lang w:val="en-US"/>
        </w:rPr>
        <w:t>NoCC, while the mixtures did not</w:t>
      </w:r>
      <w:r w:rsidRPr="00AE1EFC">
        <w:rPr>
          <w:lang w:val="en-US"/>
        </w:rPr>
        <w:t xml:space="preserve">. </w:t>
      </w:r>
      <w:r w:rsidR="009A7EA2">
        <w:rPr>
          <w:lang w:val="en-US"/>
        </w:rPr>
        <w:t xml:space="preserve">Only the RadM cover crop </w:t>
      </w:r>
      <w:r w:rsidR="00BB220E">
        <w:rPr>
          <w:lang w:val="en-US"/>
        </w:rPr>
        <w:t xml:space="preserve">consistently </w:t>
      </w:r>
      <w:r w:rsidR="009A7EA2">
        <w:rPr>
          <w:lang w:val="en-US"/>
        </w:rPr>
        <w:t>contributed &gt;50% of the</w:t>
      </w:r>
      <w:r w:rsidR="00BB220E">
        <w:rPr>
          <w:lang w:val="en-US"/>
        </w:rPr>
        <w:t xml:space="preserve"> fall biomass and vegetation coverage, with other v</w:t>
      </w:r>
      <w:r w:rsidRPr="00AE1EFC">
        <w:rPr>
          <w:lang w:val="en-US"/>
        </w:rPr>
        <w:t xml:space="preserve">egetation communities </w:t>
      </w:r>
      <w:r w:rsidR="00BB220E">
        <w:rPr>
          <w:lang w:val="en-US"/>
        </w:rPr>
        <w:t>being</w:t>
      </w:r>
      <w:r w:rsidR="00A62539">
        <w:rPr>
          <w:lang w:val="en-US"/>
        </w:rPr>
        <w:t xml:space="preserve"> dominated by </w:t>
      </w:r>
      <w:r w:rsidRPr="00AE1EFC">
        <w:rPr>
          <w:lang w:val="en-US"/>
        </w:rPr>
        <w:t>crop volunteers</w:t>
      </w:r>
      <w:r w:rsidR="00BB220E">
        <w:rPr>
          <w:lang w:val="en-US"/>
        </w:rPr>
        <w:t>. E</w:t>
      </w:r>
      <w:r w:rsidRPr="00AE1EFC">
        <w:rPr>
          <w:lang w:val="en-US"/>
        </w:rPr>
        <w:t>cological value estimates were highest in radish treatments</w:t>
      </w:r>
      <w:r w:rsidR="00A62539">
        <w:rPr>
          <w:lang w:val="en-US"/>
        </w:rPr>
        <w:t xml:space="preserve"> due to the high </w:t>
      </w:r>
      <w:r w:rsidR="00BB220E">
        <w:rPr>
          <w:lang w:val="en-US"/>
        </w:rPr>
        <w:t xml:space="preserve">potential </w:t>
      </w:r>
      <w:r w:rsidR="00A62539">
        <w:rPr>
          <w:lang w:val="en-US"/>
        </w:rPr>
        <w:t>value assigned to radish</w:t>
      </w:r>
      <w:r w:rsidR="00BB220E">
        <w:rPr>
          <w:lang w:val="en-US"/>
        </w:rPr>
        <w:t xml:space="preserve"> plants</w:t>
      </w:r>
      <w:r w:rsidRPr="00AE1EFC">
        <w:rPr>
          <w:lang w:val="en-US"/>
        </w:rPr>
        <w:t xml:space="preserve">. Across tillage, residue, and weather, </w:t>
      </w:r>
      <w:r w:rsidR="00A62539">
        <w:rPr>
          <w:lang w:val="en-US"/>
        </w:rPr>
        <w:t>RadM</w:t>
      </w:r>
      <w:r w:rsidRPr="00AE1EFC">
        <w:rPr>
          <w:lang w:val="en-US"/>
        </w:rPr>
        <w:t xml:space="preserve"> </w:t>
      </w:r>
      <w:r w:rsidR="00A62539">
        <w:rPr>
          <w:lang w:val="en-US"/>
        </w:rPr>
        <w:t xml:space="preserve">consistently offered the </w:t>
      </w:r>
      <w:r w:rsidRPr="00AE1EFC">
        <w:rPr>
          <w:lang w:val="en-US"/>
        </w:rPr>
        <w:t xml:space="preserve">highest fall biomass, </w:t>
      </w:r>
      <w:r w:rsidR="00A62539">
        <w:rPr>
          <w:lang w:val="en-US"/>
        </w:rPr>
        <w:t xml:space="preserve">crop </w:t>
      </w:r>
      <w:r w:rsidRPr="00AE1EFC">
        <w:rPr>
          <w:lang w:val="en-US"/>
        </w:rPr>
        <w:t xml:space="preserve">yields, and ecological value, without increasing perennial weeds compared to </w:t>
      </w:r>
      <w:r w:rsidR="00A62539">
        <w:rPr>
          <w:lang w:val="en-US"/>
        </w:rPr>
        <w:t>NoCC</w:t>
      </w:r>
      <w:r w:rsidRPr="00AE1EFC">
        <w:rPr>
          <w:lang w:val="en-US"/>
        </w:rPr>
        <w:t xml:space="preserve">. In contrast, </w:t>
      </w:r>
      <w:r w:rsidR="00A62539">
        <w:rPr>
          <w:lang w:val="en-US"/>
        </w:rPr>
        <w:t xml:space="preserve">MixE </w:t>
      </w:r>
      <w:r w:rsidRPr="00AE1EFC">
        <w:rPr>
          <w:lang w:val="en-US"/>
        </w:rPr>
        <w:t xml:space="preserve">produced </w:t>
      </w:r>
      <w:r w:rsidR="00A62539">
        <w:rPr>
          <w:lang w:val="en-US"/>
        </w:rPr>
        <w:t xml:space="preserve">variable fall </w:t>
      </w:r>
      <w:r w:rsidRPr="00AE1EFC">
        <w:rPr>
          <w:lang w:val="en-US"/>
        </w:rPr>
        <w:t xml:space="preserve">biomass, </w:t>
      </w:r>
      <w:r w:rsidR="00A62539">
        <w:rPr>
          <w:lang w:val="en-US"/>
        </w:rPr>
        <w:t xml:space="preserve">had </w:t>
      </w:r>
      <w:r w:rsidRPr="00AE1EFC">
        <w:rPr>
          <w:lang w:val="en-US"/>
        </w:rPr>
        <w:t>higher perennial weed</w:t>
      </w:r>
      <w:r w:rsidR="00A62539">
        <w:rPr>
          <w:lang w:val="en-US"/>
        </w:rPr>
        <w:t xml:space="preserve">s which reduced crop yields, </w:t>
      </w:r>
      <w:r w:rsidRPr="00AE1EFC">
        <w:rPr>
          <w:lang w:val="en-US"/>
        </w:rPr>
        <w:t>and supported more complex but lower-value plant communities.</w:t>
      </w:r>
      <w:r w:rsidR="00A62539">
        <w:rPr>
          <w:lang w:val="en-US"/>
        </w:rPr>
        <w:t xml:space="preserve"> </w:t>
      </w:r>
      <w:r w:rsidRPr="00AE1EFC">
        <w:rPr>
          <w:lang w:val="en-US"/>
        </w:rPr>
        <w:t xml:space="preserve">Overall, </w:t>
      </w:r>
      <w:r w:rsidR="00A62539">
        <w:rPr>
          <w:lang w:val="en-US"/>
        </w:rPr>
        <w:t xml:space="preserve">in our study we found </w:t>
      </w:r>
      <w:r w:rsidR="00BB220E">
        <w:rPr>
          <w:lang w:val="en-US"/>
        </w:rPr>
        <w:t>radish cover crops</w:t>
      </w:r>
      <w:r w:rsidRPr="00AE1EFC">
        <w:rPr>
          <w:lang w:val="en-US"/>
        </w:rPr>
        <w:t xml:space="preserve"> exhibited more consistent agronomic and ecological benefits </w:t>
      </w:r>
      <w:r w:rsidR="00A62539">
        <w:rPr>
          <w:lang w:val="en-US"/>
        </w:rPr>
        <w:t xml:space="preserve">compared to </w:t>
      </w:r>
      <w:r w:rsidR="00BB220E">
        <w:rPr>
          <w:lang w:val="en-US"/>
        </w:rPr>
        <w:t xml:space="preserve">the grass/clover </w:t>
      </w:r>
      <w:r w:rsidR="00A62539">
        <w:rPr>
          <w:lang w:val="en-US"/>
        </w:rPr>
        <w:t>mixes and NoCC</w:t>
      </w:r>
      <w:r w:rsidRPr="00AE1EFC">
        <w:rPr>
          <w:lang w:val="en-US"/>
        </w:rPr>
        <w:t xml:space="preserve">, </w:t>
      </w:r>
      <w:r w:rsidR="00A62539">
        <w:rPr>
          <w:lang w:val="en-US"/>
        </w:rPr>
        <w:t xml:space="preserve">but our analyses </w:t>
      </w:r>
      <w:r w:rsidRPr="00AE1EFC">
        <w:rPr>
          <w:lang w:val="en-US"/>
        </w:rPr>
        <w:t>underscor</w:t>
      </w:r>
      <w:r w:rsidR="00A62539">
        <w:rPr>
          <w:lang w:val="en-US"/>
        </w:rPr>
        <w:t>e</w:t>
      </w:r>
      <w:r w:rsidRPr="00AE1EFC">
        <w:rPr>
          <w:lang w:val="en-US"/>
        </w:rPr>
        <w:t xml:space="preserve"> the complexity of </w:t>
      </w:r>
      <w:r w:rsidR="006C3DC0">
        <w:rPr>
          <w:lang w:val="en-US"/>
        </w:rPr>
        <w:t xml:space="preserve">assessing </w:t>
      </w:r>
      <w:r w:rsidRPr="00AE1EFC">
        <w:rPr>
          <w:lang w:val="en-US"/>
        </w:rPr>
        <w:t>vegetation in cropping systems where multiple goals intersect.</w:t>
      </w:r>
    </w:p>
    <w:p w14:paraId="6795BA4E" w14:textId="77777777" w:rsidR="00AE1EFC" w:rsidRPr="006C3DC0" w:rsidRDefault="00AE1EFC" w:rsidP="00045088">
      <w:pPr>
        <w:spacing w:line="360" w:lineRule="auto"/>
        <w:rPr>
          <w:b/>
          <w:bCs/>
          <w:lang w:val="en-US"/>
        </w:rPr>
      </w:pPr>
    </w:p>
    <w:p w14:paraId="5BA4076E" w14:textId="09D72F9E" w:rsidR="0053182E" w:rsidRPr="00045088" w:rsidRDefault="008141BB" w:rsidP="00045088">
      <w:pPr>
        <w:spacing w:line="360" w:lineRule="auto"/>
        <w:rPr>
          <w:b/>
          <w:bCs/>
        </w:rPr>
      </w:pPr>
      <w:r w:rsidRPr="00045088">
        <w:rPr>
          <w:b/>
          <w:bCs/>
        </w:rPr>
        <w:t>1  INTRODUCTION</w:t>
      </w:r>
    </w:p>
    <w:p w14:paraId="70C552E6" w14:textId="1227B85C" w:rsidR="006C3DC0" w:rsidRPr="006C3DC0" w:rsidRDefault="006C3DC0" w:rsidP="006C3DC0">
      <w:pPr>
        <w:spacing w:line="360" w:lineRule="auto"/>
        <w:rPr>
          <w:lang w:val="en-US"/>
        </w:rPr>
      </w:pPr>
      <w:r w:rsidRPr="006C3DC0">
        <w:rPr>
          <w:lang w:val="en-US"/>
        </w:rPr>
        <w:t xml:space="preserve">Environmental pressures resulting from population growth and climate change have led to a significant decline in </w:t>
      </w:r>
      <w:r>
        <w:rPr>
          <w:lang w:val="en-US"/>
        </w:rPr>
        <w:t xml:space="preserve">global </w:t>
      </w:r>
      <w:r w:rsidRPr="006C3DC0">
        <w:rPr>
          <w:lang w:val="en-US"/>
        </w:rPr>
        <w:t>biodiversity (CITE). Given the extensive land area dedicated to arable agriculture</w:t>
      </w:r>
      <w:r>
        <w:rPr>
          <w:lang w:val="en-US"/>
        </w:rPr>
        <w:t xml:space="preserve"> in Europe (CITE)</w:t>
      </w:r>
      <w:r w:rsidRPr="006C3DC0">
        <w:rPr>
          <w:lang w:val="en-US"/>
        </w:rPr>
        <w:t xml:space="preserve">, agricultural management plays a crucial role in shaping biodiversity levels (CITE). Consequently, there is a growing need for agricultural systems that integrate ecosystem health and biodiversity conservation with commercial production objectives. In response, researchers are increasingly assessing non-crop plant communities (e.g., weeds) and their attendant management strategies for their </w:t>
      </w:r>
      <w:r>
        <w:rPr>
          <w:lang w:val="en-US"/>
        </w:rPr>
        <w:t>potential ecological, as well as agronomic i</w:t>
      </w:r>
      <w:r w:rsidRPr="006C3DC0">
        <w:rPr>
          <w:lang w:val="en-US"/>
        </w:rPr>
        <w:t xml:space="preserve">mpacts. </w:t>
      </w:r>
    </w:p>
    <w:p w14:paraId="6F12DE0A" w14:textId="0DC7CDA3" w:rsidR="00E41219" w:rsidRDefault="006C3DC0" w:rsidP="00E41219">
      <w:pPr>
        <w:spacing w:line="360" w:lineRule="auto"/>
      </w:pPr>
      <w:r w:rsidRPr="006C3DC0">
        <w:rPr>
          <w:lang w:val="en-US"/>
        </w:rPr>
        <w:lastRenderedPageBreak/>
        <w:t xml:space="preserve">In agricultural systems that utilize tillage and/or herbicides, studies have found fall cover cropping has a minimal impact on subsequent weed pressure due to the strong filters exerted by spring tillage or herbicide application </w:t>
      </w:r>
      <w:r w:rsidRPr="006C3DC0">
        <w:rPr>
          <w:lang w:val="en-US"/>
        </w:rPr>
        <w:fldChar w:fldCharType="begin"/>
      </w:r>
      <w:r w:rsidRPr="006C3DC0">
        <w:rPr>
          <w:lang w:val="en-US"/>
        </w:rPr>
        <w:instrText xml:space="preserve"> ADDIN ZOTERO_ITEM CSL_CITATION {"citationID":"6ot4DrTx","properties":{"formattedCitation":"(Adeux et al., 2023; Rouge et al., 2023)","plainCitation":"(Adeux et al., 2023; Rouge et al., 2023)","noteIndex":0},"citationItems":[{"id":1248,"uris":["http://zotero.org/users/3599437/items/4LPL5GTN"],"itemData":{"id":1248,"type":"article-journal","abstract":"Context\nLittle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394,"uris":["http://zotero.org/users/3599437/items/77YT7T2T"],"itemData":{"id":394,"type":"article-journal","abstract":"The carry-over effect of cover crops on weeds and crop productivity in the subsequent crops has been related to cover crop composition and cover crop termination methods but their interaction with soil resource availability remains poorly documented, as well as the relative importance of each of these factors. This study investigated the effect of cover crop management (i.e. cover crop mixture, fertilisation, irrigation, termination method and their combinations) on weed biomass and crop productivity in two subsequent crops (spring barley followed by winter linseed). We hypothesised that cover crop management could affect productivity of the subsequent crops through both weed suppression and nitrogen supply. Two experiments spanning a duration of two years were setup, on two different fields in two different years, to investigate the effect of cover crop mixture (2 or 8 species including or not legume species, plus a bare soil control), water and nitrogen availability at cover crop sowing and cover crop termination methods (rolling, herbicide-use and winter-kill control) on weed biomass and crop productivity of the two subsequent unweeded, unfertilised and directly seeded crops. Weed biomass and crop productivity in both subsequent crops were affected by multiple interactions between cover crop mixture, soil resource availability, cover crop termination method and experiment. In experiment 1, combinations of cover crop management alternative to the reference (i.e. bare soil, without fertilisation and irrigation, winter-killed) mainly showed beneficial carry-over effects (i.e. lower weed biomass and higher crop productivity) in the sub­ sequent spring barley while having no effect in winter linseed. In experiment 2, alternative combinations of cover crop management mainly showed no effects or detrimental carry-over effects (i.e. higher weed biomass and lower crop productivity) in spring barley while having some positive effects in winter linseed (i.e. only when cover crops were terminated with herbicide-use). Crop productivity was mainly affected by weed biomass which was significantly reduced almost only when cover crops were terminated with herbicide-use. Crop productivity was also affected but to a lesser extent by cover crop soil-mediated effects (e.g. nitrogen supply). These results highlight complex interactions between cover crop management and environmental conditions on the carry-over effects of cover crops in the subsequent crops. Cover crops may not play an essential role for weed management in no-till and herbicide-free systems, particularly at low levels of cover crop biomass production.","container-title":"Field Crops Research","DOI":"10.1016/j.fcr.2023.108899","ISSN":"03784290","journalAbbreviation":"Field Crops Research","language":"en","page":"108899","source":"DOI.org (Crossref)","title":"Carry-over effects of cover crops on weeds and crop productivity in no-till systems","volume":"295","author":[{"family":"Rouge","given":"Alicia"},{"family":"Adeux","given":"Guillaume"},{"family":"Busset","given":"Hugues"},{"family":"Hugard","given":"Rodolphe"},{"family":"Martin","given":"Juliette"},{"family":"Matejicek","given":"Annick"},{"family":"Moreau","given":"Delphine"},{"family":"Guillemin","given":"Jean-Philippe"},{"family":"Cordeau","given":"Stéphane"}],"issued":{"date-parts":[["2023",5]]}}}],"schema":"https://github.com/citation-style-language/schema/raw/master/csl-citation.json"} </w:instrText>
      </w:r>
      <w:r w:rsidRPr="006C3DC0">
        <w:rPr>
          <w:lang w:val="en-US"/>
        </w:rPr>
        <w:fldChar w:fldCharType="separate"/>
      </w:r>
      <w:r w:rsidRPr="006C3DC0">
        <w:rPr>
          <w:lang w:val="en-US"/>
        </w:rPr>
        <w:t>(Adeux et al., 2023; Rouge et al., 2023)</w:t>
      </w:r>
      <w:r w:rsidRPr="006C3DC0">
        <w:fldChar w:fldCharType="end"/>
      </w:r>
      <w:r w:rsidRPr="006C3DC0">
        <w:rPr>
          <w:lang w:val="en-US"/>
        </w:rPr>
        <w:t xml:space="preserve"> </w:t>
      </w:r>
      <w:r w:rsidRPr="006C3DC0">
        <w:rPr>
          <w:lang w:val="en-US"/>
        </w:rPr>
        <w:fldChar w:fldCharType="begin"/>
      </w:r>
      <w:r w:rsidRPr="006C3DC0">
        <w:rPr>
          <w:lang w:val="en-US"/>
        </w:rPr>
        <w:instrText xml:space="preserve"> ADDIN ZOTERO_ITEM CSL_CITATION {"citationID":"KnLjDzjF","properties":{"formattedCitation":"(Adeux et al., 2023, 2021)","plainCitation":"(Adeux et al., 2023, 2021)","noteIndex":0},"citationItems":[{"id":1248,"uris":["http://zotero.org/users/3599437/items/4LPL5GTN"],"itemData":{"id":1248,"type":"article-journal","abstract":"Context\nLittle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395,"uris":["http://zotero.org/users/3599437/items/EEYB98HA"],"itemData":{"id":395,"type":"article-journal","abstract":"Cover crops (CC) have been proposed as a promising ecological tool to manage weeds and increase crop pro­ ductivity. We hypothesized that the repeated use of CC could increase crop yield directly through nitrogen release and/or indirectly through a modification of weed communities. Data were collected on CC biomass, weed biomass, weed community composition, and crop yield during one complete rotation cycle (CC-sunflower-durum wheat-CC-maize-durum wheat) from 2011 to 2015, 18 years after the beginning of a long-term, single-site, splitsplit plot experiment focusing on tillage systems (conventional (CT) vs. reduced (RT)), nitrogen rates and CC species (Brassica juncea (L.) Czern. (Bj), Vicia villosa Roth (Vv), Trifolium squarrosum L. (Ts) and a winter baresoil control (C)). Univariate response variables were analyzed with generalized mixed effect models and community data were analyzed with multivariate linear models. During the fallow period, Bj suppressed weed biomass (with respect to C) by 79, 75, 34, and 28 % in CT:2012, RT:2012, CT:2014 and RT: 2014, respectively, whereas Vv only suppressed weed biomass by 69 and 37 % in CT and RT in 2012, respectively. Greater weed suppression for Bj than Vv or Ts at lower levels of CC productivity (200 g dry biomass m− 2) was attributed to the importance of CC traits such as nitrophily, allelopathy and/or quick soil coverage. The weed suppressive effect of CC during the fallow period was greater in CT (βslope = − 0.28) than in RT (βslope = − 0.16), possibly due to contrasted weed flora and/or CC growth dynamics. Tillage and herbicides overrode the potential effect of CC on weed commu­ nities in the subsequent crops. The integration of a highly productive legume CC, such as Vv, allowed to increase maize productivity (with respect to C) by 65 % in absence of N fertilisation and by 23 % at the lowest N fer­ tilisation level. CC effects on sunflower and durum wheat yield were limited due to dry weather conditions and quick nitrogen release in time, respectively. These results highlight the importance of legume CC for sustaining crop productivity while reducing nitrogen fertilisation. Further studies need to identify less intensive weed management practices that can complement potential CC effects rather than override them.","container-title":"European Journal of Agronomy","DOI":"10.1016/j.eja.2020.126221","ISSN":"11610301","journalAbbreviation":"European Journal of Agronomy","language":"en","page":"126221","source":"DOI.org (Crossref)","title":"Cover crops promote crop productivity but do not enhance weed management in tillage-based cropping systems","volume":"123","author":[{"family":"Adeux","given":"Guillaume"},{"family":"Cordeau","given":"Stéphane"},{"family":"Antichi","given":"Daniele"},{"family":"Carlesi","given":"Stefano"},{"family":"Mazzoncini","given":"Marco"},{"family":"Munier-Jolain","given":"Nicolas"},{"family":"Bàrberi","given":"Paolo"}],"issued":{"date-parts":[["2021",2]]}}}],"schema":"https://github.com/citation-style-language/schema/raw/master/csl-citation.json"} </w:instrText>
      </w:r>
      <w:r w:rsidRPr="006C3DC0">
        <w:rPr>
          <w:lang w:val="en-US"/>
        </w:rPr>
        <w:fldChar w:fldCharType="separate"/>
      </w:r>
      <w:r w:rsidRPr="006C3DC0">
        <w:rPr>
          <w:lang w:val="en-US"/>
        </w:rPr>
        <w:t>(Adeux et al., 2023, 2021)</w:t>
      </w:r>
      <w:r w:rsidRPr="006C3DC0">
        <w:fldChar w:fldCharType="end"/>
      </w:r>
      <w:r w:rsidRPr="006C3DC0">
        <w:rPr>
          <w:lang w:val="en-US"/>
        </w:rPr>
        <w:t xml:space="preserve"> OTHERS. It follows that fall non-crop vegetation may present a unique opportunity for optimization, allowing the expression of ecologically beneficial weeds without resulting in future agronomic harm</w:t>
      </w:r>
      <w:r w:rsidR="00E41219">
        <w:rPr>
          <w:lang w:val="en-US"/>
        </w:rPr>
        <w:t xml:space="preserve">. In this context, fall plant </w:t>
      </w:r>
      <w:r w:rsidR="00E41219" w:rsidRPr="006C3DC0">
        <w:rPr>
          <w:lang w:val="en-US"/>
        </w:rPr>
        <w:t xml:space="preserve">communities may offer a range of ecological </w:t>
      </w:r>
      <w:r w:rsidR="00E41219">
        <w:rPr>
          <w:lang w:val="en-US"/>
        </w:rPr>
        <w:t xml:space="preserve">and environmental </w:t>
      </w:r>
      <w:r w:rsidR="00E41219" w:rsidRPr="006C3DC0">
        <w:rPr>
          <w:lang w:val="en-US"/>
        </w:rPr>
        <w:t xml:space="preserve">benefits. They may serve as important promotors of plant diversity (CITE), provide food sources for a high diversity of organisms </w:t>
      </w:r>
      <w:r w:rsidR="00E41219" w:rsidRPr="006C3DC0">
        <w:rPr>
          <w:lang w:val="en-US"/>
        </w:rPr>
        <w:fldChar w:fldCharType="begin"/>
      </w:r>
      <w:r w:rsidR="00E41219" w:rsidRPr="006C3DC0">
        <w:rPr>
          <w:lang w:val="en-US"/>
        </w:rPr>
        <w:instrText xml:space="preserve"> ADDIN ZOTERO_ITEM CSL_CITATION {"citationID":"qBzwzGc1","properties":{"formattedCitation":"(Balfour and Ratnieks, 2022; Marshall et al., 2003)","plainCitation":"(Balfour and Ratnieks, 2022; Marshall et al., 2003)","noteIndex":0},"citationItems":[{"id":470,"uris":["http://zotero.org/users/3599437/items/W3QPLB5Z"],"itemData":{"id":470,"type":"article-journal","abstract":"Agricultural intensification has been implicated in global biodiversity declines. In the European Union, agri-environmental schemes are designed to address this. For pollinating insects, funding has been provided to sow wildflower mixes. However, previous research indicates that a suite of agricultural weeds are also of great importance to pollinators. Here, we compare the biodiversity associated with the species which are considered harmful to agricultural production and legally deemed as ‘injurious’ by the United Kingdom 1959 Weeds Act (common ragwort Jacobaea vulgaris, creeping thistle Cirsium arvense, spear thistle C. vulgare, curled dock Rumex crispus and broadleaved dock R. obtusifolius), with plant species recommended for pollinator-targeted agri-environmental options. In our field study, the abundance and diversity of pollinators visiting the weed species averaged twice that of the recommended plants and included the main insect orders (Coleoptera, Diptera, Hymenoptera and Lepidoptera). This relationship was also seen in a meta-analysis of literature data, which indicates that fourfold more flower-visitor species and fivefold more conservation-listed species are associated with the weeds. Additionally, the literature shows that twice the number of herbivorous insect species are associated with these plants. We suggest that several factors are responsible for this pattern. Injurious weed species are widely distributed, their flower morphology allows access to a wide variety of pollinator species, and they produce, on average, four times more nectar sugar than the recommended plant species. Freedom of information requests to public bodies such as local councils, Natural England and Highways England indicate that c. £10 million per year is spent controlling injurious weeds. Meanwhile, the cost of the four pollinator-targeted agri-environmental options in the United Kingdom exceeds £40 m annually. Synthesis and applications. Our results clearly show that weeds have an underappreciated value to biodiversity. Unfortunately, current UK agricultural policy encourages neither land sparing for nor land sharing with weeds. The UK government is, however, currently committed to overhauling agricultural payments to encourage more wildlife- and climate-friendly practices. Thus, the challenge of reconciling the conflicts between agricultural production and these native and biodiverse species should be a renewed priority to land managers, researchers and policymakers.","container-title":"Journal of Applied Ecology","DOI":"10.1111/1365-2664.14132","ISSN":"1365-2664","issue":"5","language":"en","license":"© 2022 The Authors. Journal of Applied Ecology published by John Wiley &amp; Sons Ltd on behalf of British Ecological Society.","note":"_eprint: https://onlinelibrary.wiley.com/doi/pdf/10.1111/1365-2664.14132","page":"1209-1218","source":"Wiley Online Library","title":"The disproportionate value of ‘weeds’ to pollinators and biodiversity","volume":"59","author":[{"family":"Balfour","given":"Nicholas J."},{"family":"Ratnieks","given":"Francis L. W."}],"issued":{"date-parts":[["2022"]]}}},{"id":1290,"uris":["http://zotero.org/users/3599437/items/ILS777BG"],"itemData":{"id":1290,"type":"article-journal","abstract":"Weeds are major constraints on crop production, yet as part of the primary producers within farming systems, they may be important components of the agroecosystem. Using published literature, the role of weeds in arable systems for other above-ground trophic levels are examined. In the UK, there is evidence that weed flora have changed over the past century, with some species declining in abundance, whereas others have increased. There is also some evidence for a decline in the size of arable weed seedbanks. Some of these changes reflect improved agricultural efficiency, changes to more winter-sown crops in arable rotations and the use of more broad-spectrum herbicide combinations. Interrogation of a database of records of phytophagous insects associated with plant species in the UK reveals that many arable weed species support a high diversity of insect species. Reductions in abundances of host plants may affect associated insects and other taxa. A number of insect groups and farmland birds have shown marked population declines over the past 30 years. Correlational studies indicate that many of these declines are associated with changes in agricultural practices. Certainly reductions in food availability in winter and for nestling birds in spring are implicated in the declines of several bird species, notably the grey partridge, Perdix perdix. Thus weeds have a role within agroecosystems in supporting biodiversity more generally. An understanding of weed competitivity and the importance of weeds for insects and birds may allow the identification of the most important weed species. This may form the first step in balancing the needs for weed control with the requirements for biodiversity and more sustainable production methods.","container-title":"Weed Research","DOI":"10.1046/j.1365-3180.2003.00326.x","ISSN":"1365-3180","issue":"2","language":"en","note":"_eprint: https://onlinelibrary.wiley.com/doi/pdf/10.1046/j.1365-3180.2003.00326.x","page":"77-89","source":"Wiley Online Library","title":"The role of weeds in supporting biological diversity within crop fields","volume":"43","author":[{"family":"Marshall","given":"E J P"},{"family":"Brown","given":"V K"},{"family":"Boatman","given":"N D"},{"family":"Lutman","given":"P J W"},{"family":"Squire","given":"G R"},{"family":"Ward","given":"L K"}],"issued":{"date-parts":[["2003"]]}}}],"schema":"https://github.com/citation-style-language/schema/raw/master/csl-citation.json"} </w:instrText>
      </w:r>
      <w:r w:rsidR="00E41219" w:rsidRPr="006C3DC0">
        <w:rPr>
          <w:lang w:val="en-US"/>
        </w:rPr>
        <w:fldChar w:fldCharType="separate"/>
      </w:r>
      <w:r w:rsidR="00E41219" w:rsidRPr="006C3DC0">
        <w:rPr>
          <w:lang w:val="en-US"/>
        </w:rPr>
        <w:t>(Balfour and Ratnieks, 2022; Marshall et al., 2003)</w:t>
      </w:r>
      <w:r w:rsidR="00E41219" w:rsidRPr="006C3DC0">
        <w:fldChar w:fldCharType="end"/>
      </w:r>
      <w:r w:rsidR="00E41219" w:rsidRPr="006C3DC0">
        <w:rPr>
          <w:lang w:val="en-US"/>
        </w:rPr>
        <w:t xml:space="preserve">, offer habitat (CITE), reduce nitrate leaching </w:t>
      </w:r>
      <w:r w:rsidR="00E41219" w:rsidRPr="006C3DC0">
        <w:rPr>
          <w:i/>
          <w:iCs/>
          <w:lang w:val="en-US"/>
        </w:rPr>
        <w:t>(Blaix et al., 2018; Huang et al., 2018b)</w:t>
      </w:r>
      <w:r w:rsidR="00E41219" w:rsidRPr="006C3DC0">
        <w:rPr>
          <w:lang w:val="en-US"/>
        </w:rPr>
        <w:t xml:space="preserve"> </w:t>
      </w:r>
      <w:r w:rsidR="00E41219" w:rsidRPr="006C3DC0">
        <w:rPr>
          <w:lang w:val="en-US"/>
        </w:rPr>
        <w:fldChar w:fldCharType="begin"/>
      </w:r>
      <w:r w:rsidR="00E41219" w:rsidRPr="006C3DC0">
        <w:rPr>
          <w:lang w:val="en-US"/>
        </w:rPr>
        <w:instrText xml:space="preserve"> ADDIN ZOTERO_ITEM CSL_CITATION {"citationID":"2vc2BEbW","properties":{"formattedCitation":"(Sullivan et al., 2017)","plainCitation":"(Sullivan et al., 2017)","noteIndex":0},"citationItems":[{"id":1491,"uris":["http://zotero.org/users/3599437/items/J4YQVFCA"],"itemData":{"id":1491,"type":"article-journal","abstract":"This study investigated the ability of several plant species commonly occurring as weeds in Australian cropping systems to produce root exudates that inhibit nitrification via biological nitrification inhibition (BNI). Seedlings of wild radish (Raphanus raphanistrum), great brome grass (Bromus diandrus), wild oats (Avena fatua), annual ryegrass (Lolium rigidum) and Brachiaria humidicola (BNI-positive control) were grown in hydroponics, and the impact of their root exudates on NO3– production by Nitrosomonas europaea was measured in a pure-culture assay. A pot study (soil-based assay) was then conducted to confirm the ability of the weeds to inhibit nitrification in whole soils. All of the tested weeds slowed NO3– production by N. europaea in the pure-culture assay and significantly inhibited potential nitrification rates in soil-based assays. Root exudates produced by wild radish were the most inhibitory, slowing NO3– production by the pure culture of N. europaea by 53 ± 6.1% and completely inhibiting nitrification in the soil-based assay. The other weed species all had BNI capacities comparable to that of B. humidicola and significantly higher than that previously reported for wheat cv. Janz. This study demonstrates that several commonly occurring weed species have BNI capacity. By altering the N cycle, and retaining NH4+ in the soils in which they grow, these weeds may gain a competitive advantage over species (including crops) that prefer NO3–. Increasing our understanding of how weeds compete with crops for N may open avenues for novel weed-management strategies.","container-title":"Crop and Pasture Science","DOI":"10.1071/CP17243","ISSN":"1836-5795","issue":"8","journalAbbreviation":"Crop Pasture Sci.","language":"en","note":"publisher: CSIRO PUBLISHING","page":"798-804","source":"www.publish.csiro.au","title":"Biological nitrification inhibition by weeds: wild radish, brome grass, wild oats and annual ryegrass decrease nitrification rates in their rhizospheres","title-short":"Biological nitrification inhibition by weeds","volume":"68","author":[{"family":"Sullivan","given":"Cathryn A. O’"},{"family":"Whisson","given":"Kelley"},{"family":"Treble","given":"Karen"},{"family":"Roper","given":"Margaret M."},{"family":"Micin","given":"Shayne F."},{"family":"Ward","given":"Philip R."}],"issued":{"date-parts":[["2017",10,6]]}}}],"schema":"https://github.com/citation-style-language/schema/raw/master/csl-citation.json"} </w:instrText>
      </w:r>
      <w:r w:rsidR="00E41219" w:rsidRPr="006C3DC0">
        <w:rPr>
          <w:lang w:val="en-US"/>
        </w:rPr>
        <w:fldChar w:fldCharType="separate"/>
      </w:r>
      <w:r w:rsidR="00E41219" w:rsidRPr="006C3DC0">
        <w:rPr>
          <w:lang w:val="en-US"/>
        </w:rPr>
        <w:t>(Sullivan et al., 2017)</w:t>
      </w:r>
      <w:r w:rsidR="00E41219" w:rsidRPr="006C3DC0">
        <w:fldChar w:fldCharType="end"/>
      </w:r>
      <w:r w:rsidR="00E41219" w:rsidRPr="006C3DC0">
        <w:rPr>
          <w:lang w:val="en-US"/>
        </w:rPr>
        <w:t xml:space="preserve">, contribute to soil organic carbon  </w:t>
      </w:r>
      <w:r w:rsidR="00E41219" w:rsidRPr="006C3DC0">
        <w:rPr>
          <w:lang w:val="en-US"/>
        </w:rPr>
        <w:fldChar w:fldCharType="begin"/>
      </w:r>
      <w:r w:rsidR="00E41219" w:rsidRPr="006C3DC0">
        <w:rPr>
          <w:lang w:val="en-US"/>
        </w:rPr>
        <w:instrText xml:space="preserve"> ADDIN ZOTERO_ITEM CSL_CITATION {"citationID":"c5pMaXqX","properties":{"formattedCitation":"(Jian et al., 2020)","plainCitation":"(Jian et al., 2020)","noteIndex":0},"citationItems":[{"id":1482,"uris":["http://zotero.org/users/3599437/items/EL75SHRF"],"itemData":{"id":1482,"type":"article-journal","abstract":"Including cover crops within agricultural rotations may increase soil organic carbon (SOC). However, contradictory findings generated by on-site experiments make it necessary to perform a comprehensive assessment of interactions between cover crops, environmental and management factors, and changes in SOC. In this study, we collected data from studies that compared agricultural production with and without cover crops, and then analyzed those data using meta-analysis and regression. Our results showed that including cover crops into rotations significantly increased SOC, with an overall mean change of 15.5% (95% confidence interval of 13.8%–17.3%). Whereas medium-textured soils had highest SOC stocks (overall means of 39 Mg ha−1 with and 37 Mg ha−1 without cover crops), fine-textured soils showed the greatest increase in SOC after the inclusion of cover crops (mean change of 39.5%). Coarse-textured (11.4%) and medium-textured soils (10.3%) had comparatively smaller changes in SOC, while soils in temperate climates had greater changes (18.7%) than those in tropical climates (7.2%). Cover crop mixtures resulted in greater increases in SOC compared to mono-species cover crops, and using legumes caused greater SOC increases than grass species. Cover crop biomass positively affected SOC changes while carbon:nitrogen ratio of cover crop biomass was negatively correlated with SOC changes. Cover cropping was associated with significant SOC increases in shallow soils (≤30 cm), but not in subsurface soils (&gt;30 cm). The regression analysis revealed that SOC changes from cover cropping correlated with improvements in soil quality, specifically decreased runoff and erosion and increased mineralizable carbon, mineralizable nitrogen, and soil nitrogen. Soil carbon change was also affected by annual temperature, number of years after start of cover crop usage, latitude, and initial SOC concentrations. Finally, the mean rate of carbon sequestration from cover cropping across all studies was 0.56 Mg ha−1 yr−1. If 15% of current global cropland were to adopt cover crops, this value would translate to 0.16 ± 0.06 Pg of carbon sequestered per year, which is ~1–2% of current fossil fuels emissions. Altogether, these results indicated that the inclusion of cover crops into agricultural rotations can enhance soil carbon concentrations, improve many soil quality parameters, and serve as a potential sink for atmosphere CO2.","container-title":"Soil Biology and Biochemistry","DOI":"10.1016/j.soilbio.2020.107735","ISSN":"0038-0717","journalAbbreviation":"Soil Biology and Biochemistry","page":"107735","source":"ScienceDirect","title":"A meta-analysis of global cropland soil carbon changes due to cover cropping","volume":"143","author":[{"family":"Jian","given":"Jinshi"},{"family":"Du","given":"Xuan"},{"family":"Reiter","given":"Mark S."},{"family":"Stewart","given":"Ryan D."}],"issued":{"date-parts":[["2020",4,1]]}}}],"schema":"https://github.com/citation-style-language/schema/raw/master/csl-citation.json"} </w:instrText>
      </w:r>
      <w:r w:rsidR="00E41219" w:rsidRPr="006C3DC0">
        <w:rPr>
          <w:lang w:val="en-US"/>
        </w:rPr>
        <w:fldChar w:fldCharType="separate"/>
      </w:r>
      <w:r w:rsidR="00E41219" w:rsidRPr="006C3DC0">
        <w:rPr>
          <w:lang w:val="en-US"/>
        </w:rPr>
        <w:t>(Jian et al., 2020)</w:t>
      </w:r>
      <w:r w:rsidR="00E41219" w:rsidRPr="006C3DC0">
        <w:fldChar w:fldCharType="end"/>
      </w:r>
      <w:r w:rsidR="00E41219" w:rsidRPr="006C3DC0">
        <w:rPr>
          <w:lang w:val="en-US"/>
        </w:rPr>
        <w:t xml:space="preserve">, or mitigate soil erosion </w:t>
      </w:r>
      <w:r w:rsidR="00E41219" w:rsidRPr="006C3DC0">
        <w:rPr>
          <w:lang w:val="en-US"/>
        </w:rPr>
        <w:fldChar w:fldCharType="begin"/>
      </w:r>
      <w:r w:rsidR="00E41219" w:rsidRPr="006C3DC0">
        <w:rPr>
          <w:lang w:val="en-US"/>
        </w:rPr>
        <w:instrText xml:space="preserve"> ADDIN ZOTERO_ITEM CSL_CITATION {"citationID":"uzAw4jiw","properties":{"formattedCitation":"(Moreau et al., 2020)","plainCitation":"(Moreau et al., 2020)","noteIndex":0},"citationItems":[{"id":1502,"uris":["http://zotero.org/users/3599437/items/A8XSM9YL"],"itemData":{"id":1502,"type":"article-journal","abstract":"Weeds are often solely considered with a negative viewpoint, but they may also provide services for agroecosystems. Especially, the residual weed flora that is tolerated by integrated crop protection may contribute to a reduction of nitrate leaching and soil erosion during the summer and autumn fallow. To date, the determinants underlying these environmental weed benefits are largely unknown. The present study developed new indicators to account for the potential beneficial role of annual weed flora to reduce nitrate leaching and soil erosion at the field scale, and then calculated them from the outputs of a weed dynamics model. The aim was to analyse which cropping systems facilitate residual weed flora to reduce nitrate leaching and soil erosion, while minimizing negative weed impacts on crop production. When developing the indicators, the potential weed-based reduction of nitrate leaching was considered to increase with both the growth of the weed flora and the weed species potential to take up nitrogen; the potential weed-based reduction of soil erosion was assumed to increase with soil cover by weeds when soil cover by cash crops was low. Our simulation study included 259 arable cropping systems (covering a wide range of herbicide and tillage intensity, with each cropping system simulated over 28 years and repeated 10 times with 10 different weather series) in which the dynamics of 25 annual weed species was simulated. Simulations showed that the cropping systems promoting a high potential weed-based reduction of nitrate leaching were generally also those with a high potential weed-based reduction of soil erosion, pointing to a compatibility between these benefits provided by the weed flora. However, the cropping systems promoting these environmental benefits were generally also those that presented the highest crop yield losses. Tillage and crop rotation were identified as the cultural techniques with the greatest influence on the potential weed-based reduction of nitrate leaching and soil erosion, while herbicides had a more limited effect. Most of the studied cropping systems (representing “real situations” in which farmers or experimenters make the decisions about crop rotations and cultural techniques) tended to favour low crop yield losses rather than high weed-based environmental benefits. Interestingly, a few systems achieved both objectives. Systems that achieved relatively low crop yield losses and high weed-based environmental benefits mainly combined infrequent superficial tillage operations, with a low proportion of winter crops in the rotation and a very low tillage depth. Finally, only a few weed traits determined the role of the weed flora to potentially reduce nitrate leaching and soil erosion. They were seed traits (seed lipid content, seed area per weight and seed coat thickness), driving the early and fast appearance of the weed canopy after weed seed shed. This suggests that, for annual weed species, a high weed flora potential to reduce nitrate leaching and soil erosion is not restricted to specific weed species able to take up nitrogen and cover soil. Thus, our simulation study indicates that such a high potential to reduce nitrate leaching and soil erosion could therefore be reached in very different agroecosystems in terms of weed seed bank.","container-title":"European Journal of Agronomy","DOI":"10.1016/j.eja.2020.126015","ISSN":"1161-0301","journalAbbreviation":"European Journal of Agronomy","page":"126015","source":"ScienceDirect","title":"In which cropping systems can residual weeds reduce nitrate leaching and soil erosion?","volume":"119","author":[{"family":"Moreau","given":"Delphine"},{"family":"Pointurier","given":"Olivia"},{"family":"Nicolardot","given":"Bernard"},{"family":"Villerd","given":"Jean"},{"family":"Colbach","given":"Nathalie"}],"issued":{"date-parts":[["2020",9,1]]}}}],"schema":"https://github.com/citation-style-language/schema/raw/master/csl-citation.json"} </w:instrText>
      </w:r>
      <w:r w:rsidR="00E41219" w:rsidRPr="006C3DC0">
        <w:rPr>
          <w:lang w:val="en-US"/>
        </w:rPr>
        <w:fldChar w:fldCharType="separate"/>
      </w:r>
      <w:r w:rsidR="00E41219" w:rsidRPr="006C3DC0">
        <w:rPr>
          <w:lang w:val="en-US"/>
        </w:rPr>
        <w:t>(Moreau et al., 2020)</w:t>
      </w:r>
      <w:r w:rsidR="00E41219" w:rsidRPr="006C3DC0">
        <w:fldChar w:fldCharType="end"/>
      </w:r>
      <w:r w:rsidR="00E41219">
        <w:rPr>
          <w:lang w:val="en-US"/>
        </w:rPr>
        <w:t xml:space="preserve">. The potential agronomic harm they may present must also be taken into account, considering both current risks and legacies of risk (CITE). Estimating ecological value and agronomic harm of species and communities is tricky. Several frameworks have been proposed, but each presents limitations based on data availability, generalizability, and XXX </w:t>
      </w:r>
      <w:r w:rsidR="00E41219" w:rsidRPr="006C3DC0">
        <w:rPr>
          <w:lang w:val="en-US"/>
        </w:rPr>
        <w:fldChar w:fldCharType="begin"/>
      </w:r>
      <w:r w:rsidR="00E41219" w:rsidRPr="006C3DC0">
        <w:rPr>
          <w:lang w:val="en-US"/>
        </w:rPr>
        <w:instrText xml:space="preserve"> ADDIN ZOTERO_ITEM CSL_CITATION {"citationID":"Cek6lMKj","properties":{"formattedCitation":"(Esposito et al., 2023; Petit et al., 2011; Storkey and Westbury, 2007)","plainCitation":"(Esposito et al., 2023; Petit et al., 2011; Storkey and Westbury, 2007)","noteIndex":0},"citationItems":[{"id":1254,"uris":["http://zotero.org/users/3599437/items/ECHP6WSE"],"itemData":{"id":1254,"type":"article-journal","abstract":"Weeds are a fundamental component of agroecosystems and, if not appropriately managed, can cause severe crop yield losses. New perspectives on weed management are required, because current approaches, such as herbicide application or soil tillage, have significant environmental and agronomic drawbacks. We propose the concept of “neutral weed communities,” which are weed communities that coexist with crops and do not negatively affect crop yield and quality compared with weed-free conditions. Management practices that promote neutral weed communities can enable reduced use of herbicides and soil tillage while enhancing ecosystem services and biodiversity. We report scientific evidence of neutral weed communities and survey ecological explanations for why different weed communities have different effects on crop production. We also propose two weed management approaches for attaining neutral weed communities. The first approach aims to maximize weed biodiversity using traditional approaches such as cropping system diversification and integrated weed management. Higher weed biodiversity is associated with lower dominance of competitive weed species that reduce crop yield. The second approach relies on modern tools such as robots and biotechnology to manipulate the density of specific weed species. This approach can remove highly problematic species and minimize niche overlap between the weeds and crops. Given the complexity of interactions among crops, weeds, and other components of the agroecosystem, we highlight the need for multidisciplinary research to illuminate mechanisms that determine the neutrality of weed communities.","container-title":"Weed Science","DOI":"10.1017/wsc.2023.27","ISSN":"0043-1745, 1550-2759","issue":"4","journalAbbreviation":"Weed Sci","language":"en","page":"301-311","source":"DOI.org (Crossref)","title":"Neutral weed communities: the intersection between crop productivity, biodiversity, and weed ecosystem services","title-short":"Neutral weed communities","volume":"71","author":[{"family":"Esposito","given":"Marco"},{"family":"Westbrook","given":"Anna S."},{"family":"Maggio","given":"Albino"},{"family":"Cirillo","given":"Valerio"},{"family":"DiTommaso","given":"Antonio"}],"issued":{"date-parts":[["2023",7]]}}},{"id":742,"uris":["http://zotero.org/users/3599437/items/V7UKAAP3"],"itemData":{"id":742,"type":"article-journal","abstract":"There is currently an increasing societal and political shift towards more sustainable agricultural systems to provide both food production and ecological biodiversity levels. This shift has recently modiﬁed scientiﬁc questioning and brought up new research challenges for agro-ecological research. This is the case in particular for weed management, where issues have so far largely focused on the conﬂict between weeds and crop productivity. Here, we review recent ﬁndings that have led to a changing perception on weeds in agro-ecosystems and upcoming areas in terms of weed management options. Our main ﬁndings are that weeds have numerous interactions with other organisms and, in turn, some of these interactions can have direct, either negative or positive, eﬀects on the functioning of the agro-ecosystem. Many interactions are species-speciﬁc, and therefore assessing the role of weed communities in the agro-ecosystem would beneﬁt from further development in the functional grouping of weed species. In terms of weed management our review shows that alternative cropping systems can deliver both good levels of crop productivity and of weed management at the ﬁeld level. Weeds respond to landscape attributes and there is a need to fully assess the scope for utilizing the spatio-temporal organization of cropping systems and uncultivated habitats as a tool for minimizing weed infestations. Weeds are also submitted to biological regulation through the predation of their seeds and further research is required to assess the eﬀect of cropping systems and landscape on levels of weed natural enemies, and therefore on the potential contribution of biological regulation in the management of weeds.","container-title":"Agronomy for Sustainable Development","DOI":"10.1051/agro/2010020","ISSN":"1774-0746, 1773-0155","issue":"2","journalAbbreviation":"Agronomy Sust. Developm.","language":"en","page":"309-317","source":"DOI.org (Crossref)","title":"Weeds in agricultural landscapes. A review","volume":"31","author":[{"family":"Petit","given":"Sandrine"},{"family":"Boursault","given":"Aline"},{"family":"Guilloux","given":"Mélanie"},{"family":"Munier-Jolain","given":"Nicolas"},{"family":"Reboud","given":"Xavier"}],"issued":{"date-parts":[["2011",4]]}}},{"id":669,"uris":["http://zotero.org/users/3599437/items/Q95J6ZVE"],"itemData":{"id":669,"type":"article-journal","abstract":"As a result of the recent intensification of crop production, the abundance and diversity of UK arable weeds adapted to cultivated land have declined, with an associated reduction in farmland birds. A number of questions need to be addressed when considering how these declines can be reversed. Firstly, can the delivery of crop production and biodiversity be reconciled by spatially separating cropping from designated wildlife areas? A number of subsidised environmental schemes in the UK take this approach and are focused on establishing vegetation cover on uncropped land. However, because of the lack of regular disturbance in these habitats, they are dominated by perennials and they therefore have limited potential for promoting the recovery of annual weed populations. A number of farmland bird species also rely on the provision of resources in field centres, and it is therefore likely that the recovery of their populations will rely on weed management options targeted at the cropped areas of the field. This raises two further questions. Firstly, is it possible to identify beneficial weed species that are relatively poor competitors with the crop and also have biodiversity value? Secondly, are the tools available to manage these species at acceptable levels while controlling pernicious weeds? A number of approaches are being employed to answer these questions, including predicting yield loss from weed competition models and exploiting herbicide selectivity. The further development of these tools is crucial if farmer opposition to managing weeds in crops is to be overcome. Copyright © 2007 Society of Chemical Industry","container-title":"Pest Management Science","DOI":"10.1002/ps.1375","ISSN":"1526-4998","issue":"6","language":"en","license":"Copyright © 2007 Society of Chemical Industry","note":"_eprint: https://onlinelibrary.wiley.com/doi/pdf/10.1002/ps.1375","page":"517-523","source":"Wiley Online Library","title":"Managing arable weeds for biodiversity","volume":"63","author":[{"family":"Storkey","given":"Jonathan"},{"family":"Westbury","given":"Duncan B"}],"issued":{"date-parts":[["2007"]]}}}],"schema":"https://github.com/citation-style-language/schema/raw/master/csl-citation.json"} </w:instrText>
      </w:r>
      <w:r w:rsidR="00E41219" w:rsidRPr="006C3DC0">
        <w:rPr>
          <w:lang w:val="en-US"/>
        </w:rPr>
        <w:fldChar w:fldCharType="separate"/>
      </w:r>
      <w:r w:rsidR="00E41219" w:rsidRPr="006C3DC0">
        <w:rPr>
          <w:lang w:val="en-US"/>
        </w:rPr>
        <w:t>(Esposito et al., 2023; Petit et al., 2011; Storkey and Westbury, 2007)</w:t>
      </w:r>
      <w:r w:rsidR="00E41219" w:rsidRPr="006C3DC0">
        <w:fldChar w:fldCharType="end"/>
      </w:r>
      <w:r w:rsidR="00E41219">
        <w:t xml:space="preserve">. The lack of a universally accepted methodology precludes comparisons between studies, but within the context of a single study, a given approach may provide useful insight (XX). </w:t>
      </w:r>
    </w:p>
    <w:p w14:paraId="07EE6281" w14:textId="04ADDCCD" w:rsidR="00CD7E08" w:rsidRDefault="006C3DC0" w:rsidP="006C3DC0">
      <w:pPr>
        <w:spacing w:line="360" w:lineRule="auto"/>
        <w:rPr>
          <w:lang w:val="en-US"/>
        </w:rPr>
      </w:pPr>
      <w:r w:rsidRPr="006C3DC0">
        <w:rPr>
          <w:lang w:val="en-US"/>
        </w:rPr>
        <w:t xml:space="preserve">The interaction between cover crops, tillage and residue management is complex, and it is unclear how these factors might be combined to optimize the services provided by fall </w:t>
      </w:r>
      <w:r w:rsidR="00E41219">
        <w:rPr>
          <w:lang w:val="en-US"/>
        </w:rPr>
        <w:t>plant communities</w:t>
      </w:r>
      <w:r w:rsidR="006F3CE0">
        <w:rPr>
          <w:lang w:val="en-US"/>
        </w:rPr>
        <w:t xml:space="preserve"> between cash crops</w:t>
      </w:r>
      <w:r w:rsidRPr="006C3DC0">
        <w:rPr>
          <w:lang w:val="en-US"/>
        </w:rPr>
        <w:t xml:space="preserve">. </w:t>
      </w:r>
      <w:r w:rsidR="00CD7E08">
        <w:rPr>
          <w:lang w:val="en-US"/>
        </w:rPr>
        <w:t xml:space="preserve">We hypothesized there would be tradeoffs between outcomes, with no one system offering the best performance in all desired areas. </w:t>
      </w:r>
    </w:p>
    <w:p w14:paraId="1A58BE66" w14:textId="616DFB71" w:rsidR="006C3DC0" w:rsidRPr="006C3DC0" w:rsidRDefault="006C3DC0" w:rsidP="006C3DC0">
      <w:pPr>
        <w:spacing w:line="360" w:lineRule="auto"/>
        <w:rPr>
          <w:lang w:val="en-US"/>
        </w:rPr>
      </w:pPr>
      <w:r w:rsidRPr="006C3DC0">
        <w:rPr>
          <w:lang w:val="en-US"/>
        </w:rPr>
        <w:t xml:space="preserve">To better understand </w:t>
      </w:r>
      <w:r w:rsidR="00CD7E08">
        <w:rPr>
          <w:lang w:val="en-US"/>
        </w:rPr>
        <w:t xml:space="preserve">these tradeoffs and </w:t>
      </w:r>
      <w:r w:rsidRPr="006C3DC0">
        <w:rPr>
          <w:lang w:val="en-US"/>
        </w:rPr>
        <w:t xml:space="preserve">the potential for optimizing fall non-crop vegetation services, we embedded five cover cropping systems within six combinations of tillage and residue managements, resulting in 30 unique cropping systems. Using these 30 systems as a platform, </w:t>
      </w:r>
      <w:r w:rsidR="00CD7E08">
        <w:rPr>
          <w:lang w:val="en-US"/>
        </w:rPr>
        <w:t xml:space="preserve">we </w:t>
      </w:r>
      <w:r w:rsidRPr="006C3DC0">
        <w:rPr>
          <w:lang w:val="en-US"/>
        </w:rPr>
        <w:t>examine</w:t>
      </w:r>
      <w:r w:rsidR="00CD7E08">
        <w:rPr>
          <w:lang w:val="en-US"/>
        </w:rPr>
        <w:t>d</w:t>
      </w:r>
      <w:r w:rsidRPr="006C3DC0">
        <w:rPr>
          <w:lang w:val="en-US"/>
        </w:rPr>
        <w:t xml:space="preserve"> how, when compared to a no cover control, addition of cover crops </w:t>
      </w:r>
      <w:r w:rsidR="00CD7E08">
        <w:rPr>
          <w:lang w:val="en-US"/>
        </w:rPr>
        <w:t xml:space="preserve">to different tillage/residue cropping systems </w:t>
      </w:r>
      <w:r w:rsidRPr="006C3DC0">
        <w:rPr>
          <w:lang w:val="en-US"/>
        </w:rPr>
        <w:t>impacted:</w:t>
      </w:r>
    </w:p>
    <w:p w14:paraId="2985A726" w14:textId="77777777" w:rsidR="006F3CE0" w:rsidRPr="006C3DC0" w:rsidRDefault="006F3CE0" w:rsidP="006F3CE0">
      <w:pPr>
        <w:numPr>
          <w:ilvl w:val="0"/>
          <w:numId w:val="1"/>
        </w:numPr>
        <w:spacing w:line="360" w:lineRule="auto"/>
        <w:rPr>
          <w:lang w:val="en-US"/>
        </w:rPr>
      </w:pPr>
      <w:r w:rsidRPr="006C3DC0">
        <w:rPr>
          <w:lang w:val="en-US"/>
        </w:rPr>
        <w:t>Cash crop yields</w:t>
      </w:r>
    </w:p>
    <w:p w14:paraId="1192CDFD" w14:textId="77777777" w:rsidR="006C3DC0" w:rsidRPr="006C3DC0" w:rsidRDefault="006C3DC0" w:rsidP="006F3CE0">
      <w:pPr>
        <w:numPr>
          <w:ilvl w:val="0"/>
          <w:numId w:val="1"/>
        </w:numPr>
        <w:spacing w:line="360" w:lineRule="auto"/>
        <w:rPr>
          <w:lang w:val="en-US"/>
        </w:rPr>
      </w:pPr>
      <w:r w:rsidRPr="006C3DC0">
        <w:rPr>
          <w:lang w:val="en-US"/>
        </w:rPr>
        <w:t>Soil protection</w:t>
      </w:r>
    </w:p>
    <w:p w14:paraId="47F50C6C" w14:textId="3AD60C0B" w:rsidR="006C3DC0" w:rsidRPr="006C3DC0" w:rsidRDefault="006F3CE0" w:rsidP="006F3CE0">
      <w:pPr>
        <w:numPr>
          <w:ilvl w:val="0"/>
          <w:numId w:val="1"/>
        </w:numPr>
        <w:spacing w:line="360" w:lineRule="auto"/>
        <w:rPr>
          <w:lang w:val="en-US"/>
        </w:rPr>
      </w:pPr>
      <w:r>
        <w:rPr>
          <w:lang w:val="en-US"/>
        </w:rPr>
        <w:t>Potential r</w:t>
      </w:r>
      <w:r w:rsidR="006C3DC0" w:rsidRPr="006C3DC0">
        <w:rPr>
          <w:lang w:val="en-US"/>
        </w:rPr>
        <w:t>eduction of nitrate leaching</w:t>
      </w:r>
    </w:p>
    <w:p w14:paraId="1EEA56D7" w14:textId="12BEA121" w:rsidR="006C3DC0" w:rsidRPr="006C3DC0" w:rsidRDefault="006F3CE0" w:rsidP="006F3CE0">
      <w:pPr>
        <w:numPr>
          <w:ilvl w:val="0"/>
          <w:numId w:val="1"/>
        </w:numPr>
        <w:spacing w:line="360" w:lineRule="auto"/>
        <w:rPr>
          <w:lang w:val="en-US"/>
        </w:rPr>
      </w:pPr>
      <w:r>
        <w:rPr>
          <w:lang w:val="en-US"/>
        </w:rPr>
        <w:t>Potential p</w:t>
      </w:r>
      <w:r w:rsidR="006C3DC0" w:rsidRPr="006C3DC0">
        <w:rPr>
          <w:lang w:val="en-US"/>
        </w:rPr>
        <w:t>lant community ecological value</w:t>
      </w:r>
    </w:p>
    <w:p w14:paraId="4FBD8672" w14:textId="371FB82C" w:rsidR="006C3DC0" w:rsidRPr="006C3DC0" w:rsidRDefault="006F3CE0" w:rsidP="006F3CE0">
      <w:pPr>
        <w:numPr>
          <w:ilvl w:val="0"/>
          <w:numId w:val="1"/>
        </w:numPr>
        <w:spacing w:line="360" w:lineRule="auto"/>
        <w:rPr>
          <w:lang w:val="en-US"/>
        </w:rPr>
      </w:pPr>
      <w:r>
        <w:rPr>
          <w:lang w:val="en-US"/>
        </w:rPr>
        <w:t xml:space="preserve">Potential to cause future </w:t>
      </w:r>
      <w:r w:rsidR="006C3DC0" w:rsidRPr="006C3DC0">
        <w:rPr>
          <w:lang w:val="en-US"/>
        </w:rPr>
        <w:t>agronomic harm</w:t>
      </w:r>
    </w:p>
    <w:p w14:paraId="4021A756" w14:textId="7433C05D" w:rsidR="0053182E" w:rsidRPr="00045088" w:rsidRDefault="00CD7E08" w:rsidP="00CD7E08">
      <w:pPr>
        <w:spacing w:line="360" w:lineRule="auto"/>
      </w:pPr>
      <w:r w:rsidRPr="006C3DC0">
        <w:rPr>
          <w:lang w:val="en-US"/>
        </w:rPr>
        <w:t>These o</w:t>
      </w:r>
      <w:r>
        <w:rPr>
          <w:lang w:val="en-US"/>
        </w:rPr>
        <w:t xml:space="preserve">utcomes </w:t>
      </w:r>
      <w:r w:rsidRPr="006C3DC0">
        <w:rPr>
          <w:lang w:val="en-US"/>
        </w:rPr>
        <w:t xml:space="preserve">were </w:t>
      </w:r>
      <w:r>
        <w:rPr>
          <w:lang w:val="en-US"/>
        </w:rPr>
        <w:t xml:space="preserve">chosen to </w:t>
      </w:r>
      <w:r w:rsidRPr="006C3DC0">
        <w:rPr>
          <w:lang w:val="en-US"/>
        </w:rPr>
        <w:t>promote understanding of how cover cropping systems interact with tillage, residue removal, and weather in provision of various services and dis-</w:t>
      </w:r>
      <w:r w:rsidRPr="006C3DC0">
        <w:rPr>
          <w:lang w:val="en-US"/>
        </w:rPr>
        <w:lastRenderedPageBreak/>
        <w:t>services.</w:t>
      </w:r>
      <w:r>
        <w:rPr>
          <w:lang w:val="en-US"/>
        </w:rPr>
        <w:t xml:space="preserve"> </w:t>
      </w:r>
      <w:r w:rsidR="006C3DC0" w:rsidRPr="006C3DC0">
        <w:rPr>
          <w:lang w:val="en-US"/>
        </w:rPr>
        <w:t>We d</w:t>
      </w:r>
      <w:r>
        <w:rPr>
          <w:lang w:val="en-US"/>
        </w:rPr>
        <w:t>id</w:t>
      </w:r>
      <w:r w:rsidR="006C3DC0" w:rsidRPr="006C3DC0">
        <w:rPr>
          <w:lang w:val="en-US"/>
        </w:rPr>
        <w:t xml:space="preserve"> not include the costs associated with cover crop implementation </w:t>
      </w:r>
      <w:r w:rsidR="006F3CE0">
        <w:rPr>
          <w:lang w:val="en-US"/>
        </w:rPr>
        <w:t xml:space="preserve">due to the complexity and highly contextual nature of such estimates. For example, </w:t>
      </w:r>
      <w:r w:rsidR="006C3DC0" w:rsidRPr="006C3DC0">
        <w:rPr>
          <w:lang w:val="en-US"/>
        </w:rPr>
        <w:t xml:space="preserve">in Denmark, cover crop implementations may be mandatory </w:t>
      </w:r>
      <w:r w:rsidR="006F3CE0">
        <w:rPr>
          <w:lang w:val="en-US"/>
        </w:rPr>
        <w:t xml:space="preserve">for receipt of </w:t>
      </w:r>
      <w:r w:rsidR="006C3DC0" w:rsidRPr="006C3DC0">
        <w:rPr>
          <w:lang w:val="en-US"/>
        </w:rPr>
        <w:t>subsidi</w:t>
      </w:r>
      <w:r w:rsidR="006F3CE0">
        <w:rPr>
          <w:lang w:val="en-US"/>
        </w:rPr>
        <w:t xml:space="preserve">es that vary by farm, rendering the actual cost calculations beyond the scope of this study. </w:t>
      </w:r>
      <w:r w:rsidR="006C3DC0" w:rsidRPr="006C3DC0">
        <w:rPr>
          <w:lang w:val="en-US"/>
        </w:rPr>
        <w:t xml:space="preserve">We provide an estimate of costs in supplemental material, but exclude that information from this analysis in order to focus on </w:t>
      </w:r>
      <w:r w:rsidR="006F3CE0">
        <w:rPr>
          <w:lang w:val="en-US"/>
        </w:rPr>
        <w:t xml:space="preserve">biophysical </w:t>
      </w:r>
      <w:r w:rsidR="006C3DC0" w:rsidRPr="006C3DC0">
        <w:rPr>
          <w:lang w:val="en-US"/>
        </w:rPr>
        <w:t>outcomes.</w:t>
      </w:r>
      <w:r w:rsidR="0053182E" w:rsidRPr="00045088">
        <w:t xml:space="preserve"> </w:t>
      </w:r>
    </w:p>
    <w:p w14:paraId="661D56EC" w14:textId="77777777" w:rsidR="00DF07E9" w:rsidRPr="00045088" w:rsidRDefault="00DF07E9" w:rsidP="00045088">
      <w:pPr>
        <w:spacing w:line="360" w:lineRule="auto"/>
      </w:pPr>
    </w:p>
    <w:p w14:paraId="0E9C7CEB" w14:textId="21A8C5B2" w:rsidR="0053182E" w:rsidRPr="003C7F19" w:rsidRDefault="008141BB" w:rsidP="00045088">
      <w:pPr>
        <w:spacing w:line="360" w:lineRule="auto"/>
        <w:rPr>
          <w:b/>
          <w:bCs/>
        </w:rPr>
      </w:pPr>
      <w:r w:rsidRPr="003C7F19">
        <w:rPr>
          <w:b/>
          <w:bCs/>
        </w:rPr>
        <w:t xml:space="preserve">2  </w:t>
      </w:r>
      <w:r w:rsidR="00BA7F3D" w:rsidRPr="003C7F19">
        <w:rPr>
          <w:b/>
          <w:bCs/>
        </w:rPr>
        <w:t>MATERIALS AND METHODS</w:t>
      </w:r>
    </w:p>
    <w:p w14:paraId="24710D67" w14:textId="77777777" w:rsidR="0053182E" w:rsidRPr="00045088" w:rsidRDefault="0053182E" w:rsidP="00045088">
      <w:pPr>
        <w:spacing w:line="360" w:lineRule="auto"/>
      </w:pPr>
    </w:p>
    <w:p w14:paraId="201BED94" w14:textId="12EC3456" w:rsidR="0053182E" w:rsidRDefault="008141BB" w:rsidP="00045088">
      <w:pPr>
        <w:spacing w:line="360" w:lineRule="auto"/>
        <w:rPr>
          <w:b/>
          <w:bCs/>
        </w:rPr>
      </w:pPr>
      <w:r w:rsidRPr="003C7F19">
        <w:rPr>
          <w:b/>
          <w:bCs/>
        </w:rPr>
        <w:t xml:space="preserve">2.1 </w:t>
      </w:r>
      <w:r w:rsidR="00CD7E08">
        <w:rPr>
          <w:b/>
          <w:bCs/>
        </w:rPr>
        <w:t>Field management</w:t>
      </w:r>
    </w:p>
    <w:p w14:paraId="5E8A89A4" w14:textId="7FA56B77" w:rsidR="00CD7E08" w:rsidRPr="00CD7E08" w:rsidRDefault="00CD7E08" w:rsidP="00CD7E08">
      <w:pPr>
        <w:spacing w:line="360" w:lineRule="auto"/>
        <w:rPr>
          <w:lang w:val="en-US"/>
        </w:rPr>
      </w:pPr>
      <w:r w:rsidRPr="00CD7E08">
        <w:rPr>
          <w:lang w:val="en-US"/>
        </w:rPr>
        <w:t xml:space="preserve">This study was conducted within a larger long-term crop rotation and tillage continuous experiment which was established in 2002 on a sandy loam at Flakkebjerg Research Centre, Denmark (55.317, 11.400). </w:t>
      </w:r>
      <w:r w:rsidR="00DA570F">
        <w:rPr>
          <w:lang w:val="en-US"/>
        </w:rPr>
        <w:t xml:space="preserve">The 30-year average air temperature and precipitation for this site 8.9 degrees Celsius and 589 mm, respectively. </w:t>
      </w:r>
      <w:r w:rsidRPr="00CD7E08">
        <w:rPr>
          <w:lang w:val="en-US"/>
        </w:rPr>
        <w:t xml:space="preserve">Averaged across the trial site, </w:t>
      </w:r>
      <w:commentRangeStart w:id="1"/>
      <w:r w:rsidRPr="00CD7E08">
        <w:rPr>
          <w:lang w:val="en-US"/>
        </w:rPr>
        <w:t>soil texture is 14.7% clay (&lt;2 mm), 13.7% silt (2-20 mm), 42.6% fine sand (20-200 mm), and 27% coarse sand (200-2000 mm), with 1.2% organic carbon content (0-25 cm).</w:t>
      </w:r>
      <w:commentRangeEnd w:id="1"/>
      <w:r w:rsidRPr="00CD7E08">
        <w:rPr>
          <w:lang w:val="da-DK"/>
        </w:rPr>
        <w:commentReference w:id="1"/>
      </w:r>
      <w:r w:rsidRPr="00CD7E08">
        <w:rPr>
          <w:lang w:val="en-US"/>
        </w:rPr>
        <w:t xml:space="preserve">  The overall experimental design of the long-term experiment is a split-split plot with four replications. The main plot factor is cropping system (four levels), the subplot is primary tillage system (four levels) and the sub-subplot (six levels) was established to accommodate various sub-treatments within rotation and tillage combinations [see for example Melander et al. (2008)]. The cash crop sequence during the present study was spring barley (</w:t>
      </w:r>
      <w:r w:rsidRPr="00CD7E08">
        <w:rPr>
          <w:i/>
          <w:iCs/>
          <w:lang w:val="en-US"/>
        </w:rPr>
        <w:t xml:space="preserve">Hordeum vulgare </w:t>
      </w:r>
      <w:r w:rsidRPr="00CD7E08">
        <w:rPr>
          <w:lang w:val="en-US"/>
        </w:rPr>
        <w:t>L.) sown 19 April 2018, spring oat (</w:t>
      </w:r>
      <w:r w:rsidRPr="00CD7E08">
        <w:rPr>
          <w:i/>
          <w:iCs/>
          <w:lang w:val="en-US"/>
        </w:rPr>
        <w:t>Avena sativa</w:t>
      </w:r>
      <w:r w:rsidRPr="00CD7E08">
        <w:rPr>
          <w:lang w:val="en-US"/>
        </w:rPr>
        <w:t xml:space="preserve"> L.) sown 4 April 2019 and faba beans (</w:t>
      </w:r>
      <w:r w:rsidRPr="00CD7E08">
        <w:rPr>
          <w:i/>
          <w:iCs/>
          <w:lang w:val="en-US"/>
        </w:rPr>
        <w:t>Vicia faba</w:t>
      </w:r>
      <w:r w:rsidRPr="00CD7E08">
        <w:rPr>
          <w:lang w:val="en-US"/>
        </w:rPr>
        <w:t xml:space="preserve"> L.) sown 15 April 2020. Detailed tables and a visual of the study’s agronomic management are presented in supplemental material, but are described here briefly. </w:t>
      </w:r>
    </w:p>
    <w:p w14:paraId="0AC6131F" w14:textId="1ABD12F3" w:rsidR="00BA7F3D" w:rsidRDefault="00BA7F3D" w:rsidP="00045088">
      <w:pPr>
        <w:spacing w:line="360" w:lineRule="auto"/>
        <w:rPr>
          <w:b/>
          <w:bCs/>
        </w:rPr>
      </w:pPr>
      <w:r w:rsidRPr="003C7F19">
        <w:rPr>
          <w:b/>
          <w:bCs/>
        </w:rPr>
        <w:t xml:space="preserve">2.1.1  </w:t>
      </w:r>
      <w:r w:rsidR="001A455C">
        <w:rPr>
          <w:b/>
          <w:bCs/>
        </w:rPr>
        <w:t>Study design</w:t>
      </w:r>
    </w:p>
    <w:p w14:paraId="6AB91BA3" w14:textId="77777777" w:rsidR="001A455C" w:rsidRPr="001A455C" w:rsidRDefault="001A455C" w:rsidP="001A455C">
      <w:pPr>
        <w:spacing w:line="360" w:lineRule="auto"/>
        <w:rPr>
          <w:lang w:val="en-US"/>
        </w:rPr>
      </w:pPr>
      <w:r w:rsidRPr="001A455C">
        <w:rPr>
          <w:lang w:val="en-US"/>
        </w:rPr>
        <w:t xml:space="preserve">For the purpose of the present study, two cropping systems were selected that had the same sequence of crops but with different small grain straw managements that reflect common systems in Denmark: straw removed or retained. Therefore, in the present study, straw management composed the main-plot treatment. Three of the four tillage regimes were used for this study (more details below). Tillage subplots were 5 meters wide and 40 m long. Each tillage subplot was divided into two columns with three sub-subplots arranged within each column for a total of six sub-subplots that were 2.5 m wide and 12.5 m long (see supplementary material for a visual aid). One of the six sub-subplots was reserved for other sampling efforts, and a cover crop system treatment (five levels) was applied randomly to the </w:t>
      </w:r>
      <w:r w:rsidRPr="001A455C">
        <w:rPr>
          <w:lang w:val="en-US"/>
        </w:rPr>
        <w:lastRenderedPageBreak/>
        <w:t xml:space="preserve">remaining five sub-subplots. In summary, this experiment included all combinations of two straw-managements, three primary tillage systems, and five cover crop systems for a total of 30 treatments. </w:t>
      </w:r>
    </w:p>
    <w:p w14:paraId="5A66302A" w14:textId="4634B002" w:rsidR="001A455C" w:rsidRPr="001A455C" w:rsidRDefault="001A455C" w:rsidP="001A455C">
      <w:pPr>
        <w:spacing w:line="360" w:lineRule="auto"/>
        <w:rPr>
          <w:b/>
          <w:bCs/>
          <w:lang w:val="en-US"/>
        </w:rPr>
      </w:pPr>
      <w:r w:rsidRPr="003C7F19">
        <w:rPr>
          <w:b/>
          <w:bCs/>
        </w:rPr>
        <w:t>2.1.</w:t>
      </w:r>
      <w:r>
        <w:rPr>
          <w:b/>
          <w:bCs/>
        </w:rPr>
        <w:t>2</w:t>
      </w:r>
      <w:r w:rsidRPr="003C7F19">
        <w:rPr>
          <w:b/>
          <w:bCs/>
        </w:rPr>
        <w:t xml:space="preserve">  </w:t>
      </w:r>
      <w:r w:rsidRPr="001A455C">
        <w:rPr>
          <w:b/>
          <w:bCs/>
          <w:lang w:val="en-US"/>
        </w:rPr>
        <w:t>Straw and tillage treatments</w:t>
      </w:r>
    </w:p>
    <w:p w14:paraId="1D52ABA7" w14:textId="77777777" w:rsidR="001A455C" w:rsidRPr="001A455C" w:rsidRDefault="001A455C" w:rsidP="001A455C">
      <w:pPr>
        <w:spacing w:line="360" w:lineRule="auto"/>
        <w:rPr>
          <w:lang w:val="en-US"/>
        </w:rPr>
      </w:pPr>
      <w:r w:rsidRPr="001A455C">
        <w:rPr>
          <w:lang w:val="en-US"/>
        </w:rPr>
        <w:t xml:space="preserve">The same straw managements and categorical tillage system treatments (no tillage, surface, inversion) have been in the same subplots since 2002. In the straw-removal treatments, following harvest of a small grain the residue (e.g., straw) was removed using a </w:t>
      </w:r>
      <w:commentRangeStart w:id="2"/>
      <w:r w:rsidRPr="001A455C">
        <w:rPr>
          <w:lang w:val="en-US"/>
        </w:rPr>
        <w:t>MACHINE</w:t>
      </w:r>
      <w:commentRangeEnd w:id="2"/>
      <w:r w:rsidRPr="001A455C">
        <w:rPr>
          <w:lang w:val="da-DK"/>
        </w:rPr>
        <w:commentReference w:id="2"/>
      </w:r>
      <w:r w:rsidRPr="001A455C">
        <w:rPr>
          <w:lang w:val="en-US"/>
        </w:rPr>
        <w:t xml:space="preserve">, resulting in removal of approximately 60% of the biomass (do we have any pictures of the straw retained and straw removed treatments, so we can see how the ground was still covered by little bits of straw after straw removal? </w:t>
      </w:r>
      <w:commentRangeStart w:id="3"/>
      <w:r w:rsidRPr="001A455C">
        <w:rPr>
          <w:lang w:val="en-US"/>
        </w:rPr>
        <w:t>CITE a CENTS modelling study for this 60% assumption</w:t>
      </w:r>
      <w:commentRangeEnd w:id="3"/>
      <w:r w:rsidRPr="001A455C">
        <w:rPr>
          <w:lang w:val="da-DK"/>
        </w:rPr>
        <w:commentReference w:id="3"/>
      </w:r>
      <w:r w:rsidRPr="001A455C">
        <w:rPr>
          <w:lang w:val="en-US"/>
        </w:rPr>
        <w:t>). In the straw-retained treatments, harvest residue was allowed to remain in the field. The exact machinery and timing of operations for each categorical tillage treatment have varied since 2002 (Scherner et al., 2016; Hansen et al., 2010). In the present experiment (2018-2020), plots under the inversion tillage treatment were moldboard plowed to a depth of 20 cm in the fall and harrowed to 3-4 cm depth in the spring before cash crop planting; c</w:t>
      </w:r>
      <w:r w:rsidRPr="001A455C">
        <w:t xml:space="preserve">rops were then sown with a traditional seed drill (Nordsten Lift-o-matic CLH300) with row spacings of 12.5 cm. </w:t>
      </w:r>
      <w:r w:rsidRPr="001A455C">
        <w:rPr>
          <w:lang w:val="en-US"/>
        </w:rPr>
        <w:t xml:space="preserve">For the surface tillage system (non-inversion), a </w:t>
      </w:r>
      <w:r w:rsidRPr="001A455C">
        <w:rPr>
          <w:vertAlign w:val="subscript"/>
          <w:lang w:val="en-US"/>
        </w:rPr>
        <w:t xml:space="preserve"> </w:t>
      </w:r>
      <w:r w:rsidRPr="001A455C">
        <w:t xml:space="preserve">Horsch Terrano 3 FX stubble tine cultivator  was used to till to a depth </w:t>
      </w:r>
      <w:commentRangeStart w:id="4"/>
      <w:r w:rsidRPr="001A455C">
        <w:t>8-10 cm in the spring before cash crop planting</w:t>
      </w:r>
      <w:commentRangeEnd w:id="4"/>
      <w:r w:rsidRPr="001A455C">
        <w:rPr>
          <w:lang w:val="da-DK"/>
        </w:rPr>
        <w:commentReference w:id="4"/>
      </w:r>
      <w:r w:rsidRPr="001A455C">
        <w:t xml:space="preserve">. In both the no-till and surface tillage systems, crops were sown with a chisel coulter (Horsch Airseeder CO 3) with row spacings of 17.5 cm for spring oats, spring barley, and </w:t>
      </w:r>
      <w:commentRangeStart w:id="5"/>
      <w:r w:rsidRPr="001A455C">
        <w:t>faba beans</w:t>
      </w:r>
      <w:commentRangeEnd w:id="5"/>
      <w:r w:rsidRPr="001A455C">
        <w:rPr>
          <w:lang w:val="da-DK"/>
        </w:rPr>
        <w:commentReference w:id="5"/>
      </w:r>
      <w:r w:rsidRPr="001A455C">
        <w:t xml:space="preserve">. Row spacings were different for the inversion tillage system due to equipment representing typical production environments for each tillage system. </w:t>
      </w:r>
    </w:p>
    <w:p w14:paraId="34082C05" w14:textId="4AE4E813" w:rsidR="001A455C" w:rsidRPr="001A455C" w:rsidRDefault="001A455C" w:rsidP="001A455C">
      <w:pPr>
        <w:spacing w:line="360" w:lineRule="auto"/>
        <w:rPr>
          <w:b/>
          <w:bCs/>
          <w:lang w:val="en-US"/>
        </w:rPr>
      </w:pPr>
      <w:r w:rsidRPr="003C7F19">
        <w:rPr>
          <w:b/>
          <w:bCs/>
        </w:rPr>
        <w:t>2.1.</w:t>
      </w:r>
      <w:r>
        <w:rPr>
          <w:b/>
          <w:bCs/>
        </w:rPr>
        <w:t>3</w:t>
      </w:r>
      <w:r w:rsidRPr="003C7F19">
        <w:rPr>
          <w:b/>
          <w:bCs/>
        </w:rPr>
        <w:t xml:space="preserve">  </w:t>
      </w:r>
      <w:r>
        <w:rPr>
          <w:b/>
          <w:bCs/>
          <w:lang w:val="en-US"/>
        </w:rPr>
        <w:t>Cover crop treatments</w:t>
      </w:r>
    </w:p>
    <w:p w14:paraId="76D877A7" w14:textId="77777777" w:rsidR="001A455C" w:rsidRPr="001A455C" w:rsidRDefault="001A455C" w:rsidP="001A455C">
      <w:pPr>
        <w:spacing w:line="360" w:lineRule="auto"/>
        <w:rPr>
          <w:lang w:val="en-US"/>
        </w:rPr>
      </w:pPr>
      <w:r w:rsidRPr="001A455C">
        <w:rPr>
          <w:lang w:val="en-US"/>
        </w:rPr>
        <w:t xml:space="preserve">Starting in the 2018 growing season, five cover crop systems were randomly applied to the sub-subplots (Table 1). The same sub-subplot treatments were maintained for 2018, 2019 and were tracked until faba bean harvest in 2020. The sampling area for all measurements was located in the inner 1.5 m x 10 m area of the sub-subplots. </w:t>
      </w:r>
    </w:p>
    <w:p w14:paraId="697347A3" w14:textId="77777777" w:rsidR="001A455C" w:rsidRPr="001A455C" w:rsidRDefault="001A455C" w:rsidP="001A455C">
      <w:pPr>
        <w:spacing w:line="360" w:lineRule="auto"/>
        <w:rPr>
          <w:lang w:val="en-US"/>
        </w:rPr>
      </w:pPr>
      <w:r w:rsidRPr="001A455C">
        <w:rPr>
          <w:lang w:val="en-US"/>
        </w:rPr>
        <w:t>Table 1. Summary of the five cover crop systems</w:t>
      </w:r>
    </w:p>
    <w:tbl>
      <w:tblPr>
        <w:tblStyle w:val="TableGrid"/>
        <w:tblW w:w="0" w:type="auto"/>
        <w:tblLook w:val="04A0" w:firstRow="1" w:lastRow="0" w:firstColumn="1" w:lastColumn="0" w:noHBand="0" w:noVBand="1"/>
      </w:tblPr>
      <w:tblGrid>
        <w:gridCol w:w="1555"/>
        <w:gridCol w:w="2126"/>
        <w:gridCol w:w="1843"/>
        <w:gridCol w:w="2976"/>
      </w:tblGrid>
      <w:tr w:rsidR="001A455C" w:rsidRPr="001A455C" w14:paraId="4CC3D440" w14:textId="77777777" w:rsidTr="00472ECB">
        <w:tc>
          <w:tcPr>
            <w:tcW w:w="1555" w:type="dxa"/>
            <w:vAlign w:val="center"/>
          </w:tcPr>
          <w:p w14:paraId="06902FBB" w14:textId="77777777" w:rsidR="001A455C" w:rsidRPr="001A455C" w:rsidRDefault="001A455C" w:rsidP="001A455C">
            <w:pPr>
              <w:spacing w:line="360" w:lineRule="auto"/>
              <w:rPr>
                <w:lang w:val="en-US"/>
              </w:rPr>
            </w:pPr>
            <w:r w:rsidRPr="001A455C">
              <w:rPr>
                <w:lang w:val="en-US"/>
              </w:rPr>
              <w:t>Cover crop system name</w:t>
            </w:r>
          </w:p>
        </w:tc>
        <w:tc>
          <w:tcPr>
            <w:tcW w:w="2126" w:type="dxa"/>
            <w:vAlign w:val="center"/>
          </w:tcPr>
          <w:p w14:paraId="6483C18B" w14:textId="77777777" w:rsidR="001A455C" w:rsidRPr="001A455C" w:rsidRDefault="001A455C" w:rsidP="001A455C">
            <w:pPr>
              <w:spacing w:line="360" w:lineRule="auto"/>
              <w:rPr>
                <w:lang w:val="en-US"/>
              </w:rPr>
            </w:pPr>
            <w:r w:rsidRPr="001A455C">
              <w:rPr>
                <w:lang w:val="en-US"/>
              </w:rPr>
              <w:t>Cover crop</w:t>
            </w:r>
          </w:p>
        </w:tc>
        <w:tc>
          <w:tcPr>
            <w:tcW w:w="1843" w:type="dxa"/>
            <w:vAlign w:val="center"/>
          </w:tcPr>
          <w:p w14:paraId="2DA4DC92" w14:textId="77777777" w:rsidR="001A455C" w:rsidRPr="001A455C" w:rsidRDefault="001A455C" w:rsidP="001A455C">
            <w:pPr>
              <w:spacing w:line="360" w:lineRule="auto"/>
              <w:rPr>
                <w:lang w:val="en-US"/>
              </w:rPr>
            </w:pPr>
            <w:r w:rsidRPr="001A455C">
              <w:rPr>
                <w:lang w:val="en-US"/>
              </w:rPr>
              <w:t>Seeding rate</w:t>
            </w:r>
          </w:p>
        </w:tc>
        <w:tc>
          <w:tcPr>
            <w:tcW w:w="2976" w:type="dxa"/>
            <w:vAlign w:val="center"/>
          </w:tcPr>
          <w:p w14:paraId="28AE962C" w14:textId="77777777" w:rsidR="001A455C" w:rsidRPr="001A455C" w:rsidRDefault="001A455C" w:rsidP="001A455C">
            <w:pPr>
              <w:spacing w:line="360" w:lineRule="auto"/>
              <w:rPr>
                <w:lang w:val="en-US"/>
              </w:rPr>
            </w:pPr>
            <w:r w:rsidRPr="001A455C">
              <w:rPr>
                <w:lang w:val="en-US"/>
              </w:rPr>
              <w:t>Seeding method and timing</w:t>
            </w:r>
          </w:p>
        </w:tc>
      </w:tr>
      <w:tr w:rsidR="001A455C" w:rsidRPr="001A455C" w14:paraId="5449C1C6" w14:textId="77777777" w:rsidTr="00472ECB">
        <w:tc>
          <w:tcPr>
            <w:tcW w:w="1555" w:type="dxa"/>
            <w:vAlign w:val="center"/>
          </w:tcPr>
          <w:p w14:paraId="0FB272EB" w14:textId="77777777" w:rsidR="001A455C" w:rsidRPr="001A455C" w:rsidRDefault="001A455C" w:rsidP="001A455C">
            <w:pPr>
              <w:spacing w:line="360" w:lineRule="auto"/>
              <w:rPr>
                <w:lang w:val="en-US"/>
              </w:rPr>
            </w:pPr>
            <w:r w:rsidRPr="001A455C">
              <w:rPr>
                <w:lang w:val="en-US"/>
              </w:rPr>
              <w:t>MixE</w:t>
            </w:r>
          </w:p>
        </w:tc>
        <w:tc>
          <w:tcPr>
            <w:tcW w:w="2126" w:type="dxa"/>
            <w:vMerge w:val="restart"/>
            <w:vAlign w:val="center"/>
          </w:tcPr>
          <w:p w14:paraId="4BEF68C7" w14:textId="77777777" w:rsidR="001A455C" w:rsidRPr="001A455C" w:rsidRDefault="001A455C" w:rsidP="001A455C">
            <w:pPr>
              <w:spacing w:line="360" w:lineRule="auto"/>
              <w:rPr>
                <w:lang w:val="en-US"/>
              </w:rPr>
            </w:pPr>
            <w:r w:rsidRPr="001A455C">
              <w:rPr>
                <w:lang w:val="en-US"/>
              </w:rPr>
              <w:t xml:space="preserve">Perennial ryegrass </w:t>
            </w:r>
            <w:r w:rsidRPr="001A455C">
              <w:rPr>
                <w:i/>
                <w:iCs/>
                <w:lang w:val="en-US"/>
              </w:rPr>
              <w:t xml:space="preserve">(grass; Lolium </w:t>
            </w:r>
            <w:r w:rsidRPr="001A455C">
              <w:rPr>
                <w:i/>
                <w:iCs/>
                <w:lang w:val="en-US"/>
              </w:rPr>
              <w:lastRenderedPageBreak/>
              <w:t>perenne)</w:t>
            </w:r>
            <w:r w:rsidRPr="001A455C">
              <w:rPr>
                <w:lang w:val="en-US"/>
              </w:rPr>
              <w:t xml:space="preserve"> and red clover </w:t>
            </w:r>
            <w:r w:rsidRPr="001A455C">
              <w:rPr>
                <w:i/>
                <w:iCs/>
                <w:lang w:val="en-US"/>
              </w:rPr>
              <w:t>(clover; Trifolium pratense)</w:t>
            </w:r>
          </w:p>
        </w:tc>
        <w:tc>
          <w:tcPr>
            <w:tcW w:w="1843" w:type="dxa"/>
            <w:vMerge w:val="restart"/>
            <w:vAlign w:val="center"/>
          </w:tcPr>
          <w:p w14:paraId="3A93781B" w14:textId="77777777" w:rsidR="001A455C" w:rsidRPr="001A455C" w:rsidRDefault="001A455C" w:rsidP="001A455C">
            <w:pPr>
              <w:spacing w:line="360" w:lineRule="auto"/>
              <w:rPr>
                <w:lang w:val="en-US"/>
              </w:rPr>
            </w:pPr>
            <w:r w:rsidRPr="001A455C">
              <w:rPr>
                <w:lang w:val="en-US"/>
              </w:rPr>
              <w:lastRenderedPageBreak/>
              <w:t>3 kg ha</w:t>
            </w:r>
            <w:r w:rsidRPr="001A455C">
              <w:rPr>
                <w:vertAlign w:val="superscript"/>
                <w:lang w:val="en-US"/>
              </w:rPr>
              <w:t>-1</w:t>
            </w:r>
            <w:r w:rsidRPr="001A455C">
              <w:rPr>
                <w:lang w:val="en-US"/>
              </w:rPr>
              <w:t xml:space="preserve"> grass + 8 kg clover ha</w:t>
            </w:r>
            <w:r w:rsidRPr="001A455C">
              <w:rPr>
                <w:vertAlign w:val="superscript"/>
                <w:lang w:val="en-US"/>
              </w:rPr>
              <w:t>-1</w:t>
            </w:r>
          </w:p>
        </w:tc>
        <w:tc>
          <w:tcPr>
            <w:tcW w:w="2976" w:type="dxa"/>
            <w:vAlign w:val="center"/>
          </w:tcPr>
          <w:p w14:paraId="4673672B" w14:textId="77777777" w:rsidR="001A455C" w:rsidRPr="001A455C" w:rsidRDefault="001A455C" w:rsidP="001A455C">
            <w:pPr>
              <w:spacing w:line="360" w:lineRule="auto"/>
              <w:rPr>
                <w:lang w:val="en-US"/>
              </w:rPr>
            </w:pPr>
            <w:r w:rsidRPr="001A455C">
              <w:rPr>
                <w:lang w:val="en-US"/>
              </w:rPr>
              <w:t xml:space="preserve">Sown 1 cm deep in 12.5 cm rows between cash crop </w:t>
            </w:r>
            <w:r w:rsidRPr="001A455C">
              <w:rPr>
                <w:lang w:val="en-US"/>
              </w:rPr>
              <w:lastRenderedPageBreak/>
              <w:t>rows shortly after cash crop planting</w:t>
            </w:r>
          </w:p>
        </w:tc>
      </w:tr>
      <w:tr w:rsidR="001A455C" w:rsidRPr="001A455C" w14:paraId="3620DF11" w14:textId="77777777" w:rsidTr="00472ECB">
        <w:tc>
          <w:tcPr>
            <w:tcW w:w="1555" w:type="dxa"/>
            <w:vAlign w:val="center"/>
          </w:tcPr>
          <w:p w14:paraId="2C9BAB03" w14:textId="77777777" w:rsidR="001A455C" w:rsidRPr="001A455C" w:rsidRDefault="001A455C" w:rsidP="001A455C">
            <w:pPr>
              <w:spacing w:line="360" w:lineRule="auto"/>
              <w:rPr>
                <w:lang w:val="en-US"/>
              </w:rPr>
            </w:pPr>
            <w:r w:rsidRPr="001A455C">
              <w:rPr>
                <w:lang w:val="en-US"/>
              </w:rPr>
              <w:lastRenderedPageBreak/>
              <w:t>MixM</w:t>
            </w:r>
          </w:p>
        </w:tc>
        <w:tc>
          <w:tcPr>
            <w:tcW w:w="2126" w:type="dxa"/>
            <w:vMerge/>
            <w:vAlign w:val="center"/>
          </w:tcPr>
          <w:p w14:paraId="6AFC6303" w14:textId="77777777" w:rsidR="001A455C" w:rsidRPr="001A455C" w:rsidRDefault="001A455C" w:rsidP="001A455C">
            <w:pPr>
              <w:spacing w:line="360" w:lineRule="auto"/>
              <w:rPr>
                <w:lang w:val="en-US"/>
              </w:rPr>
            </w:pPr>
          </w:p>
        </w:tc>
        <w:tc>
          <w:tcPr>
            <w:tcW w:w="1843" w:type="dxa"/>
            <w:vMerge/>
            <w:vAlign w:val="center"/>
          </w:tcPr>
          <w:p w14:paraId="6F6F4A85" w14:textId="77777777" w:rsidR="001A455C" w:rsidRPr="001A455C" w:rsidRDefault="001A455C" w:rsidP="001A455C">
            <w:pPr>
              <w:spacing w:line="360" w:lineRule="auto"/>
              <w:rPr>
                <w:lang w:val="en-US"/>
              </w:rPr>
            </w:pPr>
          </w:p>
        </w:tc>
        <w:tc>
          <w:tcPr>
            <w:tcW w:w="2976" w:type="dxa"/>
            <w:vAlign w:val="center"/>
          </w:tcPr>
          <w:p w14:paraId="1B8AC7D4" w14:textId="77777777" w:rsidR="001A455C" w:rsidRPr="001A455C" w:rsidRDefault="001A455C" w:rsidP="001A455C">
            <w:pPr>
              <w:spacing w:line="360" w:lineRule="auto"/>
              <w:rPr>
                <w:lang w:val="en-US"/>
              </w:rPr>
            </w:pPr>
            <w:r w:rsidRPr="001A455C">
              <w:rPr>
                <w:lang w:val="en-US"/>
              </w:rPr>
              <w:t>Broadcast into standing crop approximately 14 days before expected cash crop harvest</w:t>
            </w:r>
          </w:p>
        </w:tc>
      </w:tr>
      <w:tr w:rsidR="001A455C" w:rsidRPr="001A455C" w14:paraId="79E5A638" w14:textId="77777777" w:rsidTr="00472ECB">
        <w:tc>
          <w:tcPr>
            <w:tcW w:w="1555" w:type="dxa"/>
            <w:vAlign w:val="center"/>
          </w:tcPr>
          <w:p w14:paraId="261A5ADB" w14:textId="77777777" w:rsidR="001A455C" w:rsidRPr="001A455C" w:rsidRDefault="001A455C" w:rsidP="001A455C">
            <w:pPr>
              <w:spacing w:line="360" w:lineRule="auto"/>
              <w:rPr>
                <w:lang w:val="en-US"/>
              </w:rPr>
            </w:pPr>
            <w:r w:rsidRPr="001A455C">
              <w:rPr>
                <w:lang w:val="en-US"/>
              </w:rPr>
              <w:t>RadM</w:t>
            </w:r>
          </w:p>
        </w:tc>
        <w:tc>
          <w:tcPr>
            <w:tcW w:w="2126" w:type="dxa"/>
            <w:vMerge w:val="restart"/>
            <w:vAlign w:val="center"/>
          </w:tcPr>
          <w:p w14:paraId="5C1C4891" w14:textId="77777777" w:rsidR="001A455C" w:rsidRPr="001A455C" w:rsidRDefault="001A455C" w:rsidP="001A455C">
            <w:pPr>
              <w:spacing w:line="360" w:lineRule="auto"/>
              <w:rPr>
                <w:lang w:val="en-US"/>
              </w:rPr>
            </w:pPr>
            <w:r w:rsidRPr="001A455C">
              <w:rPr>
                <w:lang w:val="en-US"/>
              </w:rPr>
              <w:t xml:space="preserve">Fodder radish </w:t>
            </w:r>
            <w:r w:rsidRPr="001A455C">
              <w:rPr>
                <w:i/>
                <w:iCs/>
                <w:lang w:val="en-US"/>
              </w:rPr>
              <w:t>(Raphanus sativus)</w:t>
            </w:r>
          </w:p>
        </w:tc>
        <w:tc>
          <w:tcPr>
            <w:tcW w:w="1843" w:type="dxa"/>
            <w:vMerge w:val="restart"/>
            <w:vAlign w:val="center"/>
          </w:tcPr>
          <w:p w14:paraId="4418C7AE" w14:textId="77777777" w:rsidR="001A455C" w:rsidRPr="001A455C" w:rsidRDefault="001A455C" w:rsidP="001A455C">
            <w:pPr>
              <w:spacing w:line="360" w:lineRule="auto"/>
              <w:rPr>
                <w:lang w:val="en-US"/>
              </w:rPr>
            </w:pPr>
            <w:r w:rsidRPr="001A455C">
              <w:rPr>
                <w:lang w:val="en-US"/>
              </w:rPr>
              <w:t>14 kg ha</w:t>
            </w:r>
            <w:r w:rsidRPr="001A455C">
              <w:rPr>
                <w:vertAlign w:val="superscript"/>
                <w:lang w:val="en-US"/>
              </w:rPr>
              <w:t>-1</w:t>
            </w:r>
          </w:p>
        </w:tc>
        <w:tc>
          <w:tcPr>
            <w:tcW w:w="2976" w:type="dxa"/>
            <w:vAlign w:val="center"/>
          </w:tcPr>
          <w:p w14:paraId="05B1325C" w14:textId="77777777" w:rsidR="001A455C" w:rsidRPr="001A455C" w:rsidRDefault="001A455C" w:rsidP="001A455C">
            <w:pPr>
              <w:spacing w:line="360" w:lineRule="auto"/>
              <w:rPr>
                <w:lang w:val="en-US"/>
              </w:rPr>
            </w:pPr>
            <w:r w:rsidRPr="001A455C">
              <w:rPr>
                <w:lang w:val="en-US"/>
              </w:rPr>
              <w:t>Broadcast into standing crop approx. 14 days before expected crop harvest</w:t>
            </w:r>
          </w:p>
        </w:tc>
      </w:tr>
      <w:tr w:rsidR="001A455C" w:rsidRPr="001A455C" w14:paraId="19D6BFDF" w14:textId="77777777" w:rsidTr="00472ECB">
        <w:tc>
          <w:tcPr>
            <w:tcW w:w="1555" w:type="dxa"/>
            <w:vAlign w:val="center"/>
          </w:tcPr>
          <w:p w14:paraId="7A26B863" w14:textId="77777777" w:rsidR="001A455C" w:rsidRPr="001A455C" w:rsidRDefault="001A455C" w:rsidP="001A455C">
            <w:pPr>
              <w:spacing w:line="360" w:lineRule="auto"/>
              <w:rPr>
                <w:lang w:val="en-US"/>
              </w:rPr>
            </w:pPr>
            <w:r w:rsidRPr="001A455C">
              <w:rPr>
                <w:lang w:val="en-US"/>
              </w:rPr>
              <w:t>RadL</w:t>
            </w:r>
          </w:p>
        </w:tc>
        <w:tc>
          <w:tcPr>
            <w:tcW w:w="2126" w:type="dxa"/>
            <w:vMerge/>
            <w:vAlign w:val="center"/>
          </w:tcPr>
          <w:p w14:paraId="3A7CAC85" w14:textId="77777777" w:rsidR="001A455C" w:rsidRPr="001A455C" w:rsidRDefault="001A455C" w:rsidP="001A455C">
            <w:pPr>
              <w:spacing w:line="360" w:lineRule="auto"/>
              <w:rPr>
                <w:lang w:val="en-US"/>
              </w:rPr>
            </w:pPr>
          </w:p>
        </w:tc>
        <w:tc>
          <w:tcPr>
            <w:tcW w:w="1843" w:type="dxa"/>
            <w:vMerge/>
            <w:vAlign w:val="center"/>
          </w:tcPr>
          <w:p w14:paraId="5BF33C36" w14:textId="77777777" w:rsidR="001A455C" w:rsidRPr="001A455C" w:rsidRDefault="001A455C" w:rsidP="001A455C">
            <w:pPr>
              <w:spacing w:line="360" w:lineRule="auto"/>
              <w:rPr>
                <w:lang w:val="en-US"/>
              </w:rPr>
            </w:pPr>
          </w:p>
        </w:tc>
        <w:tc>
          <w:tcPr>
            <w:tcW w:w="2976" w:type="dxa"/>
            <w:vAlign w:val="center"/>
          </w:tcPr>
          <w:p w14:paraId="1D59D1EA" w14:textId="77777777" w:rsidR="001A455C" w:rsidRPr="001A455C" w:rsidRDefault="001A455C" w:rsidP="001A455C">
            <w:pPr>
              <w:spacing w:line="360" w:lineRule="auto"/>
              <w:rPr>
                <w:lang w:val="en-US"/>
              </w:rPr>
            </w:pPr>
            <w:r w:rsidRPr="001A455C">
              <w:rPr>
                <w:lang w:val="en-US"/>
              </w:rPr>
              <w:t>Broadcast into the crop stubble post crop harvest</w:t>
            </w:r>
          </w:p>
        </w:tc>
      </w:tr>
      <w:tr w:rsidR="001A455C" w:rsidRPr="001A455C" w14:paraId="5E6F82D6" w14:textId="77777777" w:rsidTr="00472ECB">
        <w:tc>
          <w:tcPr>
            <w:tcW w:w="1555" w:type="dxa"/>
            <w:vAlign w:val="center"/>
          </w:tcPr>
          <w:p w14:paraId="5E8B9AE3" w14:textId="77777777" w:rsidR="001A455C" w:rsidRPr="001A455C" w:rsidRDefault="001A455C" w:rsidP="001A455C">
            <w:pPr>
              <w:spacing w:line="360" w:lineRule="auto"/>
              <w:rPr>
                <w:lang w:val="en-US"/>
              </w:rPr>
            </w:pPr>
            <w:r w:rsidRPr="001A455C">
              <w:rPr>
                <w:lang w:val="en-US"/>
              </w:rPr>
              <w:t>NoCC</w:t>
            </w:r>
          </w:p>
        </w:tc>
        <w:tc>
          <w:tcPr>
            <w:tcW w:w="2126" w:type="dxa"/>
            <w:vAlign w:val="center"/>
          </w:tcPr>
          <w:p w14:paraId="2CC1DE3E" w14:textId="77777777" w:rsidR="001A455C" w:rsidRPr="001A455C" w:rsidRDefault="001A455C" w:rsidP="001A455C">
            <w:pPr>
              <w:spacing w:line="360" w:lineRule="auto"/>
              <w:rPr>
                <w:lang w:val="en-US"/>
              </w:rPr>
            </w:pPr>
            <w:r w:rsidRPr="001A455C">
              <w:rPr>
                <w:lang w:val="en-US"/>
              </w:rPr>
              <w:t>None</w:t>
            </w:r>
          </w:p>
        </w:tc>
        <w:tc>
          <w:tcPr>
            <w:tcW w:w="1843" w:type="dxa"/>
            <w:vAlign w:val="center"/>
          </w:tcPr>
          <w:p w14:paraId="2477B9F5" w14:textId="77777777" w:rsidR="001A455C" w:rsidRPr="001A455C" w:rsidRDefault="001A455C" w:rsidP="001A455C">
            <w:pPr>
              <w:spacing w:line="360" w:lineRule="auto"/>
              <w:rPr>
                <w:lang w:val="en-US"/>
              </w:rPr>
            </w:pPr>
            <w:r w:rsidRPr="001A455C">
              <w:rPr>
                <w:lang w:val="en-US"/>
              </w:rPr>
              <w:t>-</w:t>
            </w:r>
          </w:p>
        </w:tc>
        <w:tc>
          <w:tcPr>
            <w:tcW w:w="2976" w:type="dxa"/>
            <w:vAlign w:val="center"/>
          </w:tcPr>
          <w:p w14:paraId="20259FC8" w14:textId="77777777" w:rsidR="001A455C" w:rsidRPr="001A455C" w:rsidRDefault="001A455C" w:rsidP="001A455C">
            <w:pPr>
              <w:spacing w:line="360" w:lineRule="auto"/>
              <w:rPr>
                <w:lang w:val="en-US"/>
              </w:rPr>
            </w:pPr>
            <w:r w:rsidRPr="001A455C">
              <w:rPr>
                <w:lang w:val="en-US"/>
              </w:rPr>
              <w:t>-</w:t>
            </w:r>
          </w:p>
        </w:tc>
      </w:tr>
    </w:tbl>
    <w:p w14:paraId="60FA19A7" w14:textId="77777777" w:rsidR="00D00706" w:rsidRDefault="00D00706" w:rsidP="00045088">
      <w:pPr>
        <w:spacing w:line="360" w:lineRule="auto"/>
        <w:rPr>
          <w:lang w:val="en-US"/>
        </w:rPr>
      </w:pPr>
    </w:p>
    <w:p w14:paraId="7ADA0693" w14:textId="06F79345" w:rsidR="001A455C" w:rsidRPr="001A455C" w:rsidRDefault="001A455C" w:rsidP="001A455C">
      <w:pPr>
        <w:spacing w:line="360" w:lineRule="auto"/>
        <w:rPr>
          <w:b/>
          <w:bCs/>
          <w:lang w:val="en-US"/>
        </w:rPr>
      </w:pPr>
      <w:r w:rsidRPr="003C7F19">
        <w:rPr>
          <w:b/>
          <w:bCs/>
        </w:rPr>
        <w:t>2.1.</w:t>
      </w:r>
      <w:r>
        <w:rPr>
          <w:b/>
          <w:bCs/>
        </w:rPr>
        <w:t>4</w:t>
      </w:r>
      <w:r w:rsidRPr="003C7F19">
        <w:rPr>
          <w:b/>
          <w:bCs/>
        </w:rPr>
        <w:t xml:space="preserve">  </w:t>
      </w:r>
      <w:r>
        <w:rPr>
          <w:b/>
          <w:bCs/>
          <w:lang w:val="en-US"/>
        </w:rPr>
        <w:t>Fertilizer and herbicides</w:t>
      </w:r>
    </w:p>
    <w:p w14:paraId="286F4F84" w14:textId="77777777" w:rsidR="001A455C" w:rsidRPr="001A455C" w:rsidRDefault="001A455C" w:rsidP="001A455C">
      <w:pPr>
        <w:spacing w:line="360" w:lineRule="auto"/>
      </w:pPr>
      <w:r w:rsidRPr="001A455C">
        <w:rPr>
          <w:lang w:val="en-US"/>
        </w:rPr>
        <w:t xml:space="preserve">Mineral fertilizer </w:t>
      </w:r>
      <w:commentRangeStart w:id="6"/>
      <w:r w:rsidRPr="001A455C">
        <w:rPr>
          <w:lang w:val="en-US"/>
        </w:rPr>
        <w:t xml:space="preserve">was broadcast </w:t>
      </w:r>
      <w:commentRangeEnd w:id="6"/>
      <w:r w:rsidRPr="001A455C">
        <w:rPr>
          <w:lang w:val="da-DK"/>
        </w:rPr>
        <w:commentReference w:id="6"/>
      </w:r>
      <w:r w:rsidRPr="001A455C">
        <w:rPr>
          <w:lang w:val="en-US"/>
        </w:rPr>
        <w:t>on spring barley plots on 17 April 2018 (</w:t>
      </w:r>
      <w:r w:rsidRPr="001A455C">
        <w:t>126 kg N ha</w:t>
      </w:r>
      <w:r w:rsidRPr="001A455C">
        <w:rPr>
          <w:vertAlign w:val="superscript"/>
        </w:rPr>
        <w:t>-1</w:t>
      </w:r>
      <w:r w:rsidRPr="001A455C">
        <w:t>, 24 kg P ha</w:t>
      </w:r>
      <w:r w:rsidRPr="001A455C">
        <w:rPr>
          <w:vertAlign w:val="superscript"/>
        </w:rPr>
        <w:t>-1</w:t>
      </w:r>
      <w:r w:rsidRPr="001A455C">
        <w:t xml:space="preserve"> and 60 kg K ha</w:t>
      </w:r>
      <w:r w:rsidRPr="001A455C">
        <w:rPr>
          <w:vertAlign w:val="superscript"/>
        </w:rPr>
        <w:t>-1</w:t>
      </w:r>
      <w:r w:rsidRPr="001A455C">
        <w:t>); on spring oat plots on 3 April 2019 (80 kg N ha</w:t>
      </w:r>
      <w:r w:rsidRPr="001A455C">
        <w:rPr>
          <w:vertAlign w:val="superscript"/>
        </w:rPr>
        <w:t>-1</w:t>
      </w:r>
      <w:r w:rsidRPr="001A455C">
        <w:t>, 15 kg P ha</w:t>
      </w:r>
      <w:r w:rsidRPr="001A455C">
        <w:rPr>
          <w:vertAlign w:val="superscript"/>
        </w:rPr>
        <w:t>-1</w:t>
      </w:r>
      <w:r w:rsidRPr="001A455C">
        <w:t xml:space="preserve"> and 38 kg K ha</w:t>
      </w:r>
      <w:r w:rsidRPr="001A455C">
        <w:rPr>
          <w:vertAlign w:val="superscript"/>
        </w:rPr>
        <w:t>-1</w:t>
      </w:r>
      <w:r w:rsidRPr="001A455C">
        <w:t xml:space="preserve"> ); and on faba beans on 15 April 2020 (32 kg P ha</w:t>
      </w:r>
      <w:r w:rsidRPr="001A455C">
        <w:rPr>
          <w:vertAlign w:val="superscript"/>
        </w:rPr>
        <w:t xml:space="preserve">-1 </w:t>
      </w:r>
      <w:r w:rsidRPr="001A455C">
        <w:t>and 80 kg K ha</w:t>
      </w:r>
      <w:r w:rsidRPr="001A455C">
        <w:rPr>
          <w:vertAlign w:val="superscript"/>
        </w:rPr>
        <w:t>-1</w:t>
      </w:r>
      <w:r w:rsidRPr="001A455C">
        <w:t xml:space="preserve">). </w:t>
      </w:r>
    </w:p>
    <w:p w14:paraId="514A346C" w14:textId="77777777" w:rsidR="001A455C" w:rsidRPr="001A455C" w:rsidRDefault="001A455C" w:rsidP="001A455C">
      <w:pPr>
        <w:spacing w:line="360" w:lineRule="auto"/>
        <w:rPr>
          <w:lang w:val="en-US"/>
        </w:rPr>
      </w:pPr>
      <w:r w:rsidRPr="001A455C">
        <w:t>Herbicide treatments reflected best practices and constraints imposed by both the tillage and cover crop system treatments. Each herbicide package (HP) is described in detail in supplementary material. In the no-till and surface tillage treatments, all plots were sprayed with HP1 (2018, 2019) or HP2 (2020) before cash crop planting. For the inversion tillage treatments, no herbicide was sprayed before cash crop planting. In 2018 (spring barley), to accommodate the presence of the grass and clover present in the Mix-early plots, those plots were sprayed on 16 May 2018 with an herbicide package that does not affect clover or grasses (HP3); all other plots were sprayed the same day with a different herbicide package (HP4). On 29 May 2018, all plots except the Mix-early plots were sprayed (HP5) to control Canada thistle (</w:t>
      </w:r>
      <w:r w:rsidRPr="001A455C">
        <w:rPr>
          <w:i/>
          <w:iCs/>
        </w:rPr>
        <w:t>Cirsium arvense</w:t>
      </w:r>
      <w:r w:rsidRPr="001A455C">
        <w:t xml:space="preserve">); Mix-early plots were not sprayed because HP5 would have terminated the cover crop. In 2019 (spring oat), on 14 May the Mix-early plots were again sprayed with the same herbicide package used in 2018 (HP3) while all other plots were sprayed with a different package (HP6) </w:t>
      </w:r>
      <w:commentRangeStart w:id="7"/>
      <w:r w:rsidRPr="001A455C">
        <w:t>to….</w:t>
      </w:r>
      <w:commentRangeEnd w:id="7"/>
      <w:r w:rsidRPr="001A455C">
        <w:rPr>
          <w:lang w:val="da-DK"/>
        </w:rPr>
        <w:commentReference w:id="7"/>
      </w:r>
      <w:r w:rsidRPr="001A455C">
        <w:t xml:space="preserve">. </w:t>
      </w:r>
      <w:bookmarkStart w:id="8" w:name="_Hlk190689276"/>
      <w:r w:rsidRPr="001A455C">
        <w:t>Following faba bean planting in 2020, all plots were sprayed with HP7 on 6 May 2020 and again on 20 May 2020. On 2 June 2020, all plots were sprayed (HP8) to control wild oat (</w:t>
      </w:r>
      <w:r w:rsidRPr="001A455C">
        <w:rPr>
          <w:i/>
          <w:iCs/>
        </w:rPr>
        <w:t>Avena fatua</w:t>
      </w:r>
      <w:r w:rsidRPr="001A455C">
        <w:t xml:space="preserve">). </w:t>
      </w:r>
      <w:bookmarkEnd w:id="8"/>
      <w:r w:rsidRPr="001A455C">
        <w:t xml:space="preserve">All plots were managed identically for diseases and insect pests according to Danish standard recommendations and policies. </w:t>
      </w:r>
      <w:r w:rsidRPr="001A455C">
        <w:rPr>
          <w:lang w:val="en-US"/>
        </w:rPr>
        <w:lastRenderedPageBreak/>
        <w:t>Herbicide use data was translated into potential toxicity loads using the Danish Pesticide Load Indicator (PLI; Kudsk et al. 2018).</w:t>
      </w:r>
    </w:p>
    <w:p w14:paraId="26C9F94A" w14:textId="77777777" w:rsidR="001A455C" w:rsidRPr="001A455C" w:rsidRDefault="001A455C" w:rsidP="001A455C">
      <w:pPr>
        <w:spacing w:line="360" w:lineRule="auto"/>
        <w:rPr>
          <w:lang w:val="en-US"/>
        </w:rPr>
      </w:pPr>
      <w:r w:rsidRPr="001A455C">
        <w:rPr>
          <w:lang w:val="en-US"/>
        </w:rPr>
        <w:t xml:space="preserve">The long-term experiment is rainfed, but in 2018 an exception was made due to an extremely hot and dry early growing season. In order to maintain the long-term viability of the experiment, all plots were irrigated with 25 mm in early June to ensure the early establishment of all treatments. Irrigation was done with sprinklers mounted on a boom that was dragged through the experiment. </w:t>
      </w:r>
    </w:p>
    <w:p w14:paraId="2D6D4E7F" w14:textId="77777777" w:rsidR="001A455C" w:rsidRPr="001A455C" w:rsidRDefault="001A455C" w:rsidP="001A455C">
      <w:pPr>
        <w:spacing w:line="360" w:lineRule="auto"/>
        <w:rPr>
          <w:lang w:val="en-US"/>
        </w:rPr>
      </w:pPr>
      <w:r w:rsidRPr="001A455C">
        <w:rPr>
          <w:lang w:val="en-US"/>
        </w:rPr>
        <w:t xml:space="preserve">Weather data for the present study was obtained from the Danish Meteorological Institute's (DMI) Open Data API for the Flakkebjerg station (55.322, 11.388). The 30-year (1990-2020) mean annual temperature and precipitation for the site are 8.9 degrees Celsius and 589 mm, respectively. </w:t>
      </w:r>
    </w:p>
    <w:p w14:paraId="2B94A7FF" w14:textId="77777777" w:rsidR="001A455C" w:rsidRDefault="001A455C" w:rsidP="00045088">
      <w:pPr>
        <w:spacing w:line="360" w:lineRule="auto"/>
        <w:rPr>
          <w:b/>
          <w:bCs/>
        </w:rPr>
      </w:pPr>
    </w:p>
    <w:p w14:paraId="50802BB0" w14:textId="2DF7D08B" w:rsidR="0053182E" w:rsidRDefault="00BA7F3D" w:rsidP="00045088">
      <w:pPr>
        <w:spacing w:line="360" w:lineRule="auto"/>
        <w:rPr>
          <w:b/>
          <w:bCs/>
        </w:rPr>
      </w:pPr>
      <w:r w:rsidRPr="003C7F19">
        <w:rPr>
          <w:b/>
          <w:bCs/>
        </w:rPr>
        <w:t xml:space="preserve">2.2 </w:t>
      </w:r>
      <w:r w:rsidR="001A455C">
        <w:rPr>
          <w:b/>
          <w:bCs/>
        </w:rPr>
        <w:t>Measurements</w:t>
      </w:r>
    </w:p>
    <w:p w14:paraId="46954A86" w14:textId="77E64275" w:rsidR="001A455C" w:rsidRDefault="001A455C" w:rsidP="001A455C">
      <w:pPr>
        <w:spacing w:line="360" w:lineRule="auto"/>
        <w:rPr>
          <w:b/>
          <w:bCs/>
        </w:rPr>
      </w:pPr>
      <w:r w:rsidRPr="003C7F19">
        <w:rPr>
          <w:b/>
          <w:bCs/>
        </w:rPr>
        <w:t>2.</w:t>
      </w:r>
      <w:r>
        <w:rPr>
          <w:b/>
          <w:bCs/>
        </w:rPr>
        <w:t>2</w:t>
      </w:r>
      <w:r w:rsidRPr="003C7F19">
        <w:rPr>
          <w:b/>
          <w:bCs/>
        </w:rPr>
        <w:t xml:space="preserve">.1  </w:t>
      </w:r>
      <w:r>
        <w:rPr>
          <w:b/>
          <w:bCs/>
        </w:rPr>
        <w:t>Crop yields</w:t>
      </w:r>
    </w:p>
    <w:p w14:paraId="7501D6A6" w14:textId="77777777" w:rsidR="001A455C" w:rsidRPr="001A455C" w:rsidRDefault="001A455C" w:rsidP="001A455C">
      <w:pPr>
        <w:spacing w:line="360" w:lineRule="auto"/>
      </w:pPr>
      <w:r w:rsidRPr="001A455C">
        <w:t>Each sub-subplot (net size 10 m x 1.5 m) was harvested for grain yield with a plot combine (8 August 2018 barley, 15 August 2019 oat, 24 August 2020 faba bean). Dry matter content was determined by a near-infrared spectroscopy analyzer (InfraTec™ 1241 Grain Analyzer, Foss A/S; </w:t>
      </w:r>
      <w:bookmarkStart w:id="9" w:name="bbib4"/>
      <w:r w:rsidRPr="001A455C">
        <w:rPr>
          <w:lang w:val="da-DK"/>
        </w:rPr>
        <w:fldChar w:fldCharType="begin"/>
      </w:r>
      <w:r w:rsidRPr="001A455C">
        <w:instrText>HYPERLINK "https://www-sciencedirect-com.ez.statsbiblioteket.dk/science/article/pii/S0167198710000541" \l "bib4"</w:instrText>
      </w:r>
      <w:r w:rsidRPr="001A455C">
        <w:rPr>
          <w:lang w:val="da-DK"/>
        </w:rPr>
      </w:r>
      <w:r w:rsidRPr="001A455C">
        <w:rPr>
          <w:lang w:val="da-DK"/>
        </w:rPr>
        <w:fldChar w:fldCharType="separate"/>
      </w:r>
      <w:r w:rsidRPr="001A455C">
        <w:rPr>
          <w:rStyle w:val="Hyperlink"/>
        </w:rPr>
        <w:t>Buchmann et al., 2001</w:t>
      </w:r>
      <w:r w:rsidRPr="001A455C">
        <w:fldChar w:fldCharType="end"/>
      </w:r>
      <w:bookmarkEnd w:id="9"/>
      <w:r w:rsidRPr="001A455C">
        <w:t>). Grain yields are reported on a dry matter basis.</w:t>
      </w:r>
    </w:p>
    <w:p w14:paraId="550CAF4F" w14:textId="39516849" w:rsidR="001A455C" w:rsidRDefault="001A455C" w:rsidP="001A455C">
      <w:pPr>
        <w:spacing w:line="360" w:lineRule="auto"/>
        <w:rPr>
          <w:b/>
          <w:bCs/>
        </w:rPr>
      </w:pPr>
      <w:r w:rsidRPr="003C7F19">
        <w:rPr>
          <w:b/>
          <w:bCs/>
        </w:rPr>
        <w:t>2.</w:t>
      </w:r>
      <w:r>
        <w:rPr>
          <w:b/>
          <w:bCs/>
        </w:rPr>
        <w:t>2</w:t>
      </w:r>
      <w:r w:rsidRPr="003C7F19">
        <w:rPr>
          <w:b/>
          <w:bCs/>
        </w:rPr>
        <w:t>.</w:t>
      </w:r>
      <w:r>
        <w:rPr>
          <w:b/>
          <w:bCs/>
        </w:rPr>
        <w:t>2</w:t>
      </w:r>
      <w:r w:rsidRPr="003C7F19">
        <w:rPr>
          <w:b/>
          <w:bCs/>
        </w:rPr>
        <w:t xml:space="preserve">  </w:t>
      </w:r>
      <w:r>
        <w:rPr>
          <w:b/>
          <w:bCs/>
        </w:rPr>
        <w:t>Fall vegetation</w:t>
      </w:r>
    </w:p>
    <w:p w14:paraId="02B90445" w14:textId="77777777" w:rsidR="001A455C" w:rsidRPr="001A455C" w:rsidRDefault="001A455C" w:rsidP="001A455C">
      <w:pPr>
        <w:spacing w:line="360" w:lineRule="auto"/>
        <w:rPr>
          <w:lang w:val="en-US"/>
        </w:rPr>
      </w:pPr>
      <w:r w:rsidRPr="001A455C">
        <w:rPr>
          <w:lang w:val="en-US"/>
        </w:rPr>
        <w:t>Three categories of vegetation measurements were taken (Table 2), and are described in detail below.</w:t>
      </w:r>
    </w:p>
    <w:p w14:paraId="0EE58BCF" w14:textId="77777777" w:rsidR="001A455C" w:rsidRPr="001A455C" w:rsidRDefault="001A455C" w:rsidP="001A455C">
      <w:pPr>
        <w:spacing w:line="360" w:lineRule="auto"/>
        <w:rPr>
          <w:lang w:val="en-US"/>
        </w:rPr>
      </w:pPr>
      <w:r w:rsidRPr="001A455C">
        <w:rPr>
          <w:lang w:val="en-US"/>
        </w:rPr>
        <w:t>Table 2. Summary of vegetation measurements</w:t>
      </w:r>
    </w:p>
    <w:tbl>
      <w:tblPr>
        <w:tblStyle w:val="TableGrid"/>
        <w:tblW w:w="0" w:type="auto"/>
        <w:tblLook w:val="04A0" w:firstRow="1" w:lastRow="0" w:firstColumn="1" w:lastColumn="0" w:noHBand="0" w:noVBand="1"/>
      </w:tblPr>
      <w:tblGrid>
        <w:gridCol w:w="3539"/>
        <w:gridCol w:w="5477"/>
      </w:tblGrid>
      <w:tr w:rsidR="001A455C" w:rsidRPr="001A455C" w14:paraId="074C3881" w14:textId="77777777" w:rsidTr="00472ECB">
        <w:tc>
          <w:tcPr>
            <w:tcW w:w="3539" w:type="dxa"/>
            <w:tcBorders>
              <w:top w:val="single" w:sz="4" w:space="0" w:color="auto"/>
              <w:left w:val="nil"/>
              <w:bottom w:val="single" w:sz="4" w:space="0" w:color="auto"/>
              <w:right w:val="nil"/>
            </w:tcBorders>
          </w:tcPr>
          <w:p w14:paraId="17313548" w14:textId="77777777" w:rsidR="001A455C" w:rsidRPr="001A455C" w:rsidRDefault="001A455C" w:rsidP="001A455C">
            <w:pPr>
              <w:spacing w:line="360" w:lineRule="auto"/>
              <w:rPr>
                <w:lang w:val="en-US"/>
              </w:rPr>
            </w:pPr>
            <w:r w:rsidRPr="001A455C">
              <w:rPr>
                <w:lang w:val="en-US"/>
              </w:rPr>
              <w:t>Measurement</w:t>
            </w:r>
          </w:p>
        </w:tc>
        <w:tc>
          <w:tcPr>
            <w:tcW w:w="5477" w:type="dxa"/>
            <w:tcBorders>
              <w:top w:val="single" w:sz="4" w:space="0" w:color="auto"/>
              <w:left w:val="nil"/>
              <w:bottom w:val="single" w:sz="4" w:space="0" w:color="auto"/>
              <w:right w:val="nil"/>
            </w:tcBorders>
          </w:tcPr>
          <w:p w14:paraId="55D5D4A9" w14:textId="77777777" w:rsidR="001A455C" w:rsidRPr="001A455C" w:rsidRDefault="001A455C" w:rsidP="001A455C">
            <w:pPr>
              <w:spacing w:line="360" w:lineRule="auto"/>
              <w:rPr>
                <w:lang w:val="en-US"/>
              </w:rPr>
            </w:pPr>
            <w:r w:rsidRPr="001A455C">
              <w:rPr>
                <w:lang w:val="en-US"/>
              </w:rPr>
              <w:t>Levels of measurement resolution</w:t>
            </w:r>
          </w:p>
        </w:tc>
      </w:tr>
      <w:tr w:rsidR="001A455C" w:rsidRPr="001A455C" w14:paraId="3494FEFB" w14:textId="77777777" w:rsidTr="00472ECB">
        <w:tc>
          <w:tcPr>
            <w:tcW w:w="3539" w:type="dxa"/>
            <w:tcBorders>
              <w:top w:val="single" w:sz="4" w:space="0" w:color="auto"/>
              <w:left w:val="nil"/>
              <w:bottom w:val="nil"/>
              <w:right w:val="nil"/>
            </w:tcBorders>
          </w:tcPr>
          <w:p w14:paraId="12206FED" w14:textId="77777777" w:rsidR="001A455C" w:rsidRPr="001A455C" w:rsidRDefault="001A455C" w:rsidP="001A455C">
            <w:pPr>
              <w:spacing w:line="360" w:lineRule="auto"/>
              <w:rPr>
                <w:lang w:val="en-US"/>
              </w:rPr>
            </w:pPr>
            <w:r w:rsidRPr="001A455C">
              <w:rPr>
                <w:lang w:val="en-US"/>
              </w:rPr>
              <w:t>Fall ground cover (%)</w:t>
            </w:r>
          </w:p>
        </w:tc>
        <w:tc>
          <w:tcPr>
            <w:tcW w:w="5477" w:type="dxa"/>
            <w:tcBorders>
              <w:top w:val="single" w:sz="4" w:space="0" w:color="auto"/>
              <w:left w:val="nil"/>
              <w:bottom w:val="nil"/>
              <w:right w:val="nil"/>
            </w:tcBorders>
          </w:tcPr>
          <w:p w14:paraId="0172A062" w14:textId="77777777" w:rsidR="001A455C" w:rsidRPr="001A455C" w:rsidRDefault="001A455C" w:rsidP="001A455C">
            <w:pPr>
              <w:spacing w:line="360" w:lineRule="auto"/>
              <w:rPr>
                <w:lang w:val="en-US"/>
              </w:rPr>
            </w:pPr>
            <w:r w:rsidRPr="001A455C">
              <w:rPr>
                <w:lang w:val="en-US"/>
              </w:rPr>
              <w:t>Soil</w:t>
            </w:r>
          </w:p>
          <w:p w14:paraId="257F7571" w14:textId="77777777" w:rsidR="001A455C" w:rsidRPr="001A455C" w:rsidRDefault="001A455C" w:rsidP="001A455C">
            <w:pPr>
              <w:spacing w:line="360" w:lineRule="auto"/>
              <w:rPr>
                <w:lang w:val="en-US"/>
              </w:rPr>
            </w:pPr>
            <w:r w:rsidRPr="001A455C">
              <w:rPr>
                <w:lang w:val="en-US"/>
              </w:rPr>
              <w:t>Species (AVESA*, CAPBP, CIRAR, EPHEX, HORVW, LOLPE, MATIN, PAPRH, RAPSR, TAROF, TRFRE)</w:t>
            </w:r>
          </w:p>
          <w:p w14:paraId="25C93F7A" w14:textId="77777777" w:rsidR="001A455C" w:rsidRPr="001A455C" w:rsidRDefault="001A455C" w:rsidP="001A455C">
            <w:pPr>
              <w:spacing w:line="360" w:lineRule="auto"/>
              <w:rPr>
                <w:lang w:val="en-US"/>
              </w:rPr>
            </w:pPr>
            <w:r w:rsidRPr="001A455C">
              <w:rPr>
                <w:lang w:val="en-US"/>
              </w:rPr>
              <w:t>Genus (GERSS, LAMSS, SENSS, VERSS)</w:t>
            </w:r>
          </w:p>
        </w:tc>
      </w:tr>
      <w:tr w:rsidR="001A455C" w:rsidRPr="001A455C" w14:paraId="71DD0C29" w14:textId="77777777" w:rsidTr="00472ECB">
        <w:tc>
          <w:tcPr>
            <w:tcW w:w="3539" w:type="dxa"/>
            <w:tcBorders>
              <w:top w:val="nil"/>
              <w:left w:val="nil"/>
              <w:bottom w:val="nil"/>
              <w:right w:val="nil"/>
            </w:tcBorders>
          </w:tcPr>
          <w:p w14:paraId="5306A23C" w14:textId="77777777" w:rsidR="001A455C" w:rsidRPr="001A455C" w:rsidRDefault="001A455C" w:rsidP="001A455C">
            <w:pPr>
              <w:spacing w:line="360" w:lineRule="auto"/>
              <w:rPr>
                <w:lang w:val="en-US"/>
              </w:rPr>
            </w:pPr>
            <w:r w:rsidRPr="001A455C">
              <w:rPr>
                <w:lang w:val="en-US"/>
              </w:rPr>
              <w:t>Fall biomass (g m-2)</w:t>
            </w:r>
          </w:p>
        </w:tc>
        <w:tc>
          <w:tcPr>
            <w:tcW w:w="5477" w:type="dxa"/>
            <w:tcBorders>
              <w:top w:val="nil"/>
              <w:left w:val="nil"/>
              <w:bottom w:val="nil"/>
              <w:right w:val="nil"/>
            </w:tcBorders>
          </w:tcPr>
          <w:p w14:paraId="408ABF16" w14:textId="77777777" w:rsidR="001A455C" w:rsidRPr="001A455C" w:rsidRDefault="001A455C" w:rsidP="001A455C">
            <w:pPr>
              <w:spacing w:line="360" w:lineRule="auto"/>
              <w:rPr>
                <w:lang w:val="en-US"/>
              </w:rPr>
            </w:pPr>
            <w:r w:rsidRPr="001A455C">
              <w:rPr>
                <w:lang w:val="en-US"/>
              </w:rPr>
              <w:t>Cover crop</w:t>
            </w:r>
          </w:p>
          <w:p w14:paraId="25D184B6" w14:textId="77777777" w:rsidR="001A455C" w:rsidRPr="001A455C" w:rsidRDefault="001A455C" w:rsidP="001A455C">
            <w:pPr>
              <w:spacing w:line="360" w:lineRule="auto"/>
              <w:rPr>
                <w:lang w:val="en-US"/>
              </w:rPr>
            </w:pPr>
            <w:r w:rsidRPr="001A455C">
              <w:rPr>
                <w:lang w:val="en-US"/>
              </w:rPr>
              <w:t>Other (all other biomass)</w:t>
            </w:r>
          </w:p>
        </w:tc>
      </w:tr>
      <w:tr w:rsidR="001A455C" w:rsidRPr="001A455C" w14:paraId="11BDA9D9" w14:textId="77777777" w:rsidTr="00472ECB">
        <w:tc>
          <w:tcPr>
            <w:tcW w:w="3539" w:type="dxa"/>
            <w:tcBorders>
              <w:top w:val="nil"/>
              <w:left w:val="nil"/>
              <w:bottom w:val="single" w:sz="4" w:space="0" w:color="auto"/>
              <w:right w:val="nil"/>
            </w:tcBorders>
          </w:tcPr>
          <w:p w14:paraId="48287D20" w14:textId="77777777" w:rsidR="001A455C" w:rsidRPr="001A455C" w:rsidRDefault="001A455C" w:rsidP="001A455C">
            <w:pPr>
              <w:spacing w:line="360" w:lineRule="auto"/>
              <w:rPr>
                <w:lang w:val="en-US"/>
              </w:rPr>
            </w:pPr>
            <w:r w:rsidRPr="001A455C">
              <w:rPr>
                <w:lang w:val="en-US"/>
              </w:rPr>
              <w:t xml:space="preserve">Spring weed counts (number m-2) </w:t>
            </w:r>
            <w:r w:rsidRPr="007D24BE">
              <w:rPr>
                <w:color w:val="FF0000"/>
                <w:lang w:val="en-US"/>
              </w:rPr>
              <w:t>Bo, just making sure the data you gave me is on a per m2 basis</w:t>
            </w:r>
          </w:p>
        </w:tc>
        <w:tc>
          <w:tcPr>
            <w:tcW w:w="5477" w:type="dxa"/>
            <w:tcBorders>
              <w:top w:val="nil"/>
              <w:left w:val="nil"/>
              <w:bottom w:val="single" w:sz="4" w:space="0" w:color="auto"/>
              <w:right w:val="nil"/>
            </w:tcBorders>
          </w:tcPr>
          <w:p w14:paraId="545514C2" w14:textId="77777777" w:rsidR="001A455C" w:rsidRPr="001A455C" w:rsidRDefault="001A455C" w:rsidP="001A455C">
            <w:pPr>
              <w:spacing w:line="360" w:lineRule="auto"/>
              <w:rPr>
                <w:lang w:val="en-US"/>
              </w:rPr>
            </w:pPr>
            <w:r w:rsidRPr="001A455C">
              <w:rPr>
                <w:lang w:val="en-US"/>
              </w:rPr>
              <w:t>CIRAR</w:t>
            </w:r>
          </w:p>
          <w:p w14:paraId="5F0A320A" w14:textId="77777777" w:rsidR="001A455C" w:rsidRPr="001A455C" w:rsidRDefault="001A455C" w:rsidP="001A455C">
            <w:pPr>
              <w:spacing w:line="360" w:lineRule="auto"/>
              <w:rPr>
                <w:lang w:val="en-US"/>
              </w:rPr>
            </w:pPr>
            <w:r w:rsidRPr="001A455C">
              <w:rPr>
                <w:lang w:val="en-US"/>
              </w:rPr>
              <w:t>EQUAR</w:t>
            </w:r>
          </w:p>
          <w:p w14:paraId="252E8220" w14:textId="77777777" w:rsidR="001A455C" w:rsidRPr="001A455C" w:rsidRDefault="001A455C" w:rsidP="001A455C">
            <w:pPr>
              <w:spacing w:line="360" w:lineRule="auto"/>
              <w:rPr>
                <w:lang w:val="en-US"/>
              </w:rPr>
            </w:pPr>
            <w:r w:rsidRPr="001A455C">
              <w:rPr>
                <w:lang w:val="en-US"/>
              </w:rPr>
              <w:t>Dicot</w:t>
            </w:r>
          </w:p>
          <w:p w14:paraId="0442CCF6" w14:textId="77777777" w:rsidR="001A455C" w:rsidRPr="001A455C" w:rsidRDefault="001A455C" w:rsidP="001A455C">
            <w:pPr>
              <w:spacing w:line="360" w:lineRule="auto"/>
              <w:rPr>
                <w:lang w:val="en-US"/>
              </w:rPr>
            </w:pPr>
            <w:r w:rsidRPr="001A455C">
              <w:rPr>
                <w:lang w:val="en-US"/>
              </w:rPr>
              <w:lastRenderedPageBreak/>
              <w:t>Monocot</w:t>
            </w:r>
          </w:p>
        </w:tc>
      </w:tr>
      <w:tr w:rsidR="001A455C" w:rsidRPr="001A455C" w14:paraId="3E842ED7" w14:textId="77777777" w:rsidTr="00472ECB">
        <w:tc>
          <w:tcPr>
            <w:tcW w:w="9016" w:type="dxa"/>
            <w:gridSpan w:val="2"/>
            <w:tcBorders>
              <w:top w:val="single" w:sz="4" w:space="0" w:color="auto"/>
              <w:left w:val="nil"/>
              <w:bottom w:val="nil"/>
              <w:right w:val="nil"/>
            </w:tcBorders>
          </w:tcPr>
          <w:p w14:paraId="3429B151" w14:textId="77777777" w:rsidR="001A455C" w:rsidRPr="001A455C" w:rsidRDefault="001A455C" w:rsidP="001A455C">
            <w:pPr>
              <w:spacing w:line="360" w:lineRule="auto"/>
              <w:rPr>
                <w:lang w:val="en-US"/>
              </w:rPr>
            </w:pPr>
            <w:r w:rsidRPr="001A455C">
              <w:rPr>
                <w:lang w:val="en-US"/>
              </w:rPr>
              <w:lastRenderedPageBreak/>
              <w:t>*EPPO code, see supplemental material for Latin names</w:t>
            </w:r>
          </w:p>
        </w:tc>
      </w:tr>
    </w:tbl>
    <w:p w14:paraId="7005D3B5" w14:textId="77777777" w:rsidR="001A455C" w:rsidRPr="001A455C" w:rsidRDefault="001A455C" w:rsidP="001A455C">
      <w:pPr>
        <w:spacing w:line="360" w:lineRule="auto"/>
        <w:rPr>
          <w:lang w:val="en-US"/>
        </w:rPr>
      </w:pPr>
    </w:p>
    <w:p w14:paraId="01346B9E" w14:textId="77777777" w:rsidR="001A455C" w:rsidRPr="001A455C" w:rsidRDefault="001A455C" w:rsidP="001A455C">
      <w:pPr>
        <w:spacing w:line="360" w:lineRule="auto"/>
        <w:rPr>
          <w:lang w:val="en-US"/>
        </w:rPr>
      </w:pPr>
      <w:r w:rsidRPr="001A455C">
        <w:rPr>
          <w:lang w:val="en-US"/>
        </w:rPr>
        <w:t>Ground cover composition was estimated from digital images taken in the fall (9 November 2018 and 1 November 2019) as done in Melander et al. (2013). Briefly, a 0.5 m</w:t>
      </w:r>
      <w:r w:rsidRPr="001A455C">
        <w:rPr>
          <w:vertAlign w:val="superscript"/>
          <w:lang w:val="en-US"/>
        </w:rPr>
        <w:t>2</w:t>
      </w:r>
      <w:r w:rsidRPr="001A455C">
        <w:rPr>
          <w:lang w:val="en-US"/>
        </w:rPr>
        <w:t> quadrat was placed in the plot, and an image was taken from a height of 1 m above the center of the quadrat. Three images were taken in each plot, meaning 10% of the sub-subplot area was sampled (1.5 m</w:t>
      </w:r>
      <w:r w:rsidRPr="001A455C">
        <w:rPr>
          <w:vertAlign w:val="superscript"/>
          <w:lang w:val="en-US"/>
        </w:rPr>
        <w:t>2</w:t>
      </w:r>
      <w:r w:rsidRPr="001A455C">
        <w:rPr>
          <w:lang w:val="en-US"/>
        </w:rPr>
        <w:t xml:space="preserve"> per 15 m</w:t>
      </w:r>
      <w:r w:rsidRPr="001A455C">
        <w:rPr>
          <w:vertAlign w:val="superscript"/>
          <w:lang w:val="en-US"/>
        </w:rPr>
        <w:t>2</w:t>
      </w:r>
      <w:r w:rsidRPr="001A455C">
        <w:rPr>
          <w:lang w:val="en-US"/>
        </w:rPr>
        <w:t xml:space="preserve"> plot). Each image was subsequently overlaid with a grid consisting of 17 vertical and 17 horizontal lines, resulting in 289 intersections per image. Each intersection was classified as a soil or plant. Plant intersections were further classified to the species (12) or genus (4) level (Table 2). Percent coverage of each type was then calculated by dividing the number of touched intersections in that category by 289 intersections. For categorical analyses, each species/genus was classified as ‘cover crop’, ‘volunteer’ or ‘other.’ </w:t>
      </w:r>
    </w:p>
    <w:p w14:paraId="7A2B2242" w14:textId="77777777" w:rsidR="001A455C" w:rsidRPr="001A455C" w:rsidRDefault="001A455C" w:rsidP="001A455C">
      <w:pPr>
        <w:spacing w:line="360" w:lineRule="auto"/>
        <w:rPr>
          <w:lang w:val="en-US"/>
        </w:rPr>
      </w:pPr>
      <w:r w:rsidRPr="001A455C">
        <w:rPr>
          <w:lang w:val="en-US"/>
        </w:rPr>
        <w:t>The amount of aboveground vegetative biomass in each treatment was measured shortly after image collection for fall ground cover measurements (15 November 2018 and 13 November 2019, respectively). Two 0.5 m2 quadrats were randomly placed in each plot, and all aboveground biomass was cut at ground level and removed. The biomass samples from the two quadrats were combined, then separated into three fractions: cover crops, weeds and volunteers in 2018. In 2019, biomass was only separated into two fractions (cover crops and other, the latter of which included both weeds and volunteers). Therefore, the categories ‘cover crop’ and ‘other’ were used for all statistical analyses (Table 2). The biomass fractions were dried in the oven at 80</w:t>
      </w:r>
      <w:r w:rsidRPr="001A455C">
        <w:rPr>
          <w:vertAlign w:val="superscript"/>
          <w:lang w:val="en-US"/>
        </w:rPr>
        <w:t>o</w:t>
      </w:r>
      <w:r w:rsidRPr="001A455C">
        <w:rPr>
          <w:lang w:val="en-US"/>
        </w:rPr>
        <w:t>C for 24 hours and weighed. Dry biomass for each category was converted to grams per m</w:t>
      </w:r>
      <w:r w:rsidRPr="001A455C">
        <w:rPr>
          <w:vertAlign w:val="superscript"/>
          <w:lang w:val="en-US"/>
        </w:rPr>
        <w:t>2</w:t>
      </w:r>
      <w:r w:rsidRPr="001A455C">
        <w:rPr>
          <w:lang w:val="en-US"/>
        </w:rPr>
        <w:t xml:space="preserve">.  </w:t>
      </w:r>
    </w:p>
    <w:p w14:paraId="7A9E4469" w14:textId="77777777" w:rsidR="001A455C" w:rsidRPr="001A455C" w:rsidRDefault="001A455C" w:rsidP="001A455C">
      <w:pPr>
        <w:spacing w:line="360" w:lineRule="auto"/>
        <w:rPr>
          <w:lang w:val="en-US"/>
        </w:rPr>
      </w:pPr>
      <w:r w:rsidRPr="001A455C">
        <w:rPr>
          <w:lang w:val="en-US"/>
        </w:rPr>
        <w:t>The weed flora emerging in spring in the experimental plots was assessed on 22 May 2019 and 27 May 2020 after post-emergence weed control. Four weed categories were counted in three randomly placed 0.25 m</w:t>
      </w:r>
      <w:r w:rsidRPr="001A455C">
        <w:rPr>
          <w:vertAlign w:val="superscript"/>
          <w:lang w:val="en-US"/>
          <w:rPrChange w:id="10" w:author="Bo Melander" w:date="2025-02-12T12:55:00Z" w16du:dateUtc="2025-02-12T11:55:00Z">
            <w:rPr>
              <w:lang w:val="en-US"/>
            </w:rPr>
          </w:rPrChange>
        </w:rPr>
        <w:t>2</w:t>
      </w:r>
      <w:r w:rsidRPr="001A455C">
        <w:rPr>
          <w:lang w:val="en-US"/>
        </w:rPr>
        <w:t xml:space="preserve"> quadrats per plot. The categories were dicots, monocots, Canada thistle (</w:t>
      </w:r>
      <w:r w:rsidRPr="001A455C">
        <w:rPr>
          <w:i/>
          <w:iCs/>
        </w:rPr>
        <w:t>Cirsium arvense</w:t>
      </w:r>
      <w:r w:rsidRPr="001A455C">
        <w:rPr>
          <w:lang w:val="en-US"/>
        </w:rPr>
        <w:t>) and horsetail (</w:t>
      </w:r>
      <w:r w:rsidRPr="001A455C">
        <w:rPr>
          <w:i/>
          <w:iCs/>
          <w:lang w:val="en-US"/>
        </w:rPr>
        <w:t>Equisetum arvense</w:t>
      </w:r>
      <w:r w:rsidRPr="001A455C">
        <w:rPr>
          <w:lang w:val="en-US"/>
        </w:rPr>
        <w:t xml:space="preserve">). The spring counts were made to record whether there were any traceable effects from previous year’s cover crop treatments. The weed counts in spring were affected by the earlier herbicide spring applications, and the goal was to assess whether the previous fall vegetation resulted in carry-over effects that were detectable even after weed control measures. </w:t>
      </w:r>
    </w:p>
    <w:p w14:paraId="56ED0DCA" w14:textId="44C5B835" w:rsidR="00D00706" w:rsidRPr="001A455C" w:rsidRDefault="001C7F6C" w:rsidP="00045088">
      <w:pPr>
        <w:spacing w:line="360" w:lineRule="auto"/>
        <w:rPr>
          <w:b/>
          <w:bCs/>
          <w:lang w:val="en-US"/>
        </w:rPr>
      </w:pPr>
      <w:r>
        <w:rPr>
          <w:b/>
          <w:bCs/>
          <w:lang w:val="en-US"/>
        </w:rPr>
        <w:t>ECOLOGICAL POTENTAIL VALUE, take from other manuscript</w:t>
      </w:r>
    </w:p>
    <w:p w14:paraId="00BF3892" w14:textId="77777777" w:rsidR="001A455C" w:rsidRDefault="001A455C" w:rsidP="00045088">
      <w:pPr>
        <w:spacing w:line="360" w:lineRule="auto"/>
        <w:rPr>
          <w:b/>
          <w:bCs/>
        </w:rPr>
      </w:pPr>
    </w:p>
    <w:p w14:paraId="427A1079" w14:textId="51D8D9E2" w:rsidR="001C7F6C" w:rsidRDefault="001C7F6C" w:rsidP="001C7F6C">
      <w:pPr>
        <w:spacing w:line="360" w:lineRule="auto"/>
        <w:rPr>
          <w:b/>
          <w:bCs/>
        </w:rPr>
      </w:pPr>
      <w:r w:rsidRPr="003C7F19">
        <w:rPr>
          <w:b/>
          <w:bCs/>
        </w:rPr>
        <w:lastRenderedPageBreak/>
        <w:t>2.</w:t>
      </w:r>
      <w:r>
        <w:rPr>
          <w:b/>
          <w:bCs/>
        </w:rPr>
        <w:t>3</w:t>
      </w:r>
      <w:r w:rsidRPr="003C7F19">
        <w:rPr>
          <w:b/>
          <w:bCs/>
        </w:rPr>
        <w:t xml:space="preserve"> </w:t>
      </w:r>
      <w:r>
        <w:rPr>
          <w:b/>
          <w:bCs/>
        </w:rPr>
        <w:t>Statistics</w:t>
      </w:r>
    </w:p>
    <w:p w14:paraId="50B87325" w14:textId="77777777" w:rsidR="001C7F6C" w:rsidRPr="001C7F6C" w:rsidRDefault="001C7F6C" w:rsidP="001C7F6C">
      <w:pPr>
        <w:spacing w:line="360" w:lineRule="auto"/>
      </w:pPr>
      <w:r w:rsidRPr="001C7F6C">
        <w:t xml:space="preserve">All statistics and figures were done using R version 4.3.3 (CITE) relying heavily on the tidyverse meta package (CITE), and several additional packages (CITE gh4x, readxl, others?). For all statistical models, several models were tested using lme4 (CITE), nlme (CITE), and glmmTMB (CITE), and the best fit was chosen based on inspection of residual plots and AIC criteria (CITE). Only the best fit model is described here, but the R code is available as part of the github repository for this publication (CITE). Marginal means and contrasts were estimated using emmeans (CITE). </w:t>
      </w:r>
    </w:p>
    <w:p w14:paraId="4F26460E" w14:textId="77777777" w:rsidR="001C7F6C" w:rsidRPr="001C7F6C" w:rsidRDefault="001C7F6C" w:rsidP="001C7F6C">
      <w:pPr>
        <w:spacing w:line="360" w:lineRule="auto"/>
      </w:pPr>
      <w:r w:rsidRPr="001C7F6C">
        <w:t xml:space="preserve">Crop yields were modelled using lme4 with main effects of crop, tillage, residue, and cover crop treatment and all possible interactions with a random effect of block, and a random effect of tillage nested within residue nested within block.  </w:t>
      </w:r>
    </w:p>
    <w:p w14:paraId="0A5A6B58" w14:textId="0A64263B" w:rsidR="001C7F6C" w:rsidRPr="001C7F6C" w:rsidRDefault="001C7F6C" w:rsidP="001C7F6C">
      <w:pPr>
        <w:spacing w:line="360" w:lineRule="auto"/>
      </w:pPr>
      <w:r w:rsidRPr="001C7F6C">
        <w:t>For total fall biomass, first a universal model was fit that included fixed effects of a year factor, tillage, residue, and cover crop</w:t>
      </w:r>
      <w:r w:rsidR="00AF5044">
        <w:t xml:space="preserve"> and their interactions and random effects structure to account for the nested experimental design</w:t>
      </w:r>
      <w:r w:rsidR="002314A6">
        <w:t xml:space="preserve"> using glmmTMB (CITE)</w:t>
      </w:r>
      <w:r w:rsidR="00AF5044">
        <w:t xml:space="preserve">. The full model failed to converge, so terms were removed iteratively </w:t>
      </w:r>
      <w:r w:rsidR="002314A6">
        <w:t xml:space="preserve">based on visual inspections of variances, and the best model was chosen based on </w:t>
      </w:r>
      <w:r w:rsidR="00AF5044">
        <w:t xml:space="preserve">AIC criteria. For visualization of differences, </w:t>
      </w:r>
      <w:r w:rsidRPr="001C7F6C">
        <w:t>a separate model was fit separately to each year’s data</w:t>
      </w:r>
      <w:r w:rsidR="00AF5044">
        <w:t xml:space="preserve"> to produce letters of significance using the multcomp package (CITE). </w:t>
      </w:r>
    </w:p>
    <w:p w14:paraId="007B2869" w14:textId="49D4C3CB" w:rsidR="001A455C" w:rsidRDefault="001C7F6C" w:rsidP="001C7F6C">
      <w:pPr>
        <w:spacing w:line="360" w:lineRule="auto"/>
      </w:pPr>
      <w:r w:rsidRPr="001C7F6C">
        <w:t>For the proportion of fall biomass, the cover crop proportion was modelled using glmmTMB with fixed effects of tillage, cover crop, residue, and a year factor with a random effect of block using a binomial family with a logit link.</w:t>
      </w:r>
    </w:p>
    <w:p w14:paraId="47727942" w14:textId="77777777" w:rsidR="0053182E" w:rsidRPr="00045088" w:rsidRDefault="0053182E" w:rsidP="00045088">
      <w:pPr>
        <w:spacing w:line="360" w:lineRule="auto"/>
      </w:pPr>
    </w:p>
    <w:p w14:paraId="0DA2A854" w14:textId="6529F919" w:rsidR="0053182E" w:rsidRPr="00D00706" w:rsidRDefault="00BA7F3D" w:rsidP="00045088">
      <w:pPr>
        <w:spacing w:line="360" w:lineRule="auto"/>
        <w:rPr>
          <w:b/>
          <w:bCs/>
        </w:rPr>
      </w:pPr>
      <w:r w:rsidRPr="00D00706">
        <w:rPr>
          <w:b/>
          <w:bCs/>
        </w:rPr>
        <w:t>3  RESULTS</w:t>
      </w:r>
    </w:p>
    <w:p w14:paraId="34205FB4" w14:textId="069B2DBA" w:rsidR="0053182E" w:rsidRDefault="007D24BE" w:rsidP="00045088">
      <w:pPr>
        <w:spacing w:line="360" w:lineRule="auto"/>
      </w:pPr>
      <w:r>
        <w:t>3.1 Weather and crop yields</w:t>
      </w:r>
    </w:p>
    <w:p w14:paraId="63BE67B5" w14:textId="58CCB54D" w:rsidR="00DA570F" w:rsidRDefault="00953C94" w:rsidP="00045088">
      <w:pPr>
        <w:spacing w:line="360" w:lineRule="auto"/>
      </w:pPr>
      <w:r>
        <w:t xml:space="preserve">The three years of production covered extreme conditions compared to 30-year averages; 2018 was the driest year of the past 30 years, and 2020 was the warmest year. All production years started the season with more precipitation than average, but both 2018 (spring barley) and 2020 (faba bean) moved into drought conditions as the season progressed. </w:t>
      </w:r>
    </w:p>
    <w:p w14:paraId="2E61CD6B" w14:textId="77777777" w:rsidR="007D24BE" w:rsidRDefault="007D24BE" w:rsidP="00045088">
      <w:pPr>
        <w:spacing w:line="360" w:lineRule="auto"/>
      </w:pPr>
    </w:p>
    <w:tbl>
      <w:tblPr>
        <w:tblStyle w:val="TableGrid"/>
        <w:tblW w:w="0" w:type="auto"/>
        <w:tblLook w:val="04A0" w:firstRow="1" w:lastRow="0" w:firstColumn="1" w:lastColumn="0" w:noHBand="0" w:noVBand="1"/>
      </w:tblPr>
      <w:tblGrid>
        <w:gridCol w:w="9016"/>
      </w:tblGrid>
      <w:tr w:rsidR="00F07C2C" w14:paraId="590C1A0F" w14:textId="77777777" w:rsidTr="00F07C2C">
        <w:tc>
          <w:tcPr>
            <w:tcW w:w="9016" w:type="dxa"/>
          </w:tcPr>
          <w:p w14:paraId="731072AC" w14:textId="284A33BA" w:rsidR="00F07C2C" w:rsidRDefault="00F07C2C" w:rsidP="00045088">
            <w:pPr>
              <w:spacing w:line="360" w:lineRule="auto"/>
            </w:pPr>
            <w:r w:rsidRPr="00F07C2C">
              <w:rPr>
                <w:noProof/>
                <w:lang w:val="da-DK"/>
              </w:rPr>
              <w:lastRenderedPageBreak/>
              <w:drawing>
                <wp:inline distT="0" distB="0" distL="0" distR="0" wp14:anchorId="41AF2835" wp14:editId="0AEC9500">
                  <wp:extent cx="5731510" cy="4457700"/>
                  <wp:effectExtent l="0" t="0" r="2540" b="0"/>
                  <wp:docPr id="2016229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457700"/>
                          </a:xfrm>
                          <a:prstGeom prst="rect">
                            <a:avLst/>
                          </a:prstGeom>
                          <a:noFill/>
                          <a:ln>
                            <a:noFill/>
                          </a:ln>
                        </pic:spPr>
                      </pic:pic>
                    </a:graphicData>
                  </a:graphic>
                </wp:inline>
              </w:drawing>
            </w:r>
          </w:p>
        </w:tc>
      </w:tr>
      <w:tr w:rsidR="00F07C2C" w14:paraId="6C9AABF3" w14:textId="77777777" w:rsidTr="00F07C2C">
        <w:tc>
          <w:tcPr>
            <w:tcW w:w="9016" w:type="dxa"/>
          </w:tcPr>
          <w:p w14:paraId="405088BE" w14:textId="34AD6A3A" w:rsidR="00F07C2C" w:rsidRPr="00F07C2C" w:rsidRDefault="00F07C2C" w:rsidP="00CF32A9">
            <w:pPr>
              <w:rPr>
                <w:i/>
                <w:iCs/>
              </w:rPr>
            </w:pPr>
            <w:r w:rsidRPr="007D24BE">
              <w:rPr>
                <w:i/>
                <w:iCs/>
              </w:rPr>
              <w:t>Figure 1</w:t>
            </w:r>
            <w:r w:rsidR="00953C94">
              <w:rPr>
                <w:i/>
                <w:iCs/>
              </w:rPr>
              <w:t xml:space="preserve">. (Top) </w:t>
            </w:r>
            <w:r w:rsidR="00A75203">
              <w:rPr>
                <w:i/>
                <w:iCs/>
              </w:rPr>
              <w:t>Weather summaries comparing study years to 30-year averages. (Bottom) Study yields were comparable to mean yields observed in Denmark for each year (horizontal dashed lines) and were only impacted by cover crop treatment, with the mid-season planted radish (RadM) treatment producing significantly higher yields (asterisk) compared to the other treatments.</w:t>
            </w:r>
          </w:p>
        </w:tc>
      </w:tr>
    </w:tbl>
    <w:p w14:paraId="2B820F6B" w14:textId="77777777" w:rsidR="00F07C2C" w:rsidRDefault="00F07C2C" w:rsidP="00045088">
      <w:pPr>
        <w:spacing w:line="360" w:lineRule="auto"/>
      </w:pPr>
    </w:p>
    <w:p w14:paraId="0D6E7803" w14:textId="2A6E4FA0" w:rsidR="00953C94" w:rsidRPr="00A75203" w:rsidRDefault="00953C94" w:rsidP="00A75203">
      <w:pPr>
        <w:spacing w:line="360" w:lineRule="auto"/>
      </w:pPr>
      <w:r w:rsidRPr="00A75203">
        <w:t xml:space="preserve">Yields varied significantly by crop (p&lt;0.001) and by cover crop treatment (p&lt;0.001), but did not vary significantly by any other factors or their interactions. In 2018 spring barley yields averaged 4.07 Mg ha-1, in 2019 oat yields averaged 4.28 Mg ha-1, and in 2020 faba bean yields averaged 3.47 Mg ha-1. The average grain yields of the present study were lower than national averages for the same crops in the same years [4.28 Mg ha-1 spring barley, 4.94 oats, and 4.08 Mg ha-1 faba bean, respectively </w:t>
      </w:r>
      <w:r w:rsidRPr="00A75203">
        <w:fldChar w:fldCharType="begin"/>
      </w:r>
      <w:r w:rsidRPr="00A75203">
        <w:instrText xml:space="preserve"> ADDIN ZOTERO_ITEM CSL_CITATION {"citationID":"E6tVRQcl","properties":{"formattedCitation":"(FAO, 2023)","plainCitation":"(FAO, 2023)","noteIndex":0},"citationItems":[{"id":1012,"uris":["http://zotero.org/users/3599437/items/JXEWLHKI"],"itemData":{"id":1012,"type":"dataset","publisher":"Food and Agriculture Organization of the United Nations","title":"Crop and Livestock Products","URL":"https://www.fao.org/faostat/en/#data/QCL","author":[{"family":"FAO","given":""}],"issued":{"date-parts":[["2023"]]}}}],"schema":"https://github.com/citation-style-language/schema/raw/master/csl-citation.json"} </w:instrText>
      </w:r>
      <w:r w:rsidRPr="00A75203">
        <w:fldChar w:fldCharType="separate"/>
      </w:r>
      <w:r w:rsidRPr="00A75203">
        <w:t>(FAO, 2023)</w:t>
      </w:r>
      <w:r w:rsidRPr="00A75203">
        <w:fldChar w:fldCharType="end"/>
      </w:r>
      <w:r w:rsidRPr="00A75203">
        <w:t>], but the maximum grain yields observed each year exceeded the national averages. On average, the RadM cover crop treatment exhibited 8% higher crop yields compared to all other cover crop treatments</w:t>
      </w:r>
      <w:r w:rsidR="00A75203">
        <w:t xml:space="preserve"> (p&lt;0.001)</w:t>
      </w:r>
      <w:r w:rsidRPr="00A75203">
        <w:t xml:space="preserve">, which did not vary significantly from each other. </w:t>
      </w:r>
    </w:p>
    <w:p w14:paraId="391A4881" w14:textId="09E93D0F" w:rsidR="00F07C2C" w:rsidRPr="00953C94" w:rsidRDefault="00F07C2C" w:rsidP="00F07C2C">
      <w:pPr>
        <w:spacing w:line="360" w:lineRule="auto"/>
        <w:rPr>
          <w:lang w:val="en-US"/>
        </w:rPr>
      </w:pPr>
    </w:p>
    <w:p w14:paraId="5AE533EA" w14:textId="2A8CB788" w:rsidR="007D24BE" w:rsidRDefault="007D24BE" w:rsidP="00045088">
      <w:pPr>
        <w:spacing w:line="360" w:lineRule="auto"/>
      </w:pPr>
    </w:p>
    <w:p w14:paraId="3CF4EDBC" w14:textId="77777777" w:rsidR="007D24BE" w:rsidRDefault="007D24BE" w:rsidP="00045088">
      <w:pPr>
        <w:spacing w:line="360" w:lineRule="auto"/>
      </w:pPr>
    </w:p>
    <w:p w14:paraId="39D2C597" w14:textId="579D4368" w:rsidR="007D24BE" w:rsidRDefault="007D24BE" w:rsidP="00045088">
      <w:pPr>
        <w:spacing w:line="360" w:lineRule="auto"/>
      </w:pPr>
      <w:r>
        <w:lastRenderedPageBreak/>
        <w:t>3.2 Fall vegetation</w:t>
      </w:r>
    </w:p>
    <w:p w14:paraId="59A3C5E8" w14:textId="77777777" w:rsidR="007D24BE" w:rsidRDefault="007D24BE" w:rsidP="00045088">
      <w:pPr>
        <w:spacing w:line="360" w:lineRule="auto"/>
      </w:pPr>
      <w:r>
        <w:t>3.2.1 Biomass</w:t>
      </w:r>
    </w:p>
    <w:p w14:paraId="2454DF97" w14:textId="5E10927E" w:rsidR="003E7CBF" w:rsidRDefault="00A75203" w:rsidP="00045088">
      <w:pPr>
        <w:spacing w:line="360" w:lineRule="auto"/>
      </w:pPr>
      <w:r>
        <w:t>The full statistical model showed complex interactions</w:t>
      </w:r>
      <w:r w:rsidR="008D2724">
        <w:t xml:space="preserve"> between variables, but with year having the largest impact (p&lt;0.001). </w:t>
      </w:r>
      <w:r w:rsidR="003E7CBF">
        <w:t xml:space="preserve">Residue treatment </w:t>
      </w:r>
      <w:r w:rsidR="003E7CBF">
        <w:t>had a small but significant</w:t>
      </w:r>
      <w:r w:rsidR="008A45D0">
        <w:t xml:space="preserve"> (p&lt;0.001)</w:t>
      </w:r>
      <w:r w:rsidR="003E7CBF">
        <w:t xml:space="preserve"> </w:t>
      </w:r>
      <w:r w:rsidR="008A45D0">
        <w:t xml:space="preserve">main effect, with residue removal reducing </w:t>
      </w:r>
      <w:r w:rsidR="003E7CBF">
        <w:t>fall biomass</w:t>
      </w:r>
      <w:r w:rsidR="008A45D0">
        <w:t xml:space="preserve"> by 0.2 Mg ha-1 (SE:0.05). </w:t>
      </w:r>
      <w:r w:rsidR="003E7CBF" w:rsidRPr="003E7CBF">
        <w:t>In 2018, average fall biomass production was 2.27 Mg ha-1</w:t>
      </w:r>
      <w:r w:rsidR="003E7CBF">
        <w:t xml:space="preserve">, while in 2019 the average fall biomass production was less than half (0.99 Mg ha-1). </w:t>
      </w:r>
    </w:p>
    <w:p w14:paraId="2BF6C4D9" w14:textId="4E52A370" w:rsidR="00F07C2C" w:rsidRDefault="008A45D0" w:rsidP="00045088">
      <w:pPr>
        <w:spacing w:line="360" w:lineRule="auto"/>
      </w:pPr>
      <w:r>
        <w:t xml:space="preserve">The effects of tillage and cover crop were amplified in 2018, with weaker effects in 2019, resulting in significant year interactions. Tillage </w:t>
      </w:r>
      <w:r w:rsidR="00950EEA">
        <w:t xml:space="preserve">effects were strongest in the RadM and RadL </w:t>
      </w:r>
      <w:r w:rsidR="00950EEA" w:rsidRPr="008D2724">
        <w:t>(p=0.048)</w:t>
      </w:r>
      <w:r w:rsidR="00950EEA">
        <w:t xml:space="preserve"> compared to other treatments, and this effect was consistent across years. </w:t>
      </w:r>
      <w:r w:rsidR="008D2724" w:rsidRPr="008D2724">
        <w:t xml:space="preserve">On average, increasing tillage intensity significantly decreased fall biomass by 27% and 9% when moving from no-till to surface tillage, and surface to inversion to surface, respectively. </w:t>
      </w:r>
      <w:r w:rsidR="002314A6">
        <w:t>Growing degree days accumulated from cover crop planting to biomass sampling were not related to fall biomass values.</w:t>
      </w:r>
    </w:p>
    <w:p w14:paraId="27107AF0" w14:textId="77777777" w:rsidR="008877EC" w:rsidRDefault="008877EC" w:rsidP="00045088">
      <w:pPr>
        <w:spacing w:line="360" w:lineRule="auto"/>
      </w:pPr>
    </w:p>
    <w:tbl>
      <w:tblPr>
        <w:tblStyle w:val="TableGrid"/>
        <w:tblW w:w="0" w:type="auto"/>
        <w:tblLook w:val="04A0" w:firstRow="1" w:lastRow="0" w:firstColumn="1" w:lastColumn="0" w:noHBand="0" w:noVBand="1"/>
      </w:tblPr>
      <w:tblGrid>
        <w:gridCol w:w="9016"/>
      </w:tblGrid>
      <w:tr w:rsidR="00F07C2C" w14:paraId="174270A8" w14:textId="77777777" w:rsidTr="00F07C2C">
        <w:tc>
          <w:tcPr>
            <w:tcW w:w="9016" w:type="dxa"/>
          </w:tcPr>
          <w:p w14:paraId="77E13F33" w14:textId="5C7B30A9" w:rsidR="00F07C2C" w:rsidRDefault="00950EEA" w:rsidP="00045088">
            <w:pPr>
              <w:spacing w:line="360" w:lineRule="auto"/>
            </w:pPr>
            <w:r>
              <w:rPr>
                <w:noProof/>
              </w:rPr>
              <w:drawing>
                <wp:inline distT="0" distB="0" distL="0" distR="0" wp14:anchorId="7D06B1C3" wp14:editId="4FC5F7DD">
                  <wp:extent cx="5612486" cy="4490113"/>
                  <wp:effectExtent l="0" t="0" r="7620" b="5715"/>
                  <wp:docPr id="1539333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33181" name="Picture 153933318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8269" cy="4494740"/>
                          </a:xfrm>
                          <a:prstGeom prst="rect">
                            <a:avLst/>
                          </a:prstGeom>
                        </pic:spPr>
                      </pic:pic>
                    </a:graphicData>
                  </a:graphic>
                </wp:inline>
              </w:drawing>
            </w:r>
          </w:p>
        </w:tc>
      </w:tr>
      <w:tr w:rsidR="00F07C2C" w14:paraId="7616A73E" w14:textId="77777777" w:rsidTr="00F07C2C">
        <w:tc>
          <w:tcPr>
            <w:tcW w:w="9016" w:type="dxa"/>
          </w:tcPr>
          <w:p w14:paraId="6AE88A83" w14:textId="5923F085" w:rsidR="00F07C2C" w:rsidRPr="00F07C2C" w:rsidRDefault="00F07C2C" w:rsidP="00AF5044">
            <w:pPr>
              <w:rPr>
                <w:i/>
                <w:iCs/>
              </w:rPr>
            </w:pPr>
            <w:r w:rsidRPr="00F07C2C">
              <w:rPr>
                <w:i/>
                <w:iCs/>
              </w:rPr>
              <w:lastRenderedPageBreak/>
              <w:t>Figure 2</w:t>
            </w:r>
            <w:r w:rsidR="00950EEA">
              <w:rPr>
                <w:i/>
                <w:iCs/>
              </w:rPr>
              <w:t xml:space="preserve"> (Top) Fall biomass was not related to growing degree days (GDDs, italic number in red</w:t>
            </w:r>
            <w:r w:rsidR="00AF5044">
              <w:rPr>
                <w:i/>
                <w:iCs/>
              </w:rPr>
              <w:t>) and exhibited complex treatment interactions (letters within a year indicate significant differences)</w:t>
            </w:r>
            <w:r w:rsidR="00950EEA">
              <w:rPr>
                <w:i/>
                <w:iCs/>
              </w:rPr>
              <w:t xml:space="preserve">. (Bottom) </w:t>
            </w:r>
            <w:r w:rsidR="00AF5044">
              <w:rPr>
                <w:i/>
                <w:iCs/>
              </w:rPr>
              <w:t>Total fall ground cover averaged 25%, and consisted mainly of cash crop volunteers and cover crops, mirroring the fall biomass measurements.</w:t>
            </w:r>
          </w:p>
        </w:tc>
      </w:tr>
    </w:tbl>
    <w:p w14:paraId="6A1DD954" w14:textId="77777777" w:rsidR="00F07C2C" w:rsidRDefault="00F07C2C" w:rsidP="00045088">
      <w:pPr>
        <w:spacing w:line="360" w:lineRule="auto"/>
      </w:pPr>
    </w:p>
    <w:p w14:paraId="74A01EFB" w14:textId="3A6911B3" w:rsidR="007D24BE" w:rsidRDefault="007D24BE" w:rsidP="00045088">
      <w:pPr>
        <w:spacing w:line="360" w:lineRule="auto"/>
      </w:pPr>
      <w:r>
        <w:t>3.2.2 Cover</w:t>
      </w:r>
    </w:p>
    <w:p w14:paraId="56C0BF29" w14:textId="2BE41CE1" w:rsidR="005C0BB4" w:rsidRPr="005C0BB4" w:rsidRDefault="002314A6" w:rsidP="005C0BB4">
      <w:pPr>
        <w:spacing w:line="360" w:lineRule="auto"/>
        <w:rPr>
          <w:lang w:val="en-US"/>
        </w:rPr>
      </w:pPr>
      <w:r>
        <w:t xml:space="preserve">The percentage of the soil covered by vegetation </w:t>
      </w:r>
      <w:r w:rsidR="00CF32A9">
        <w:t>varied</w:t>
      </w:r>
      <w:r>
        <w:t xml:space="preserve"> </w:t>
      </w:r>
      <w:r w:rsidR="008B07A4">
        <w:t>significantly differed by year (p=0.03)</w:t>
      </w:r>
      <w:r w:rsidR="00AF348D">
        <w:t xml:space="preserve"> with a mean of 2</w:t>
      </w:r>
      <w:r w:rsidR="008B07A4">
        <w:t>3</w:t>
      </w:r>
      <w:r w:rsidR="00AF348D">
        <w:t>% (SE:2%) soil exposure</w:t>
      </w:r>
      <w:r w:rsidR="008B07A4">
        <w:t xml:space="preserve"> in 2018 and 30% (SE:3%) in 2019</w:t>
      </w:r>
      <w:r>
        <w:t xml:space="preserve">. </w:t>
      </w:r>
      <w:r w:rsidR="00AF348D">
        <w:t xml:space="preserve">Overall, cover crop species contributed an average of 15% of the fall ground cover, </w:t>
      </w:r>
      <w:r w:rsidR="00763F20">
        <w:t xml:space="preserve">but this varied significantly by cover crop treatment (p&lt;0.001). </w:t>
      </w:r>
      <w:r w:rsidR="00EA5B2A">
        <w:t xml:space="preserve">Tillage, residue, nor their interactions had significant impacts on the coverage categories. The impact of cover crop treatment on </w:t>
      </w:r>
      <w:r w:rsidR="00CF32A9">
        <w:t xml:space="preserve">cover crop </w:t>
      </w:r>
      <w:r w:rsidR="00EA5B2A">
        <w:t>coverage depended on the year, an effect driven by MixE: in 2018 the cover crop</w:t>
      </w:r>
      <w:r w:rsidR="00CF32A9">
        <w:t>s</w:t>
      </w:r>
      <w:r w:rsidR="00EA5B2A">
        <w:t xml:space="preserve"> contributed an average of 21% (SE</w:t>
      </w:r>
      <w:r w:rsidR="00AF348D">
        <w:t xml:space="preserve">:5%) </w:t>
      </w:r>
      <w:r w:rsidR="00CF32A9">
        <w:t xml:space="preserve">coverage, </w:t>
      </w:r>
      <w:r w:rsidR="00AF348D">
        <w:t xml:space="preserve">while in 2019 </w:t>
      </w:r>
      <w:r w:rsidR="00226AAF">
        <w:t xml:space="preserve">they contributed an </w:t>
      </w:r>
      <w:r w:rsidR="00AF348D">
        <w:t xml:space="preserve">average of 58% (SE:6%). </w:t>
      </w:r>
      <w:r w:rsidR="00226AAF">
        <w:t>In the other cover crop treatments, t</w:t>
      </w:r>
      <w:r w:rsidR="00AF348D">
        <w:t xml:space="preserve">he contributions of the cover crop </w:t>
      </w:r>
      <w:r w:rsidR="00226AAF">
        <w:t xml:space="preserve">to coverage </w:t>
      </w:r>
      <w:r w:rsidR="00AF348D">
        <w:t>did not vary significantly by year</w:t>
      </w:r>
      <w:r w:rsidR="005C0BB4">
        <w:t>, with RadM having the highest cover crop coverage (50%, SE:4%), followed by RadL (25%, SE:4%), MixM (7%, SE:3%) and NoCC (&lt;1%, SE:3%)</w:t>
      </w:r>
      <w:r w:rsidR="00AF348D">
        <w:t>.</w:t>
      </w:r>
      <w:r w:rsidR="00F87470">
        <w:t xml:space="preserve"> Cover crop coverage and volunteer/weed coverage was inversely correlated (</w:t>
      </w:r>
      <w:r w:rsidR="009A7EA2">
        <w:t>ρ</w:t>
      </w:r>
      <w:r w:rsidR="00276F65">
        <w:t xml:space="preserve"> = -0.88</w:t>
      </w:r>
      <w:r w:rsidR="009A7EA2">
        <w:t>).</w:t>
      </w:r>
      <w:r w:rsidR="005C0BB4" w:rsidRPr="005C0BB4">
        <w:rPr>
          <w:lang w:val="en-US"/>
        </w:rPr>
        <w:t xml:space="preserve"> </w:t>
      </w:r>
    </w:p>
    <w:p w14:paraId="24FE91C1" w14:textId="77777777" w:rsidR="005C0BB4" w:rsidRPr="005C0BB4" w:rsidRDefault="005C0BB4" w:rsidP="00045088">
      <w:pPr>
        <w:spacing w:line="360" w:lineRule="auto"/>
        <w:rPr>
          <w:lang w:val="en-US"/>
        </w:rPr>
      </w:pPr>
    </w:p>
    <w:p w14:paraId="175BCC64" w14:textId="0CBE15D6" w:rsidR="005C0BB4" w:rsidRPr="005C0BB4" w:rsidRDefault="009A55B2" w:rsidP="00045088">
      <w:pPr>
        <w:spacing w:line="360" w:lineRule="auto"/>
        <w:rPr>
          <w:lang w:val="en-US"/>
        </w:rPr>
      </w:pPr>
      <w:r>
        <w:rPr>
          <w:lang w:val="en-US"/>
        </w:rPr>
        <w:t>STOPPED________________________________________</w:t>
      </w:r>
    </w:p>
    <w:p w14:paraId="5050B1A4" w14:textId="4C3D108B" w:rsidR="007D24BE" w:rsidRDefault="007D24BE" w:rsidP="00045088">
      <w:pPr>
        <w:spacing w:line="360" w:lineRule="auto"/>
      </w:pPr>
      <w:r>
        <w:t>3.2.3 Community</w:t>
      </w:r>
    </w:p>
    <w:tbl>
      <w:tblPr>
        <w:tblStyle w:val="TableGrid"/>
        <w:tblW w:w="0" w:type="auto"/>
        <w:tblLook w:val="04A0" w:firstRow="1" w:lastRow="0" w:firstColumn="1" w:lastColumn="0" w:noHBand="0" w:noVBand="1"/>
      </w:tblPr>
      <w:tblGrid>
        <w:gridCol w:w="9016"/>
      </w:tblGrid>
      <w:tr w:rsidR="0038548F" w14:paraId="31900BDC" w14:textId="77777777" w:rsidTr="0038548F">
        <w:tc>
          <w:tcPr>
            <w:tcW w:w="9016" w:type="dxa"/>
          </w:tcPr>
          <w:p w14:paraId="04F1211D" w14:textId="7AC20310" w:rsidR="0038548F" w:rsidRDefault="0038548F" w:rsidP="00045088">
            <w:pPr>
              <w:spacing w:line="360" w:lineRule="auto"/>
            </w:pPr>
            <w:r>
              <w:rPr>
                <w:noProof/>
              </w:rPr>
              <w:lastRenderedPageBreak/>
              <w:drawing>
                <wp:inline distT="0" distB="0" distL="0" distR="0" wp14:anchorId="7FFC64BC" wp14:editId="79C0EA53">
                  <wp:extent cx="5582093" cy="5582093"/>
                  <wp:effectExtent l="0" t="0" r="0" b="0"/>
                  <wp:docPr id="688305462"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05462" name="Picture 5" descr="A screenshot of a graph&#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84992" cy="5584992"/>
                          </a:xfrm>
                          <a:prstGeom prst="rect">
                            <a:avLst/>
                          </a:prstGeom>
                        </pic:spPr>
                      </pic:pic>
                    </a:graphicData>
                  </a:graphic>
                </wp:inline>
              </w:drawing>
            </w:r>
          </w:p>
        </w:tc>
      </w:tr>
      <w:tr w:rsidR="0038548F" w14:paraId="3D438F13" w14:textId="77777777" w:rsidTr="0038548F">
        <w:tc>
          <w:tcPr>
            <w:tcW w:w="9016" w:type="dxa"/>
          </w:tcPr>
          <w:p w14:paraId="7E23C4D8" w14:textId="3CC67A4E" w:rsidR="0038548F" w:rsidRDefault="0038548F" w:rsidP="00045088">
            <w:pPr>
              <w:spacing w:line="360" w:lineRule="auto"/>
            </w:pPr>
            <w:r>
              <w:t>Figure 3</w:t>
            </w:r>
          </w:p>
        </w:tc>
      </w:tr>
    </w:tbl>
    <w:p w14:paraId="1FF9CD11" w14:textId="77777777" w:rsidR="0038548F" w:rsidRDefault="0038548F" w:rsidP="00045088">
      <w:pPr>
        <w:spacing w:line="360" w:lineRule="auto"/>
      </w:pPr>
    </w:p>
    <w:p w14:paraId="19BD8C5C" w14:textId="5D08A97E" w:rsidR="007D24BE" w:rsidRDefault="007D24BE" w:rsidP="00045088">
      <w:pPr>
        <w:spacing w:line="360" w:lineRule="auto"/>
      </w:pPr>
      <w:r>
        <w:t>3.3 Spring weed counts</w:t>
      </w:r>
    </w:p>
    <w:p w14:paraId="6065DDDF" w14:textId="77777777" w:rsidR="007D24BE" w:rsidRDefault="007D24BE" w:rsidP="00045088">
      <w:pPr>
        <w:spacing w:line="360" w:lineRule="auto"/>
      </w:pPr>
    </w:p>
    <w:p w14:paraId="67D1238F" w14:textId="77777777" w:rsidR="007D24BE" w:rsidRDefault="007D24BE" w:rsidP="00045088">
      <w:pPr>
        <w:spacing w:line="360" w:lineRule="auto"/>
      </w:pPr>
    </w:p>
    <w:p w14:paraId="655D6CC9" w14:textId="77777777" w:rsidR="007D24BE" w:rsidRPr="00045088" w:rsidRDefault="007D24BE" w:rsidP="00045088">
      <w:pPr>
        <w:spacing w:line="360" w:lineRule="auto"/>
      </w:pPr>
    </w:p>
    <w:p w14:paraId="59045747" w14:textId="77777777" w:rsidR="00E1366F" w:rsidRPr="00045088" w:rsidRDefault="00E1366F" w:rsidP="00045088">
      <w:pPr>
        <w:spacing w:line="360" w:lineRule="auto"/>
      </w:pPr>
      <w:r w:rsidRPr="00045088">
        <w:t xml:space="preserve">Results should be separated from discussion. Present the key analysed results objectively. Do not repeat data in both tables and figures.  </w:t>
      </w:r>
    </w:p>
    <w:p w14:paraId="72C49AAA" w14:textId="77777777" w:rsidR="0053182E" w:rsidRPr="00045088" w:rsidRDefault="0053182E" w:rsidP="003C7F19">
      <w:pPr>
        <w:spacing w:line="360" w:lineRule="auto"/>
        <w:ind w:firstLine="720"/>
      </w:pPr>
      <w:r w:rsidRPr="00045088">
        <w:t xml:space="preserve">Analyses of land cover, pesticide and fertiliser use between the sites showed some differences associated with the field size/landscape type (Table 1).  There were no significant differences associated with farms with and without 6 m margins.  Clearly, farm size and mean field size varied with landscape.  Small and intermediate landscapes had similar </w:t>
      </w:r>
      <w:r w:rsidRPr="00045088">
        <w:lastRenderedPageBreak/>
        <w:t>proportions of arable and grassland, but open landscapes were dominated by arable cropping.  There were no significant differences in amounts of nitrogen or pesticides between areas, though the data were highly variable.</w:t>
      </w:r>
    </w:p>
    <w:p w14:paraId="7B6E6597" w14:textId="77777777" w:rsidR="0053182E" w:rsidRPr="00045088" w:rsidRDefault="0053182E" w:rsidP="00045088">
      <w:pPr>
        <w:spacing w:line="360" w:lineRule="auto"/>
      </w:pPr>
    </w:p>
    <w:p w14:paraId="553C392E" w14:textId="77777777" w:rsidR="0053182E" w:rsidRPr="003C7F19" w:rsidRDefault="0053182E" w:rsidP="00045088">
      <w:pPr>
        <w:spacing w:line="360" w:lineRule="auto"/>
        <w:rPr>
          <w:i/>
          <w:iCs/>
        </w:rPr>
      </w:pPr>
      <w:r w:rsidRPr="003C7F19">
        <w:rPr>
          <w:i/>
          <w:iCs/>
        </w:rPr>
        <w:t>Table 1 near here</w:t>
      </w:r>
    </w:p>
    <w:p w14:paraId="026A8623" w14:textId="77777777" w:rsidR="0053182E" w:rsidRPr="00045088" w:rsidRDefault="0053182E" w:rsidP="00045088">
      <w:pPr>
        <w:spacing w:line="360" w:lineRule="auto"/>
      </w:pPr>
    </w:p>
    <w:p w14:paraId="4BA899D2" w14:textId="77777777" w:rsidR="0053182E" w:rsidRPr="00045088" w:rsidRDefault="0053182E" w:rsidP="00045088">
      <w:pPr>
        <w:spacing w:line="360" w:lineRule="auto"/>
      </w:pPr>
      <w:r w:rsidRPr="00045088">
        <w:tab/>
        <w:t xml:space="preserve">Plant diversity in the sown 6 m margins averaged 17.8 species per 15 m2 sample.  Species richness, total cover, cover of monocotyledons and cover of dicotyledons in the strips were unaffected by landscape type, indicating that there was little bias in types of seed mixture used to establish 6 m strips across field sizes and landscapes.  Analysis of the flora of 6 m margins (data not shown) indicated that there were differences in plant communities in the sown strips, with site separations reflecting the dominant grass species present.    Nevertheless, plant species richness was not clearly correlated with the type of dominant grasses present.  </w:t>
      </w:r>
    </w:p>
    <w:p w14:paraId="17AC6EA5" w14:textId="77777777" w:rsidR="0053182E" w:rsidRPr="00045088" w:rsidRDefault="0053182E" w:rsidP="00045088">
      <w:pPr>
        <w:spacing w:line="360" w:lineRule="auto"/>
      </w:pPr>
      <w:r w:rsidRPr="00045088">
        <w:tab/>
        <w:t xml:space="preserve">Analysis of the species richness of the flora of field boundaries and crop centres, using the full dataset of 10 quadrats per site, indicated significantly greater biodiversity in the boundary of margins adjacent to sown 6 m margin strips (Table 2), but no statistical difference between landscapes.  </w:t>
      </w:r>
    </w:p>
    <w:p w14:paraId="4D1D7B9E" w14:textId="77777777" w:rsidR="0053182E" w:rsidRPr="00045088" w:rsidRDefault="0053182E" w:rsidP="00045088">
      <w:pPr>
        <w:spacing w:line="360" w:lineRule="auto"/>
      </w:pPr>
    </w:p>
    <w:p w14:paraId="7F1C47C4" w14:textId="77777777" w:rsidR="0053182E" w:rsidRPr="003C7F19" w:rsidRDefault="0053182E" w:rsidP="00045088">
      <w:pPr>
        <w:spacing w:line="360" w:lineRule="auto"/>
        <w:rPr>
          <w:i/>
          <w:iCs/>
        </w:rPr>
      </w:pPr>
      <w:r w:rsidRPr="003C7F19">
        <w:rPr>
          <w:i/>
          <w:iCs/>
        </w:rPr>
        <w:t>Table 2 near here</w:t>
      </w:r>
    </w:p>
    <w:p w14:paraId="7AFA3591" w14:textId="77777777" w:rsidR="0053182E" w:rsidRPr="00045088" w:rsidRDefault="0053182E" w:rsidP="00045088">
      <w:pPr>
        <w:spacing w:line="360" w:lineRule="auto"/>
      </w:pPr>
    </w:p>
    <w:p w14:paraId="6BE5F62E" w14:textId="77777777" w:rsidR="0053182E" w:rsidRPr="00045088" w:rsidRDefault="0053182E" w:rsidP="00045088">
      <w:pPr>
        <w:spacing w:line="360" w:lineRule="auto"/>
      </w:pPr>
      <w:r w:rsidRPr="00045088">
        <w:tab/>
      </w:r>
    </w:p>
    <w:p w14:paraId="70224250" w14:textId="77777777" w:rsidR="0053182E" w:rsidRPr="00045088" w:rsidRDefault="0053182E" w:rsidP="003C7F19">
      <w:pPr>
        <w:spacing w:line="360" w:lineRule="auto"/>
        <w:ind w:firstLine="720"/>
      </w:pPr>
      <w:r w:rsidRPr="00045088">
        <w:t>Analyses of the cover of the four plant species in the boundary, crop edge and crop centre showed there were significant effects of the presence of the 6 m strip on A. sterilis in all three locations (Table 3).  Galium aparine was unaffected by the margin strips, but E. repens, a rhizomatous grass weed, was less abundant in crop edges adjacent to grass strips.  The perennial grass F. rubra, was more abundant in boundaries and crop edges adjacent to grass margins, possibly reflecting the presence of the species in some seed mixtures.</w:t>
      </w:r>
    </w:p>
    <w:p w14:paraId="6D56DDC9" w14:textId="77777777" w:rsidR="0053182E" w:rsidRPr="00045088" w:rsidRDefault="0053182E" w:rsidP="00045088">
      <w:pPr>
        <w:spacing w:line="360" w:lineRule="auto"/>
      </w:pPr>
    </w:p>
    <w:p w14:paraId="3887696C" w14:textId="77777777" w:rsidR="0053182E" w:rsidRPr="003C7F19" w:rsidRDefault="0053182E" w:rsidP="00045088">
      <w:pPr>
        <w:spacing w:line="360" w:lineRule="auto"/>
        <w:rPr>
          <w:i/>
          <w:iCs/>
        </w:rPr>
      </w:pPr>
      <w:r w:rsidRPr="003C7F19">
        <w:rPr>
          <w:i/>
          <w:iCs/>
        </w:rPr>
        <w:t>Table 3 near here</w:t>
      </w:r>
    </w:p>
    <w:p w14:paraId="3DE42263" w14:textId="77777777" w:rsidR="0053182E" w:rsidRPr="00045088" w:rsidRDefault="0053182E" w:rsidP="00045088">
      <w:pPr>
        <w:spacing w:line="360" w:lineRule="auto"/>
      </w:pPr>
    </w:p>
    <w:p w14:paraId="7407F4BF" w14:textId="77777777" w:rsidR="0053182E" w:rsidRPr="00045088" w:rsidRDefault="0053182E" w:rsidP="003C7F19">
      <w:pPr>
        <w:spacing w:line="360" w:lineRule="auto"/>
        <w:ind w:firstLine="720"/>
      </w:pPr>
      <w:r w:rsidRPr="00045088">
        <w:t xml:space="preserve">Multivariate analysis of the full data, based on means of three quadrats per location, showed the expected differences between the flora of the boundary and the crop (Fig. 1).  Axis 1 of the ordination divided the annual weed flora of the crop edge and crop centre from </w:t>
      </w:r>
      <w:r w:rsidRPr="00045088">
        <w:lastRenderedPageBreak/>
        <w:t>the more perennial flora of the boundaries and sown 6 m margins.  Axis 2 divided the 6 m margins from the boundary flora.  The first and second axes explained 13.6% of the species data and 38.9% of the species-environment relations, with eigenvalues of 0.66 and 0.38 respectively.  The locations provided the major explanatory variables, together with crop types.  There was only one weakly significant landscape variable.</w:t>
      </w:r>
    </w:p>
    <w:p w14:paraId="704539D9" w14:textId="77777777" w:rsidR="0053182E" w:rsidRPr="00045088" w:rsidRDefault="0053182E" w:rsidP="00045088">
      <w:pPr>
        <w:spacing w:line="360" w:lineRule="auto"/>
      </w:pPr>
    </w:p>
    <w:p w14:paraId="00073399" w14:textId="77777777" w:rsidR="0053182E" w:rsidRPr="003C7F19" w:rsidRDefault="0053182E" w:rsidP="00045088">
      <w:pPr>
        <w:spacing w:line="360" w:lineRule="auto"/>
        <w:rPr>
          <w:i/>
          <w:iCs/>
        </w:rPr>
      </w:pPr>
      <w:r w:rsidRPr="003C7F19">
        <w:rPr>
          <w:i/>
          <w:iCs/>
        </w:rPr>
        <w:t>Fig 1 near here</w:t>
      </w:r>
    </w:p>
    <w:p w14:paraId="21579A1A" w14:textId="77777777" w:rsidR="0053182E" w:rsidRPr="00045088" w:rsidRDefault="0053182E" w:rsidP="00045088">
      <w:pPr>
        <w:spacing w:line="360" w:lineRule="auto"/>
      </w:pPr>
    </w:p>
    <w:p w14:paraId="38BFA72B" w14:textId="69C978AD" w:rsidR="0053182E" w:rsidRPr="003C7F19" w:rsidRDefault="00BA7F3D" w:rsidP="00045088">
      <w:pPr>
        <w:spacing w:line="360" w:lineRule="auto"/>
        <w:rPr>
          <w:b/>
          <w:bCs/>
        </w:rPr>
      </w:pPr>
      <w:r w:rsidRPr="003C7F19">
        <w:rPr>
          <w:b/>
          <w:bCs/>
        </w:rPr>
        <w:t>4  DISCUSSION</w:t>
      </w:r>
    </w:p>
    <w:p w14:paraId="2B7D00A7" w14:textId="77777777" w:rsidR="0053182E" w:rsidRPr="00045088" w:rsidRDefault="0053182E" w:rsidP="00045088">
      <w:pPr>
        <w:spacing w:line="360" w:lineRule="auto"/>
      </w:pPr>
    </w:p>
    <w:p w14:paraId="758ECCF3" w14:textId="77777777" w:rsidR="0053182E" w:rsidRPr="00045088" w:rsidRDefault="00E1366F" w:rsidP="00045088">
      <w:pPr>
        <w:spacing w:line="360" w:lineRule="auto"/>
      </w:pPr>
      <w:r w:rsidRPr="00045088">
        <w:t xml:space="preserve">Discuss the implications of the results in the context of previous research. Critically evaluate the methods employed.  </w:t>
      </w:r>
      <w:r w:rsidR="0053182E" w:rsidRPr="00045088">
        <w:t xml:space="preserve">There were on average significantly more plant species in the field boundary hedge bases adjacent to sown grass strips, compared with situations where arable crops were grown up to the boundary.  There is evidence that agrochemicals, particularly fertilisers and herbicides, can have adverse impacts on the flora of field boundaries </w:t>
      </w:r>
      <w:r w:rsidR="0053182E" w:rsidRPr="00045088">
        <w:fldChar w:fldCharType="begin"/>
      </w:r>
      <w:r w:rsidR="0053182E" w:rsidRPr="00045088">
        <w:instrText xml:space="preserve"> ADDIN EN.CITE &lt;EndNote&gt;&lt;Cite&gt;&lt;Author&gt;Kleijn&lt;/Author&gt;&lt;Year&gt;1997&lt;/Year&gt;&lt;RecNum&gt;966&lt;/RecNum&gt;&lt;record&gt;&lt;rec-number&gt;966&lt;/rec-number&gt;&lt;ref-type name="Journal Article"&gt;17&lt;/ref-type&gt;&lt;contributors&gt;&lt;authors&gt;&lt;author&gt;Kleijn, D.&lt;/author&gt;&lt;author&gt;Snoeijing, G.I.J.&lt;/author&gt;&lt;/authors&gt;&lt;/contributors&gt;&lt;titles&gt;&lt;title&gt;Field boundary vegetation and the effects of agrochemical drift: botanical change caused by low levels of herbicide and fertilizer&lt;/title&gt;&lt;secondary-title&gt;Journal of Applied Ecology&lt;/secondary-title&gt;&lt;/titles&gt;&lt;periodical&gt;&lt;full-title&gt;Journal of Applied Ecology&lt;/full-title&gt;&lt;/periodical&gt;&lt;pages&gt;1413-1425&lt;/pages&gt;&lt;volume&gt;34&lt;/volume&gt;&lt;number&gt;6&lt;/number&gt;&lt;keywords&gt;&lt;keyword&gt;nutrient&lt;/keyword&gt;&lt;keyword&gt;diversity&lt;/keyword&gt;&lt;keyword&gt;species richness&lt;/keyword&gt;&lt;keyword&gt;margin&lt;/keyword&gt;&lt;keyword&gt;competition&lt;/keyword&gt;&lt;/keywords&gt;&lt;dates&gt;&lt;year&gt;1997&lt;/year&gt;&lt;/dates&gt;&lt;urls&gt;&lt;/urls&gt;&lt;/record&gt;&lt;/Cite&gt;&lt;Cite&gt;&lt;Author&gt;Gove&lt;/Author&gt;&lt;Year&gt;2007&lt;/Year&gt;&lt;RecNum&gt;4567&lt;/RecNum&gt;&lt;record&gt;&lt;rec-number&gt;4567&lt;/rec-number&gt;&lt;ref-type name="Journal Article"&gt;17&lt;/ref-type&gt;&lt;contributors&gt;&lt;authors&gt;&lt;author&gt;Gove, B.&lt;/author&gt;&lt;author&gt;Power, S. A.&lt;/author&gt;&lt;author&gt;Buckley, G. P.&lt;/author&gt;&lt;author&gt;Ghazoul, J.&lt;/author&gt;&lt;/authors&gt;&lt;/contributors&gt;&lt;titles&gt;&lt;title&gt;Effects of herbicide spray drift and fertilizer overspread on selected species of woodland ground flora: comparison between short-term and long-term impact assessments and field surveys&lt;/title&gt;&lt;secondary-title&gt;Journal of Applied Ecology&lt;/secondary-title&gt;&lt;/titles&gt;&lt;periodical&gt;&lt;full-title&gt;Journal of Applied Ecology&lt;/full-title&gt;&lt;/periodical&gt;&lt;pages&gt;374-384&lt;/pages&gt;&lt;volume&gt;44&lt;/volume&gt;&lt;number&gt;2&lt;/number&gt;&lt;dates&gt;&lt;year&gt;2007&lt;/year&gt;&lt;/dates&gt;&lt;urls&gt;&lt;related-urls&gt;&lt;url&gt;http://www.blackwell-synergy.com/doi/abs/10.1111/j.1365-2664.2007.01261.x &lt;/url&gt;&lt;/related-urls&gt;&lt;/urls&gt;&lt;electronic-resource-num&gt;doi:10.1111/j.1365-2664.2007.01261.x&lt;/electronic-resource-num&gt;&lt;/record&gt;&lt;/Cite&gt;&lt;/EndNote&gt;</w:instrText>
      </w:r>
      <w:r w:rsidR="0053182E" w:rsidRPr="00045088">
        <w:fldChar w:fldCharType="separate"/>
      </w:r>
      <w:r w:rsidR="0053182E" w:rsidRPr="00045088">
        <w:t>(Kleijn &amp; Snoeijing, 1997; Gove et al., 2007)</w:t>
      </w:r>
      <w:r w:rsidR="0053182E" w:rsidRPr="00045088">
        <w:fldChar w:fldCharType="end"/>
      </w:r>
      <w:r w:rsidR="0053182E" w:rsidRPr="00045088">
        <w:t xml:space="preserve">.   Therefore, it is likely that the difference in species diversity is a reflection of contrasting levels of disturbance between the two boundary types.  This is borne out by the greater cover of polycarpic plant species in sites with the margin strips.  Polycarpic species are perennials, whilst the monocarpic species are annuals and biennials that depend on seedling recruitment and, by implication, disturbance to allow that recruitment.  The margin strips, because farming operations take place further away, may provide protection to the hedge base.  Over time, this would favour polycarpic species by reducing the occurrence of safe sites for seedling establishment of weedy annuals and biennials.  These results concur with the results of </w:t>
      </w:r>
      <w:r w:rsidR="0053182E" w:rsidRPr="00045088">
        <w:fldChar w:fldCharType="begin"/>
      </w:r>
      <w:r w:rsidR="0053182E" w:rsidRPr="00045088">
        <w:instrText xml:space="preserve"> ADDIN EN.CITE &lt;EndNote&gt;&lt;Cite&gt;&lt;Author&gt;Moonen&lt;/Author&gt;&lt;Year&gt;2001&lt;/Year&gt;&lt;RecNum&gt;1249&lt;/RecNum&gt;&lt;record&gt;&lt;rec-number&gt;1249&lt;/rec-number&gt;&lt;ref-type name="Journal Article"&gt;17&lt;/ref-type&gt;&lt;contributors&gt;&lt;authors&gt;&lt;author&gt;Moonen, A.C.&lt;/author&gt;&lt;author&gt;Marshall, E.J.P.&lt;/author&gt;&lt;/authors&gt;&lt;/contributors&gt;&lt;titles&gt;&lt;title&gt;The influence of sown margin strips, management and boundary structure on herbaceous field margin vegetation in two neighbouring farms in southern England&lt;/title&gt;&lt;secondary-title&gt;Agriculture, Ecosystems &amp;amp; Environment&lt;/secondary-title&gt;&lt;/titles&gt;&lt;pages&gt;187-202&lt;/pages&gt;&lt;volume&gt;86&lt;/volume&gt;&lt;keywords&gt;&lt;keyword&gt;margin flora diversity strip weed disturbance buffer&lt;/keyword&gt;&lt;/keywords&gt;&lt;dates&gt;&lt;year&gt;2001&lt;/year&gt;&lt;/dates&gt;&lt;urls&gt;&lt;/urls&gt;&lt;/record&gt;&lt;/Cite&gt;&lt;/EndNote&gt;</w:instrText>
      </w:r>
      <w:r w:rsidR="0053182E" w:rsidRPr="00045088">
        <w:fldChar w:fldCharType="separate"/>
      </w:r>
      <w:r w:rsidR="0053182E" w:rsidRPr="00045088">
        <w:t>Moonen &amp; Marshall</w:t>
      </w:r>
      <w:r w:rsidR="002A5F86" w:rsidRPr="00045088">
        <w:t xml:space="preserve"> (</w:t>
      </w:r>
      <w:r w:rsidR="0053182E" w:rsidRPr="00045088">
        <w:t>2001)</w:t>
      </w:r>
      <w:r w:rsidR="0053182E" w:rsidRPr="00045088">
        <w:fldChar w:fldCharType="end"/>
      </w:r>
      <w:r w:rsidR="0053182E" w:rsidRPr="00045088">
        <w:t xml:space="preserve"> from a single farm study and confirm the hypothesis that margins strips can enhance boundary plant diversity.  </w:t>
      </w:r>
    </w:p>
    <w:p w14:paraId="02596EA8" w14:textId="77777777" w:rsidR="0053182E" w:rsidRPr="00045088" w:rsidRDefault="0053182E" w:rsidP="00045088">
      <w:pPr>
        <w:spacing w:line="360" w:lineRule="auto"/>
      </w:pPr>
    </w:p>
    <w:p w14:paraId="3BF6D78E" w14:textId="57110E61" w:rsidR="0053182E" w:rsidRPr="003C7F19" w:rsidRDefault="00BA7F3D" w:rsidP="00045088">
      <w:pPr>
        <w:spacing w:line="360" w:lineRule="auto"/>
        <w:rPr>
          <w:b/>
          <w:bCs/>
        </w:rPr>
      </w:pPr>
      <w:r w:rsidRPr="003C7F19">
        <w:rPr>
          <w:b/>
          <w:bCs/>
        </w:rPr>
        <w:t xml:space="preserve">4.1  </w:t>
      </w:r>
      <w:r w:rsidR="0053182E" w:rsidRPr="003C7F19">
        <w:rPr>
          <w:b/>
          <w:bCs/>
        </w:rPr>
        <w:t>Landscape, field size and weed assemblages</w:t>
      </w:r>
    </w:p>
    <w:p w14:paraId="0CA43A18" w14:textId="77777777" w:rsidR="00D00706" w:rsidRDefault="00D00706" w:rsidP="00045088">
      <w:pPr>
        <w:spacing w:line="360" w:lineRule="auto"/>
      </w:pPr>
    </w:p>
    <w:p w14:paraId="07B84918" w14:textId="29ADD3D4" w:rsidR="0053182E" w:rsidRPr="00045088" w:rsidRDefault="0053182E" w:rsidP="00045088">
      <w:pPr>
        <w:spacing w:line="360" w:lineRule="auto"/>
      </w:pPr>
      <w:r w:rsidRPr="00045088">
        <w:t xml:space="preserve">There has been a trend of increasing field size over the past century.  Removal of hedgerows and field boundaries has facilitated the use of larger and more efficient farm machinery.  Over time, one might expect that the processes of field enlargement, uniformity of management and dispersal, might impact on field flora assemblages.   Current management, in terms of pesticide and fertiliser applications, was apparently similar across the studied </w:t>
      </w:r>
      <w:r w:rsidRPr="00045088">
        <w:lastRenderedPageBreak/>
        <w:t xml:space="preserve">landscapes.  However, the test of effect of landscape structure </w:t>
      </w:r>
      <w:r w:rsidR="002A5F86" w:rsidRPr="00045088">
        <w:t xml:space="preserve">gave </w:t>
      </w:r>
      <w:r w:rsidRPr="00045088">
        <w:t xml:space="preserve">no convincing evidence of differences in weed diversity or weed cover associated with field size. </w:t>
      </w:r>
    </w:p>
    <w:p w14:paraId="7059D746" w14:textId="77777777" w:rsidR="0053182E" w:rsidRPr="00045088" w:rsidRDefault="0053182E" w:rsidP="003C7F19">
      <w:pPr>
        <w:spacing w:line="360" w:lineRule="auto"/>
        <w:ind w:firstLine="720"/>
      </w:pPr>
      <w:r w:rsidRPr="00045088">
        <w:t xml:space="preserve">Total species numbers recorded and diversity partitioning of the crop centre flora also indicated no effects of landscape.  In comparison with a study of organic and conventional arable flora in Germany </w:t>
      </w:r>
      <w:r w:rsidRPr="00045088">
        <w:fldChar w:fldCharType="begin"/>
      </w:r>
      <w:r w:rsidRPr="00045088">
        <w:instrText xml:space="preserve"> ADDIN EN.CITE &lt;EndNote&gt;&lt;Cite&gt;&lt;Author&gt;Clough&lt;/Author&gt;&lt;Year&gt;2007&lt;/Year&gt;&lt;RecNum&gt;4699&lt;/RecNum&gt;&lt;record&gt;&lt;rec-number&gt;4699&lt;/rec-number&gt;&lt;ref-type name="Journal Article"&gt;17&lt;/ref-type&gt;&lt;contributors&gt;&lt;authors&gt;&lt;author&gt;Clough, Yann&lt;/author&gt;&lt;author&gt;Holzschuh, Andrea&lt;/author&gt;&lt;author&gt;Gabriel, Doreen&lt;/author&gt;&lt;author&gt;Purtauf, Tobias&lt;/author&gt;&lt;author&gt;Kleijn, David&lt;/author&gt;&lt;author&gt;Kruess, Andreas&lt;/author&gt;&lt;author&gt;Steffan-Dewenter, Ingolf&lt;/author&gt;&lt;author&gt;Tscharntke, Teja&lt;/author&gt;&lt;/authors&gt;&lt;/contributors&gt;&lt;titles&gt;&lt;title&gt;Alpha and beta diversity of arthropods and plants in organically and conventionally managed wheat fields&lt;/title&gt;&lt;secondary-title&gt;Journal of Applied Ecology&lt;/secondary-title&gt;&lt;/titles&gt;&lt;periodical&gt;&lt;full-title&gt;Journal of Applied Ecology&lt;/full-title&gt;&lt;/periodical&gt;&lt;pages&gt;804-812&lt;/pages&gt;&lt;volume&gt;44&lt;/volume&gt;&lt;number&gt;4&lt;/number&gt;&lt;dates&gt;&lt;year&gt;2007&lt;/year&gt;&lt;/dates&gt;&lt;urls&gt;&lt;related-urls&gt;&lt;url&gt;http://www.blackwell-synergy.com/doi/abs/10.1111/j.1365-2664.2007.01294.x &lt;/url&gt;&lt;/related-urls&gt;&lt;/urls&gt;&lt;electronic-resource-num&gt;doi:10.1111/j.1365-2664.2007.01294.x&lt;/electronic-resource-num&gt;&lt;/record&gt;&lt;/Cite&gt;&lt;/EndNote&gt;</w:instrText>
      </w:r>
      <w:r w:rsidRPr="00045088">
        <w:fldChar w:fldCharType="separate"/>
      </w:r>
      <w:r w:rsidRPr="00045088">
        <w:t>(Clough et al., 2007)</w:t>
      </w:r>
      <w:r w:rsidRPr="00045088">
        <w:fldChar w:fldCharType="end"/>
      </w:r>
      <w:r w:rsidRPr="00045088">
        <w:t xml:space="preserve">, the data here from conventional arable fields showed much lower </w:t>
      </w:r>
      <w:r w:rsidRPr="00045088">
        <w:sym w:font="Symbol" w:char="F061"/>
      </w:r>
      <w:r w:rsidRPr="00045088">
        <w:t xml:space="preserve"> diversity (12% v. 40%).  Most diversity was provided by </w:t>
      </w:r>
      <w:r w:rsidRPr="00045088">
        <w:sym w:font="Symbol" w:char="F062"/>
      </w:r>
      <w:r w:rsidRPr="00045088">
        <w:t xml:space="preserve"> diversity, indicating that weed assemblages showed greatest variability from field-to-field and between regions.  Field-to-field variability in weed assemblages is well-known (e.g. </w:t>
      </w:r>
      <w:r w:rsidRPr="00045088">
        <w:fldChar w:fldCharType="begin"/>
      </w:r>
      <w:r w:rsidRPr="00045088">
        <w:instrText xml:space="preserve"> ADDIN EN.CITE &lt;EndNote&gt;&lt;Cite&gt;&lt;Author&gt;Marshall&lt;/Author&gt;&lt;Year&gt;1994&lt;/Year&gt;&lt;RecNum&gt;1149&lt;/RecNum&gt;&lt;record&gt;&lt;rec-number&gt;1149&lt;/rec-number&gt;&lt;ref-type name="Journal Article"&gt;17&lt;/ref-type&gt;&lt;contributors&gt;&lt;authors&gt;&lt;author&gt;Marshall, E.J.P.&lt;/author&gt;&lt;author&gt;Arnold, G.A.&lt;/author&gt;&lt;/authors&gt;&lt;/contributors&gt;&lt;titles&gt;&lt;title&gt;Weed seed banks in arable fields under contrasting pesticide regimes&lt;/title&gt;&lt;secondary-title&gt;Annals of Applied Biology&lt;/secondary-title&gt;&lt;/titles&gt;&lt;periodical&gt;&lt;full-title&gt;Annals Of Applied Biology&lt;/full-title&gt;&lt;/periodical&gt;&lt;pages&gt;349-360&lt;/pages&gt;&lt;volume&gt;125&lt;/volume&gt;&lt;keywords&gt;&lt;keyword&gt;weed&lt;/keyword&gt;&lt;keyword&gt;seed bank&lt;/keyword&gt;&lt;keyword&gt;mulitvariate&lt;/keyword&gt;&lt;keyword&gt;wheat&lt;/keyword&gt;&lt;keyword&gt;rape&lt;/keyword&gt;&lt;keyword&gt;community&lt;/keyword&gt;&lt;/keywords&gt;&lt;dates&gt;&lt;year&gt;1994&lt;/year&gt;&lt;/dates&gt;&lt;urls&gt;&lt;/urls&gt;&lt;/record&gt;&lt;/Cite&gt;&lt;/EndNote&gt;</w:instrText>
      </w:r>
      <w:r w:rsidRPr="00045088">
        <w:fldChar w:fldCharType="separate"/>
      </w:r>
      <w:r w:rsidRPr="00045088">
        <w:t>Marshall &amp; Arnold (1994)</w:t>
      </w:r>
      <w:r w:rsidRPr="00045088">
        <w:fldChar w:fldCharType="end"/>
      </w:r>
      <w:r w:rsidRPr="00045088">
        <w:t xml:space="preserve">).  There was a trend for greater crop cover with increasing field size, perhaps reflecting efficiencies in crop establishment and management in larger farm enterprises.  The lack of field size effects on weed floras indicates that they probably are not sensitive to factors operating at the landscape scale, at least within predominantly arable landscapes (≥60%).  </w:t>
      </w:r>
    </w:p>
    <w:p w14:paraId="41A4806E" w14:textId="77777777" w:rsidR="00B76139" w:rsidRPr="00045088" w:rsidRDefault="00B76139" w:rsidP="00045088">
      <w:pPr>
        <w:spacing w:line="360" w:lineRule="auto"/>
      </w:pPr>
    </w:p>
    <w:p w14:paraId="5EDFDA4B" w14:textId="5F3A9FC7" w:rsidR="0053182E" w:rsidRPr="003C7F19" w:rsidRDefault="00BA7F3D" w:rsidP="00045088">
      <w:pPr>
        <w:spacing w:line="360" w:lineRule="auto"/>
        <w:rPr>
          <w:b/>
          <w:bCs/>
        </w:rPr>
      </w:pPr>
      <w:r w:rsidRPr="003C7F19">
        <w:rPr>
          <w:b/>
          <w:bCs/>
        </w:rPr>
        <w:t>5  CONCLUSIONS</w:t>
      </w:r>
    </w:p>
    <w:p w14:paraId="2223803F" w14:textId="77777777" w:rsidR="00D00706" w:rsidRDefault="00D00706" w:rsidP="00045088">
      <w:pPr>
        <w:spacing w:line="360" w:lineRule="auto"/>
      </w:pPr>
    </w:p>
    <w:p w14:paraId="4CC66362" w14:textId="080E280F" w:rsidR="0053182E" w:rsidRPr="00045088" w:rsidRDefault="00E1366F" w:rsidP="00045088">
      <w:pPr>
        <w:spacing w:line="360" w:lineRule="auto"/>
      </w:pPr>
      <w:r w:rsidRPr="00045088">
        <w:t xml:space="preserve">This section is optional.  </w:t>
      </w:r>
      <w:r w:rsidR="0053182E" w:rsidRPr="00045088">
        <w:t xml:space="preserve">It is concluded that sown grass strips at arable field edges can enhance boundary plant diversity, particularly by increasing polycarpic species.  Margin strips have a small influence on the weed flora of the crop edge, reducing weed cover of certain species, but have no influence on weed floras of field centres.  Margins strips do not enhance rare arable weed species and may threaten </w:t>
      </w:r>
      <w:r w:rsidR="002A5F86" w:rsidRPr="00045088">
        <w:t xml:space="preserve">the survival of </w:t>
      </w:r>
      <w:r w:rsidR="0053182E" w:rsidRPr="00045088">
        <w:t xml:space="preserve">such species, if </w:t>
      </w:r>
      <w:r w:rsidR="002A5F86" w:rsidRPr="00045088">
        <w:t xml:space="preserve">strips </w:t>
      </w:r>
      <w:r w:rsidR="0053182E" w:rsidRPr="00045088">
        <w:t xml:space="preserve">are sited where </w:t>
      </w:r>
      <w:r w:rsidR="002A5F86" w:rsidRPr="00045088">
        <w:t xml:space="preserve">rare </w:t>
      </w:r>
      <w:r w:rsidR="0053182E" w:rsidRPr="00045088">
        <w:t>species are known to occur in the seedbank at field edges.  Field size and landscape context do not appear to influence weed diversity or cover, though crop type is an important influence on assemblages.</w:t>
      </w:r>
    </w:p>
    <w:p w14:paraId="57ECD489" w14:textId="3999F972" w:rsidR="00045088" w:rsidRPr="00045088" w:rsidRDefault="00045088" w:rsidP="00045088">
      <w:pPr>
        <w:spacing w:line="360" w:lineRule="auto"/>
      </w:pPr>
    </w:p>
    <w:p w14:paraId="5A14BB31" w14:textId="77777777" w:rsidR="00045088" w:rsidRPr="003C7F19" w:rsidRDefault="00045088" w:rsidP="00045088">
      <w:pPr>
        <w:spacing w:line="360" w:lineRule="auto"/>
        <w:rPr>
          <w:b/>
          <w:bCs/>
        </w:rPr>
      </w:pPr>
      <w:r w:rsidRPr="003C7F19">
        <w:rPr>
          <w:b/>
          <w:bCs/>
        </w:rPr>
        <w:t>ACKNOWLEDGEMENTS</w:t>
      </w:r>
    </w:p>
    <w:p w14:paraId="685E2AFA" w14:textId="77777777" w:rsidR="00045088" w:rsidRPr="00045088" w:rsidRDefault="00045088" w:rsidP="00045088">
      <w:pPr>
        <w:spacing w:line="360" w:lineRule="auto"/>
      </w:pPr>
    </w:p>
    <w:p w14:paraId="7FA3B366" w14:textId="77777777" w:rsidR="00045088" w:rsidRPr="00045088" w:rsidRDefault="00045088" w:rsidP="00045088">
      <w:pPr>
        <w:spacing w:line="360" w:lineRule="auto"/>
      </w:pPr>
      <w:r w:rsidRPr="00045088">
        <w:t>Under Acknowledgements please specify contributors to the article other than the authors accredited. Please also include specifications of the source of funding for the study and any potential conflict of interests, if appropriate.  The study formed part of the EU Project QLK5-CT-2002-01495 Evaluating Current European Agri-environment Schemes to Quantify and Improve Nature Conservation Efforts in Agricultural Landscapes (EASY) led by David Kleijn of Wageningen University.</w:t>
      </w:r>
    </w:p>
    <w:p w14:paraId="4626568D" w14:textId="77777777" w:rsidR="00045088" w:rsidRPr="00045088" w:rsidRDefault="00045088" w:rsidP="00045088">
      <w:pPr>
        <w:spacing w:line="360" w:lineRule="auto"/>
      </w:pPr>
    </w:p>
    <w:p w14:paraId="47D33ADC" w14:textId="77777777" w:rsidR="00045088" w:rsidRPr="003C7F19" w:rsidRDefault="00045088" w:rsidP="00045088">
      <w:pPr>
        <w:spacing w:line="360" w:lineRule="auto"/>
        <w:rPr>
          <w:b/>
          <w:bCs/>
        </w:rPr>
      </w:pPr>
      <w:r w:rsidRPr="003C7F19">
        <w:rPr>
          <w:b/>
          <w:bCs/>
        </w:rPr>
        <w:t>CONFLICT OF INTEREST</w:t>
      </w:r>
    </w:p>
    <w:p w14:paraId="53D84E4A" w14:textId="77777777" w:rsidR="00D00706" w:rsidRDefault="00D00706" w:rsidP="00045088">
      <w:pPr>
        <w:spacing w:line="360" w:lineRule="auto"/>
      </w:pPr>
    </w:p>
    <w:p w14:paraId="0D85E962" w14:textId="52D86CF1" w:rsidR="00045088" w:rsidRPr="00045088" w:rsidRDefault="00045088" w:rsidP="00045088">
      <w:pPr>
        <w:spacing w:line="360" w:lineRule="auto"/>
      </w:pPr>
      <w:r w:rsidRPr="00045088">
        <w:t xml:space="preserve">Please state any conflicts of interest. </w:t>
      </w:r>
    </w:p>
    <w:p w14:paraId="63036C91" w14:textId="484FF8D4" w:rsidR="00045088" w:rsidRPr="00045088" w:rsidRDefault="00045088" w:rsidP="00045088">
      <w:pPr>
        <w:spacing w:line="360" w:lineRule="auto"/>
      </w:pPr>
    </w:p>
    <w:p w14:paraId="3F09C697" w14:textId="07994613" w:rsidR="00045088" w:rsidRPr="003C7F19" w:rsidRDefault="00045088" w:rsidP="00045088">
      <w:pPr>
        <w:spacing w:line="360" w:lineRule="auto"/>
        <w:rPr>
          <w:b/>
          <w:bCs/>
        </w:rPr>
      </w:pPr>
      <w:r w:rsidRPr="003C7F19">
        <w:rPr>
          <w:b/>
          <w:bCs/>
        </w:rPr>
        <w:t>REFERENCES</w:t>
      </w:r>
    </w:p>
    <w:p w14:paraId="75EF7E2B" w14:textId="77777777" w:rsidR="00D00706" w:rsidRDefault="00D00706" w:rsidP="003C7F19">
      <w:pPr>
        <w:spacing w:line="360" w:lineRule="auto"/>
      </w:pPr>
      <w:bookmarkStart w:id="11" w:name="_Hlk35339040"/>
    </w:p>
    <w:p w14:paraId="6F70A4C5" w14:textId="0FD83ED7" w:rsidR="003C7F19" w:rsidRDefault="003C7F19" w:rsidP="003C7F19">
      <w:pPr>
        <w:spacing w:line="360" w:lineRule="auto"/>
      </w:pPr>
      <w:r>
        <w:t>The Journal follows the Harvard reference style. In the text, cite authors' names followed by the date of publication, e.g. in the text Author and Author (1994) or in parentheses (Author and Author, 1994). Where there are three or more authors, the first author's name followed by et al. will suffice. Where more than one reference is cited they should be listed in chronological order. References to unpublished work should be cited only in the text as 'A. Author pers. comm.' or 'A. Author unpubl. obs.'. Reference lists should be ordered alphabetically. Journal titles should be quoted in full. 'In press' is only acceptable if a volume number can be quoted.</w:t>
      </w:r>
    </w:p>
    <w:p w14:paraId="4F6E16B2" w14:textId="77777777" w:rsidR="003C7F19" w:rsidRDefault="003C7F19" w:rsidP="003C7F19">
      <w:pPr>
        <w:spacing w:line="360" w:lineRule="auto"/>
      </w:pPr>
    </w:p>
    <w:p w14:paraId="75FBFBDF" w14:textId="4D6991B1" w:rsidR="00045088" w:rsidRDefault="003C7F19" w:rsidP="003C7F19">
      <w:pPr>
        <w:spacing w:line="360" w:lineRule="auto"/>
      </w:pPr>
      <w:r>
        <w:t>Examples</w:t>
      </w:r>
    </w:p>
    <w:p w14:paraId="20357A74" w14:textId="77777777" w:rsidR="003C7F19" w:rsidRPr="00045088" w:rsidRDefault="003C7F19" w:rsidP="00045088">
      <w:pPr>
        <w:spacing w:line="360" w:lineRule="auto"/>
      </w:pPr>
    </w:p>
    <w:p w14:paraId="71DF9545" w14:textId="31E09974" w:rsidR="0053182E" w:rsidRPr="00045088" w:rsidRDefault="00045088" w:rsidP="00045088">
      <w:pPr>
        <w:spacing w:line="360" w:lineRule="auto"/>
      </w:pPr>
      <w:bookmarkStart w:id="12" w:name="_Hlk35339241"/>
      <w:r w:rsidRPr="00045088">
        <w:t xml:space="preserve">Author, A.B. and Author, B.C. (1989) Title of article with lower-case initials to all words. </w:t>
      </w:r>
      <w:r w:rsidRPr="003C7F19">
        <w:rPr>
          <w:i/>
          <w:iCs/>
        </w:rPr>
        <w:t>Journal Title in Full</w:t>
      </w:r>
      <w:r w:rsidRPr="00045088">
        <w:t>,</w:t>
      </w:r>
      <w:r w:rsidR="003C7F19">
        <w:t xml:space="preserve"> </w:t>
      </w:r>
      <w:r w:rsidRPr="00045088">
        <w:t>Volume Number, 123-129.</w:t>
      </w:r>
      <w:r w:rsidRPr="00045088">
        <w:br/>
        <w:t xml:space="preserve">Author, A., Author, B., Author, C. </w:t>
      </w:r>
      <w:r w:rsidRPr="003C7F19">
        <w:rPr>
          <w:i/>
          <w:iCs/>
        </w:rPr>
        <w:t>et al.</w:t>
      </w:r>
      <w:r w:rsidRPr="00045088">
        <w:t xml:space="preserve"> [if more than 6] (Eds) (1994) </w:t>
      </w:r>
      <w:r w:rsidRPr="003C7F19">
        <w:rPr>
          <w:i/>
          <w:iCs/>
        </w:rPr>
        <w:t>Book Title</w:t>
      </w:r>
      <w:r w:rsidRPr="00045088">
        <w:t>. Place: Publisher.</w:t>
      </w:r>
      <w:r w:rsidRPr="00045088">
        <w:br/>
        <w:t>Author, A. and Author, B., Jr (1989) Chapter title. In:</w:t>
      </w:r>
      <w:r w:rsidRPr="00045088" w:rsidDel="00F3169B">
        <w:rPr>
          <w:rFonts w:hint="eastAsia"/>
        </w:rPr>
        <w:t xml:space="preserve"> </w:t>
      </w:r>
      <w:r w:rsidRPr="00045088">
        <w:t xml:space="preserve">Author, F.C. (Ed). </w:t>
      </w:r>
      <w:r w:rsidRPr="003C7F19">
        <w:rPr>
          <w:i/>
          <w:iCs/>
        </w:rPr>
        <w:t>Book Title</w:t>
      </w:r>
      <w:r w:rsidRPr="00045088">
        <w:t>. Place: Publisher. pp. 256-295.</w:t>
      </w:r>
      <w:r w:rsidRPr="00045088">
        <w:br/>
        <w:t xml:space="preserve">Author, A. (1989) </w:t>
      </w:r>
      <w:r w:rsidRPr="003C7F19">
        <w:rPr>
          <w:i/>
          <w:iCs/>
        </w:rPr>
        <w:t>Paper title with lower-case initials to all words</w:t>
      </w:r>
      <w:r w:rsidRPr="00045088">
        <w:t>. PhD thesis, University, Town, Country.</w:t>
      </w:r>
      <w:r w:rsidRPr="00045088">
        <w:br/>
        <w:t>Author, A. (1992) Title of article. In:</w:t>
      </w:r>
      <w:r w:rsidR="003C7F19">
        <w:t xml:space="preserve"> </w:t>
      </w:r>
      <w:r w:rsidRPr="003C7F19">
        <w:rPr>
          <w:i/>
          <w:iCs/>
        </w:rPr>
        <w:t>Proceedings 1991 Title of Conference</w:t>
      </w:r>
      <w:r w:rsidRPr="00045088">
        <w:t xml:space="preserve"> (</w:t>
      </w:r>
      <w:r w:rsidR="003C7F19">
        <w:t>E</w:t>
      </w:r>
      <w:r w:rsidRPr="00045088">
        <w:t>d A</w:t>
      </w:r>
      <w:r w:rsidR="003C7F19">
        <w:t>.</w:t>
      </w:r>
      <w:r w:rsidRPr="00045088">
        <w:t>B</w:t>
      </w:r>
      <w:r w:rsidR="003C7F19">
        <w:t>.</w:t>
      </w:r>
      <w:r w:rsidRPr="00045088">
        <w:t xml:space="preserve"> </w:t>
      </w:r>
      <w:r w:rsidR="003C7F19">
        <w:t>Surname</w:t>
      </w:r>
      <w:r w:rsidRPr="00045088">
        <w:t>) (20-22 November, Location City, Country). 158-165. Location, City, Country: Publisher.</w:t>
      </w:r>
      <w:r w:rsidRPr="00045088">
        <w:br/>
        <w:t xml:space="preserve">Author, A. (2005) </w:t>
      </w:r>
      <w:r w:rsidRPr="003C7F19">
        <w:rPr>
          <w:i/>
          <w:iCs/>
        </w:rPr>
        <w:t>Online database title or webpage title</w:t>
      </w:r>
      <w:r w:rsidRPr="00045088">
        <w:t>. Available at: http//www.webaddress [Accessed day month year].</w:t>
      </w:r>
      <w:bookmarkEnd w:id="12"/>
      <w:r w:rsidRPr="00045088">
        <w:br/>
      </w:r>
      <w:bookmarkEnd w:id="11"/>
    </w:p>
    <w:p w14:paraId="1149B1D2" w14:textId="19ABBACB" w:rsidR="00E1366F" w:rsidRPr="00045088" w:rsidRDefault="00E1366F" w:rsidP="00045088">
      <w:pPr>
        <w:spacing w:line="360" w:lineRule="auto"/>
      </w:pPr>
      <w:r w:rsidRPr="00045088">
        <w:t xml:space="preserve">The editor and publisher recommend that citation of online published papers and other material should be done via a DOI (digital object identifier), which all reputable online </w:t>
      </w:r>
      <w:r w:rsidRPr="00045088">
        <w:lastRenderedPageBreak/>
        <w:t>published material should have - see www.doi.org/ for more information. If an author cites anything which does not have a DOI</w:t>
      </w:r>
      <w:r w:rsidR="00FD5287" w:rsidRPr="00045088">
        <w:t>,</w:t>
      </w:r>
      <w:r w:rsidRPr="00045088">
        <w:t xml:space="preserve"> they run the risk of the cited material not being traceable.</w:t>
      </w:r>
      <w:r w:rsidR="00A31C4F" w:rsidRPr="00045088">
        <w:t xml:space="preserve"> </w:t>
      </w:r>
    </w:p>
    <w:p w14:paraId="53378C2C" w14:textId="77777777" w:rsidR="00E1366F" w:rsidRPr="00045088" w:rsidRDefault="00E1366F" w:rsidP="00045088">
      <w:pPr>
        <w:spacing w:line="360" w:lineRule="auto"/>
      </w:pPr>
    </w:p>
    <w:p w14:paraId="15094762" w14:textId="77777777" w:rsidR="00FD5287" w:rsidRPr="00045088" w:rsidRDefault="00E1366F" w:rsidP="00045088">
      <w:pPr>
        <w:spacing w:line="360" w:lineRule="auto"/>
      </w:pPr>
      <w:r w:rsidRPr="00045088">
        <w:t>We recommend the use of a tool such as EndNote or Reference Manager for reference management and formatting.</w:t>
      </w:r>
      <w:r w:rsidR="00A31C4F" w:rsidRPr="00045088">
        <w:t xml:space="preserve">  </w:t>
      </w:r>
      <w:r w:rsidRPr="00045088">
        <w:t xml:space="preserve">EndNote reference styles can be searched for here: </w:t>
      </w:r>
    </w:p>
    <w:p w14:paraId="20043473" w14:textId="77777777" w:rsidR="00E1366F" w:rsidRPr="00045088" w:rsidRDefault="00FD5287" w:rsidP="00045088">
      <w:pPr>
        <w:spacing w:line="360" w:lineRule="auto"/>
      </w:pPr>
      <w:hyperlink r:id="rId15" w:history="1">
        <w:r w:rsidRPr="00045088">
          <w:rPr>
            <w:rStyle w:val="Hyperlink"/>
          </w:rPr>
          <w:t>www.endnote.com/support/enstyles.asp</w:t>
        </w:r>
      </w:hyperlink>
      <w:r w:rsidR="00E1366F" w:rsidRPr="00045088">
        <w:t xml:space="preserve"> </w:t>
      </w:r>
    </w:p>
    <w:p w14:paraId="5C5CDBF2" w14:textId="77777777" w:rsidR="00E1366F" w:rsidRPr="00045088" w:rsidRDefault="00E1366F" w:rsidP="00045088">
      <w:pPr>
        <w:spacing w:line="360" w:lineRule="auto"/>
      </w:pPr>
      <w:r w:rsidRPr="00045088">
        <w:t xml:space="preserve">Reference Manager reference styles can be searched for here: </w:t>
      </w:r>
      <w:hyperlink r:id="rId16" w:history="1">
        <w:r w:rsidRPr="00045088">
          <w:rPr>
            <w:rStyle w:val="Hyperlink"/>
          </w:rPr>
          <w:t>www.refman.com/support/rmstyles.asp</w:t>
        </w:r>
      </w:hyperlink>
      <w:r w:rsidRPr="00045088">
        <w:t xml:space="preserve"> </w:t>
      </w:r>
    </w:p>
    <w:p w14:paraId="716EA748" w14:textId="77777777" w:rsidR="0053182E" w:rsidRPr="003C7F19" w:rsidRDefault="0053182E" w:rsidP="00045088">
      <w:pPr>
        <w:spacing w:line="360" w:lineRule="auto"/>
      </w:pPr>
      <w:r w:rsidRPr="003C7F19">
        <w:fldChar w:fldCharType="begin"/>
      </w:r>
      <w:r w:rsidRPr="003C7F19">
        <w:instrText xml:space="preserve"> ADDIN EN.REFLIST </w:instrText>
      </w:r>
      <w:r w:rsidRPr="003C7F19">
        <w:fldChar w:fldCharType="separate"/>
      </w:r>
    </w:p>
    <w:p w14:paraId="1F5B820A" w14:textId="44BFB91C" w:rsidR="00D00706" w:rsidRPr="00045088" w:rsidRDefault="003C7F19" w:rsidP="00D00706">
      <w:pPr>
        <w:spacing w:line="360" w:lineRule="auto"/>
      </w:pPr>
      <w:r w:rsidRPr="003C7F19">
        <w:t>Supporting Information is a useful way for an author to include important, but ancillary information with the online version of an article. Examples of Supporting Information include additional tables, data sets, figures, movie files, audio clips, 3D structures, and other related nonessential multimedia files.</w:t>
      </w:r>
      <w:r w:rsidR="00D00706">
        <w:t xml:space="preserve"> </w:t>
      </w:r>
      <w:r w:rsidR="00D00706" w:rsidRPr="00045088">
        <w:t xml:space="preserve">Supporting Information should be cited within the article text and a descriptive legend should be included (see </w:t>
      </w:r>
      <w:r w:rsidR="00D00706">
        <w:t>below</w:t>
      </w:r>
      <w:r w:rsidR="00D00706" w:rsidRPr="00045088">
        <w:t>). It is published as supplied by the author, and a proof is not made available prior to publication; for these reasons, authors should provide any Supporting Information in the desired final format.</w:t>
      </w:r>
    </w:p>
    <w:p w14:paraId="7200DBB6" w14:textId="14987F05" w:rsidR="00AC574D" w:rsidRPr="003C7F19" w:rsidRDefault="00AC574D" w:rsidP="00045088">
      <w:pPr>
        <w:spacing w:line="360" w:lineRule="auto"/>
      </w:pPr>
      <w:r w:rsidRPr="003C7F19">
        <w:t>Online-only supporting information should be provided in its final format as a separate file(s) and text given after the references in the following format:</w:t>
      </w:r>
      <w:r w:rsidR="003C7F19" w:rsidRPr="003C7F19">
        <w:t xml:space="preserve"> </w:t>
      </w:r>
    </w:p>
    <w:p w14:paraId="25F9DA31" w14:textId="77777777" w:rsidR="00CF198B" w:rsidRPr="00045088" w:rsidRDefault="0053182E" w:rsidP="00045088">
      <w:pPr>
        <w:spacing w:line="360" w:lineRule="auto"/>
      </w:pPr>
      <w:r w:rsidRPr="003C7F19">
        <w:fldChar w:fldCharType="end"/>
      </w:r>
    </w:p>
    <w:p w14:paraId="7D34540D" w14:textId="77777777" w:rsidR="00FD5287" w:rsidRPr="003C7F19" w:rsidRDefault="00FD5287" w:rsidP="00045088">
      <w:pPr>
        <w:spacing w:line="360" w:lineRule="auto"/>
        <w:rPr>
          <w:b/>
          <w:bCs/>
        </w:rPr>
      </w:pPr>
      <w:r w:rsidRPr="003C7F19">
        <w:rPr>
          <w:b/>
          <w:bCs/>
        </w:rPr>
        <w:t>Supporting Information</w:t>
      </w:r>
    </w:p>
    <w:p w14:paraId="5B897726" w14:textId="00167194" w:rsidR="00FD5287" w:rsidRDefault="00FD5287" w:rsidP="00045088">
      <w:pPr>
        <w:spacing w:line="360" w:lineRule="auto"/>
      </w:pPr>
      <w:r w:rsidRPr="00045088">
        <w:t>Additional Supporting Information may be found in the online version of this article:</w:t>
      </w:r>
    </w:p>
    <w:p w14:paraId="780FF8CE" w14:textId="77777777" w:rsidR="00D00706" w:rsidRPr="00045088" w:rsidRDefault="00D00706" w:rsidP="00045088">
      <w:pPr>
        <w:spacing w:line="360" w:lineRule="auto"/>
      </w:pPr>
    </w:p>
    <w:p w14:paraId="43ACD388" w14:textId="088A5156" w:rsidR="00FD5287" w:rsidRPr="00045088" w:rsidRDefault="00FD5287" w:rsidP="00045088">
      <w:pPr>
        <w:spacing w:line="360" w:lineRule="auto"/>
      </w:pPr>
      <w:r w:rsidRPr="003C7F19">
        <w:rPr>
          <w:b/>
          <w:bCs/>
        </w:rPr>
        <w:t>T</w:t>
      </w:r>
      <w:r w:rsidR="003C7F19" w:rsidRPr="003C7F19">
        <w:rPr>
          <w:b/>
          <w:bCs/>
        </w:rPr>
        <w:t>ABLE</w:t>
      </w:r>
      <w:r w:rsidRPr="003C7F19">
        <w:rPr>
          <w:b/>
          <w:bCs/>
        </w:rPr>
        <w:t xml:space="preserve"> S1</w:t>
      </w:r>
      <w:r w:rsidRPr="00045088">
        <w:t xml:space="preserve"> Terms selected in a regression type analysis using REML to predict </w:t>
      </w:r>
      <w:r w:rsidRPr="00D00706">
        <w:rPr>
          <w:i/>
          <w:iCs/>
        </w:rPr>
        <w:t>A. myosuroides</w:t>
      </w:r>
      <w:r w:rsidRPr="00045088">
        <w:t xml:space="preserve"> head densities from soil properties.</w:t>
      </w:r>
    </w:p>
    <w:p w14:paraId="583BE35E" w14:textId="595F0FD0" w:rsidR="00FD5287" w:rsidRPr="00045088" w:rsidRDefault="00FD5287" w:rsidP="00045088">
      <w:pPr>
        <w:spacing w:line="360" w:lineRule="auto"/>
      </w:pPr>
      <w:r w:rsidRPr="003C7F19">
        <w:rPr>
          <w:b/>
          <w:bCs/>
        </w:rPr>
        <w:t>F</w:t>
      </w:r>
      <w:r w:rsidR="003C7F19" w:rsidRPr="003C7F19">
        <w:rPr>
          <w:b/>
          <w:bCs/>
        </w:rPr>
        <w:t>IGURE</w:t>
      </w:r>
      <w:r w:rsidRPr="003C7F19">
        <w:rPr>
          <w:b/>
          <w:bCs/>
        </w:rPr>
        <w:t xml:space="preserve"> S1</w:t>
      </w:r>
      <w:r w:rsidRPr="00045088">
        <w:t xml:space="preserve"> Maps showing the kriged soil moisture content (0–10 cm) in each of the 5 fields (a) Radbrook (b) Haversham, (c) Harpenden, (d) Redbourn, (e) Ivinghoe, soil moisture is gravimetric in all cases except Radbrook where the volumetric moisture content is shown.</w:t>
      </w:r>
    </w:p>
    <w:p w14:paraId="0C8E7A9F" w14:textId="77777777" w:rsidR="00AC574D" w:rsidRPr="00045088" w:rsidRDefault="00AC574D" w:rsidP="00045088">
      <w:pPr>
        <w:spacing w:line="360" w:lineRule="auto"/>
      </w:pPr>
    </w:p>
    <w:p w14:paraId="777F91DE" w14:textId="77777777" w:rsidR="00DC7880" w:rsidRPr="00045088" w:rsidRDefault="00DC7880" w:rsidP="00045088">
      <w:pPr>
        <w:spacing w:line="360" w:lineRule="auto"/>
      </w:pPr>
    </w:p>
    <w:p w14:paraId="0AC29914" w14:textId="77777777" w:rsidR="0053182E" w:rsidRPr="00D00706" w:rsidRDefault="00CF198B" w:rsidP="00045088">
      <w:pPr>
        <w:spacing w:line="360" w:lineRule="auto"/>
        <w:rPr>
          <w:b/>
          <w:bCs/>
        </w:rPr>
      </w:pPr>
      <w:r w:rsidRPr="00045088">
        <w:br w:type="page"/>
      </w:r>
      <w:r w:rsidR="00E1366F" w:rsidRPr="00D00706">
        <w:rPr>
          <w:b/>
          <w:bCs/>
        </w:rPr>
        <w:lastRenderedPageBreak/>
        <w:t>Figure legends</w:t>
      </w:r>
    </w:p>
    <w:p w14:paraId="66775287" w14:textId="77777777" w:rsidR="00E1366F" w:rsidRPr="00045088" w:rsidRDefault="00E1366F" w:rsidP="00045088">
      <w:pPr>
        <w:spacing w:line="360" w:lineRule="auto"/>
      </w:pPr>
    </w:p>
    <w:p w14:paraId="0AA60313" w14:textId="07DB3148" w:rsidR="00E1366F" w:rsidRPr="00045088" w:rsidRDefault="00CB1BFB" w:rsidP="00045088">
      <w:pPr>
        <w:spacing w:line="360" w:lineRule="auto"/>
      </w:pPr>
      <w:r w:rsidRPr="00D00706">
        <w:rPr>
          <w:b/>
          <w:bCs/>
        </w:rPr>
        <w:t>FIGURE</w:t>
      </w:r>
      <w:r w:rsidR="00E1366F" w:rsidRPr="00D00706">
        <w:rPr>
          <w:b/>
          <w:bCs/>
        </w:rPr>
        <w:t xml:space="preserve"> 1</w:t>
      </w:r>
      <w:r w:rsidR="00E1366F" w:rsidRPr="00045088">
        <w:t xml:space="preserve">  Canonical Correspondence Analysis ordination of the flora from the boundaries (</w:t>
      </w:r>
      <w:r w:rsidR="00E1366F" w:rsidRPr="00045088">
        <w:sym w:font="Symbol" w:char="F0E0"/>
      </w:r>
      <w:r w:rsidR="00E1366F" w:rsidRPr="00045088">
        <w:t>), 6 m margins (o), crop edges (</w:t>
      </w:r>
      <w:r w:rsidR="00E1366F" w:rsidRPr="00045088">
        <w:sym w:font="Symbol" w:char="F0B4"/>
      </w:r>
      <w:r w:rsidR="00E1366F" w:rsidRPr="00045088">
        <w:t>) and crop centres (</w:t>
      </w:r>
      <w:r w:rsidR="00E1366F" w:rsidRPr="00045088">
        <w:sym w:font="Symbol" w:char="F0D1"/>
      </w:r>
      <w:r w:rsidR="00E1366F" w:rsidRPr="00045088">
        <w:t>) of paired arable fields in southern England.  Data are based on mean species cover from three 5 m2 quadrats per location.  The first two axes explain 39% of the species-environment relations.</w:t>
      </w:r>
    </w:p>
    <w:p w14:paraId="1DD0B750" w14:textId="77777777" w:rsidR="00E1366F" w:rsidRPr="00045088" w:rsidRDefault="00E1366F" w:rsidP="00045088">
      <w:pPr>
        <w:spacing w:line="360" w:lineRule="auto"/>
      </w:pPr>
    </w:p>
    <w:p w14:paraId="6B152F82" w14:textId="77777777" w:rsidR="004E1E8C" w:rsidRPr="00045088" w:rsidRDefault="004E1E8C" w:rsidP="00045088">
      <w:pPr>
        <w:spacing w:line="360" w:lineRule="auto"/>
      </w:pPr>
    </w:p>
    <w:p w14:paraId="26CC77F4" w14:textId="77777777" w:rsidR="004E1E8C" w:rsidRPr="00045088" w:rsidRDefault="004E1E8C" w:rsidP="00045088">
      <w:pPr>
        <w:spacing w:line="360" w:lineRule="auto"/>
      </w:pPr>
      <w:r w:rsidRPr="00045088">
        <w:t>Colour figures</w:t>
      </w:r>
    </w:p>
    <w:p w14:paraId="0D228A82" w14:textId="77777777" w:rsidR="004E1E8C" w:rsidRPr="00045088" w:rsidRDefault="004E1E8C" w:rsidP="00045088">
      <w:pPr>
        <w:spacing w:line="360" w:lineRule="auto"/>
      </w:pPr>
    </w:p>
    <w:p w14:paraId="01285FEB" w14:textId="6618F3AC" w:rsidR="004E1E8C" w:rsidRPr="00045088" w:rsidRDefault="004E1E8C" w:rsidP="00045088">
      <w:pPr>
        <w:spacing w:line="360" w:lineRule="auto"/>
      </w:pPr>
      <w:r w:rsidRPr="00045088">
        <w:t>We publish colour material in the online version free.  However, colour material in the print version, which we also publish, will cost a fee (</w:t>
      </w:r>
      <w:hyperlink r:id="rId17" w:history="1">
        <w:r w:rsidRPr="00045088">
          <w:rPr>
            <w:rStyle w:val="Hyperlink"/>
          </w:rPr>
          <w:t>http://media.wiley.com/assets/7130/52/SN_Sub2000_X_CoW.pdf</w:t>
        </w:r>
      </w:hyperlink>
      <w:r w:rsidRPr="00045088">
        <w:t>).  If you have colour figures</w:t>
      </w:r>
      <w:r w:rsidR="00D00706">
        <w:t>,</w:t>
      </w:r>
      <w:r w:rsidRPr="00045088">
        <w:t xml:space="preserve"> but are not going to pay for colour printing, then please also submit black-and-white versions with appropriately written legends, along with any colour versions.  Please take extreme care that black-and-white versions and legends are interpretable.  For example, colour plates with comments on different colours will not transfer to black-and-white. Usually, this will require new drawings and new legends to be prepared.</w:t>
      </w:r>
    </w:p>
    <w:p w14:paraId="04F460D0" w14:textId="644ACDCF" w:rsidR="0053182E" w:rsidRPr="00045088" w:rsidRDefault="002A5F86" w:rsidP="00045088">
      <w:pPr>
        <w:spacing w:line="360" w:lineRule="auto"/>
      </w:pPr>
      <w:r w:rsidRPr="00045088">
        <w:br w:type="page"/>
      </w:r>
      <w:r w:rsidR="00CB1BFB" w:rsidRPr="00D00706">
        <w:rPr>
          <w:b/>
          <w:bCs/>
        </w:rPr>
        <w:lastRenderedPageBreak/>
        <w:t>TABLE</w:t>
      </w:r>
      <w:r w:rsidR="0053182E" w:rsidRPr="00D00706">
        <w:rPr>
          <w:b/>
          <w:bCs/>
        </w:rPr>
        <w:t xml:space="preserve"> 1</w:t>
      </w:r>
      <w:r w:rsidR="0053182E" w:rsidRPr="00045088">
        <w:t xml:space="preserve">  Mean values of land cover and farm inputs for field sites in three landscape types. NS = not significant</w:t>
      </w:r>
    </w:p>
    <w:p w14:paraId="2E32C602" w14:textId="77777777" w:rsidR="0053182E" w:rsidRPr="00045088" w:rsidRDefault="0053182E" w:rsidP="00045088">
      <w:pPr>
        <w:spacing w:line="360" w:lineRule="auto"/>
      </w:pPr>
    </w:p>
    <w:tbl>
      <w:tblPr>
        <w:tblW w:w="9456" w:type="dxa"/>
        <w:tblLook w:val="01E0" w:firstRow="1" w:lastRow="1" w:firstColumn="1" w:lastColumn="1" w:noHBand="0" w:noVBand="0"/>
      </w:tblPr>
      <w:tblGrid>
        <w:gridCol w:w="2453"/>
        <w:gridCol w:w="1738"/>
        <w:gridCol w:w="1738"/>
        <w:gridCol w:w="1739"/>
        <w:gridCol w:w="1788"/>
      </w:tblGrid>
      <w:tr w:rsidR="0053182E" w:rsidRPr="00045088" w14:paraId="3EAF175F" w14:textId="77777777" w:rsidTr="00CB1BFB">
        <w:tc>
          <w:tcPr>
            <w:tcW w:w="2453" w:type="dxa"/>
            <w:tcBorders>
              <w:top w:val="single" w:sz="4" w:space="0" w:color="auto"/>
            </w:tcBorders>
          </w:tcPr>
          <w:p w14:paraId="6CE313C6" w14:textId="77777777" w:rsidR="0053182E" w:rsidRPr="00045088" w:rsidRDefault="0053182E" w:rsidP="00045088"/>
        </w:tc>
        <w:tc>
          <w:tcPr>
            <w:tcW w:w="5215" w:type="dxa"/>
            <w:gridSpan w:val="3"/>
            <w:tcBorders>
              <w:top w:val="single" w:sz="4" w:space="0" w:color="auto"/>
            </w:tcBorders>
          </w:tcPr>
          <w:p w14:paraId="5E7A73B3" w14:textId="77777777" w:rsidR="0053182E" w:rsidRPr="00045088" w:rsidRDefault="0053182E" w:rsidP="00045088">
            <w:r w:rsidRPr="00045088">
              <w:t>Landscape type</w:t>
            </w:r>
          </w:p>
        </w:tc>
        <w:tc>
          <w:tcPr>
            <w:tcW w:w="1788" w:type="dxa"/>
            <w:tcBorders>
              <w:top w:val="single" w:sz="4" w:space="0" w:color="auto"/>
            </w:tcBorders>
          </w:tcPr>
          <w:p w14:paraId="1AB57751" w14:textId="77777777" w:rsidR="0053182E" w:rsidRPr="00045088" w:rsidRDefault="0053182E" w:rsidP="00045088"/>
        </w:tc>
      </w:tr>
      <w:tr w:rsidR="0053182E" w:rsidRPr="00045088" w14:paraId="03654329" w14:textId="77777777" w:rsidTr="00CB1BFB">
        <w:tc>
          <w:tcPr>
            <w:tcW w:w="2453" w:type="dxa"/>
            <w:tcBorders>
              <w:bottom w:val="single" w:sz="4" w:space="0" w:color="auto"/>
            </w:tcBorders>
          </w:tcPr>
          <w:p w14:paraId="5E207326" w14:textId="77777777" w:rsidR="0053182E" w:rsidRPr="00045088" w:rsidRDefault="0053182E" w:rsidP="00045088"/>
        </w:tc>
        <w:tc>
          <w:tcPr>
            <w:tcW w:w="1738" w:type="dxa"/>
            <w:tcBorders>
              <w:bottom w:val="single" w:sz="4" w:space="0" w:color="auto"/>
            </w:tcBorders>
          </w:tcPr>
          <w:p w14:paraId="1DEE5844" w14:textId="77777777" w:rsidR="0053182E" w:rsidRPr="00045088" w:rsidRDefault="0053182E" w:rsidP="00045088">
            <w:r w:rsidRPr="00045088">
              <w:t>Small</w:t>
            </w:r>
          </w:p>
        </w:tc>
        <w:tc>
          <w:tcPr>
            <w:tcW w:w="1738" w:type="dxa"/>
            <w:tcBorders>
              <w:bottom w:val="single" w:sz="4" w:space="0" w:color="auto"/>
            </w:tcBorders>
          </w:tcPr>
          <w:p w14:paraId="5BBCEBEA" w14:textId="77777777" w:rsidR="0053182E" w:rsidRPr="00045088" w:rsidRDefault="0053182E" w:rsidP="00045088">
            <w:r w:rsidRPr="00045088">
              <w:t>Intermediate</w:t>
            </w:r>
          </w:p>
        </w:tc>
        <w:tc>
          <w:tcPr>
            <w:tcW w:w="1739" w:type="dxa"/>
            <w:tcBorders>
              <w:bottom w:val="single" w:sz="4" w:space="0" w:color="auto"/>
            </w:tcBorders>
          </w:tcPr>
          <w:p w14:paraId="79B34739" w14:textId="77777777" w:rsidR="0053182E" w:rsidRPr="00045088" w:rsidRDefault="0053182E" w:rsidP="00045088">
            <w:r w:rsidRPr="00045088">
              <w:t>Open</w:t>
            </w:r>
          </w:p>
        </w:tc>
        <w:tc>
          <w:tcPr>
            <w:tcW w:w="1788" w:type="dxa"/>
            <w:tcBorders>
              <w:bottom w:val="single" w:sz="4" w:space="0" w:color="auto"/>
            </w:tcBorders>
          </w:tcPr>
          <w:p w14:paraId="6DC04007" w14:textId="77777777" w:rsidR="0053182E" w:rsidRPr="00045088" w:rsidRDefault="0053182E" w:rsidP="00045088">
            <w:r w:rsidRPr="00045088">
              <w:t>SED (df</w:t>
            </w:r>
            <w:r w:rsidR="002A5F86" w:rsidRPr="00045088">
              <w:t xml:space="preserve"> </w:t>
            </w:r>
            <w:r w:rsidRPr="00045088">
              <w:t>=</w:t>
            </w:r>
            <w:r w:rsidR="002A5F86" w:rsidRPr="00045088">
              <w:t xml:space="preserve"> </w:t>
            </w:r>
            <w:r w:rsidRPr="00045088">
              <w:t>18)</w:t>
            </w:r>
          </w:p>
        </w:tc>
      </w:tr>
      <w:tr w:rsidR="0053182E" w:rsidRPr="00045088" w14:paraId="2053E609" w14:textId="77777777" w:rsidTr="00CB1BFB">
        <w:tc>
          <w:tcPr>
            <w:tcW w:w="2453" w:type="dxa"/>
            <w:tcBorders>
              <w:top w:val="single" w:sz="4" w:space="0" w:color="auto"/>
            </w:tcBorders>
          </w:tcPr>
          <w:p w14:paraId="5ECE1DB0" w14:textId="77777777" w:rsidR="0053182E" w:rsidRPr="00045088" w:rsidRDefault="0053182E" w:rsidP="00045088">
            <w:r w:rsidRPr="00045088">
              <w:t>Mean farm size (ha)</w:t>
            </w:r>
          </w:p>
        </w:tc>
        <w:tc>
          <w:tcPr>
            <w:tcW w:w="1738" w:type="dxa"/>
            <w:tcBorders>
              <w:top w:val="single" w:sz="4" w:space="0" w:color="auto"/>
            </w:tcBorders>
          </w:tcPr>
          <w:p w14:paraId="2455BFB5" w14:textId="77777777" w:rsidR="0053182E" w:rsidRPr="00045088" w:rsidRDefault="0053182E" w:rsidP="00045088">
            <w:r w:rsidRPr="00045088">
              <w:t>335</w:t>
            </w:r>
          </w:p>
        </w:tc>
        <w:tc>
          <w:tcPr>
            <w:tcW w:w="1738" w:type="dxa"/>
            <w:tcBorders>
              <w:top w:val="single" w:sz="4" w:space="0" w:color="auto"/>
            </w:tcBorders>
          </w:tcPr>
          <w:p w14:paraId="08A84345" w14:textId="77777777" w:rsidR="0053182E" w:rsidRPr="00045088" w:rsidRDefault="0053182E" w:rsidP="00045088">
            <w:r w:rsidRPr="00045088">
              <w:t>626</w:t>
            </w:r>
          </w:p>
        </w:tc>
        <w:tc>
          <w:tcPr>
            <w:tcW w:w="1739" w:type="dxa"/>
            <w:tcBorders>
              <w:top w:val="single" w:sz="4" w:space="0" w:color="auto"/>
            </w:tcBorders>
          </w:tcPr>
          <w:p w14:paraId="3A29709A" w14:textId="77777777" w:rsidR="0053182E" w:rsidRPr="00045088" w:rsidRDefault="0053182E" w:rsidP="00045088">
            <w:r w:rsidRPr="00045088">
              <w:t>1109</w:t>
            </w:r>
          </w:p>
        </w:tc>
        <w:tc>
          <w:tcPr>
            <w:tcW w:w="1788" w:type="dxa"/>
            <w:tcBorders>
              <w:top w:val="single" w:sz="4" w:space="0" w:color="auto"/>
            </w:tcBorders>
          </w:tcPr>
          <w:p w14:paraId="62D1A92C" w14:textId="77777777" w:rsidR="0053182E" w:rsidRPr="00045088" w:rsidRDefault="0053182E" w:rsidP="00045088">
            <w:r w:rsidRPr="00045088">
              <w:t>234</w:t>
            </w:r>
          </w:p>
        </w:tc>
      </w:tr>
      <w:tr w:rsidR="0053182E" w:rsidRPr="00045088" w14:paraId="39E83C19" w14:textId="77777777" w:rsidTr="00CB1BFB">
        <w:tc>
          <w:tcPr>
            <w:tcW w:w="2453" w:type="dxa"/>
          </w:tcPr>
          <w:p w14:paraId="4DACB412" w14:textId="77777777" w:rsidR="0053182E" w:rsidRPr="00045088" w:rsidRDefault="0053182E" w:rsidP="00045088"/>
        </w:tc>
        <w:tc>
          <w:tcPr>
            <w:tcW w:w="1738" w:type="dxa"/>
          </w:tcPr>
          <w:p w14:paraId="7584F758" w14:textId="77777777" w:rsidR="0053182E" w:rsidRPr="00045088" w:rsidRDefault="0053182E" w:rsidP="00045088"/>
        </w:tc>
        <w:tc>
          <w:tcPr>
            <w:tcW w:w="1738" w:type="dxa"/>
          </w:tcPr>
          <w:p w14:paraId="0911DEE3" w14:textId="77777777" w:rsidR="0053182E" w:rsidRPr="00045088" w:rsidRDefault="0053182E" w:rsidP="00045088"/>
        </w:tc>
        <w:tc>
          <w:tcPr>
            <w:tcW w:w="1739" w:type="dxa"/>
          </w:tcPr>
          <w:p w14:paraId="0DA05DF2" w14:textId="77777777" w:rsidR="0053182E" w:rsidRPr="00045088" w:rsidRDefault="0053182E" w:rsidP="00045088"/>
        </w:tc>
        <w:tc>
          <w:tcPr>
            <w:tcW w:w="1788" w:type="dxa"/>
          </w:tcPr>
          <w:p w14:paraId="5C40B839" w14:textId="77777777" w:rsidR="0053182E" w:rsidRPr="00045088" w:rsidRDefault="0053182E" w:rsidP="00045088"/>
        </w:tc>
      </w:tr>
      <w:tr w:rsidR="0053182E" w:rsidRPr="00045088" w14:paraId="0695412E" w14:textId="77777777" w:rsidTr="00CB1BFB">
        <w:tc>
          <w:tcPr>
            <w:tcW w:w="4191" w:type="dxa"/>
            <w:gridSpan w:val="2"/>
          </w:tcPr>
          <w:p w14:paraId="1D56594F" w14:textId="77777777" w:rsidR="0053182E" w:rsidRPr="00045088" w:rsidRDefault="0053182E" w:rsidP="00045088">
            <w:r w:rsidRPr="00045088">
              <w:t>Variable (for 500 m circle)</w:t>
            </w:r>
          </w:p>
        </w:tc>
        <w:tc>
          <w:tcPr>
            <w:tcW w:w="1738" w:type="dxa"/>
          </w:tcPr>
          <w:p w14:paraId="14ACF774" w14:textId="77777777" w:rsidR="0053182E" w:rsidRPr="00045088" w:rsidRDefault="0053182E" w:rsidP="00045088"/>
        </w:tc>
        <w:tc>
          <w:tcPr>
            <w:tcW w:w="1739" w:type="dxa"/>
          </w:tcPr>
          <w:p w14:paraId="4A9DE91E" w14:textId="77777777" w:rsidR="0053182E" w:rsidRPr="00045088" w:rsidRDefault="0053182E" w:rsidP="00045088"/>
        </w:tc>
        <w:tc>
          <w:tcPr>
            <w:tcW w:w="1788" w:type="dxa"/>
          </w:tcPr>
          <w:p w14:paraId="270504C8" w14:textId="77777777" w:rsidR="0053182E" w:rsidRPr="00045088" w:rsidRDefault="0053182E" w:rsidP="00045088"/>
        </w:tc>
      </w:tr>
      <w:tr w:rsidR="0053182E" w:rsidRPr="00045088" w14:paraId="4AE7CFAE" w14:textId="77777777" w:rsidTr="00CB1BFB">
        <w:tc>
          <w:tcPr>
            <w:tcW w:w="2453" w:type="dxa"/>
          </w:tcPr>
          <w:p w14:paraId="26F230FE" w14:textId="77777777" w:rsidR="0053182E" w:rsidRPr="00045088" w:rsidRDefault="0053182E" w:rsidP="00045088">
            <w:r w:rsidRPr="00045088">
              <w:t>Mean field size (ha)</w:t>
            </w:r>
          </w:p>
        </w:tc>
        <w:tc>
          <w:tcPr>
            <w:tcW w:w="1738" w:type="dxa"/>
          </w:tcPr>
          <w:p w14:paraId="344E4B5A" w14:textId="77777777" w:rsidR="0053182E" w:rsidRPr="00045088" w:rsidRDefault="0053182E" w:rsidP="00045088">
            <w:r w:rsidRPr="00045088">
              <w:t>5.4</w:t>
            </w:r>
          </w:p>
        </w:tc>
        <w:tc>
          <w:tcPr>
            <w:tcW w:w="1738" w:type="dxa"/>
          </w:tcPr>
          <w:p w14:paraId="3AAD95AF" w14:textId="77777777" w:rsidR="0053182E" w:rsidRPr="00045088" w:rsidRDefault="0053182E" w:rsidP="00045088">
            <w:r w:rsidRPr="00045088">
              <w:t>9.1</w:t>
            </w:r>
          </w:p>
        </w:tc>
        <w:tc>
          <w:tcPr>
            <w:tcW w:w="1739" w:type="dxa"/>
          </w:tcPr>
          <w:p w14:paraId="30543A2F" w14:textId="77777777" w:rsidR="0053182E" w:rsidRPr="00045088" w:rsidRDefault="0053182E" w:rsidP="00045088">
            <w:r w:rsidRPr="00045088">
              <w:t>13.0</w:t>
            </w:r>
          </w:p>
        </w:tc>
        <w:tc>
          <w:tcPr>
            <w:tcW w:w="1788" w:type="dxa"/>
          </w:tcPr>
          <w:p w14:paraId="2A48EE39" w14:textId="77777777" w:rsidR="0053182E" w:rsidRPr="00045088" w:rsidRDefault="0053182E" w:rsidP="00045088">
            <w:r w:rsidRPr="00045088">
              <w:t>0.99</w:t>
            </w:r>
          </w:p>
        </w:tc>
      </w:tr>
      <w:tr w:rsidR="0053182E" w:rsidRPr="00045088" w14:paraId="42044985" w14:textId="77777777" w:rsidTr="00CB1BFB">
        <w:tc>
          <w:tcPr>
            <w:tcW w:w="2453" w:type="dxa"/>
          </w:tcPr>
          <w:p w14:paraId="3A173149" w14:textId="77777777" w:rsidR="0053182E" w:rsidRPr="00045088" w:rsidRDefault="0053182E" w:rsidP="00045088">
            <w:r w:rsidRPr="00045088">
              <w:t>No. fields</w:t>
            </w:r>
          </w:p>
        </w:tc>
        <w:tc>
          <w:tcPr>
            <w:tcW w:w="1738" w:type="dxa"/>
          </w:tcPr>
          <w:p w14:paraId="26CA86A7" w14:textId="77777777" w:rsidR="0053182E" w:rsidRPr="00045088" w:rsidRDefault="00002830" w:rsidP="00045088">
            <w:r w:rsidRPr="00045088">
              <w:t>20.7</w:t>
            </w:r>
          </w:p>
        </w:tc>
        <w:tc>
          <w:tcPr>
            <w:tcW w:w="1738" w:type="dxa"/>
          </w:tcPr>
          <w:p w14:paraId="429C72EF" w14:textId="77777777" w:rsidR="0053182E" w:rsidRPr="00045088" w:rsidRDefault="00002830" w:rsidP="00045088">
            <w:r w:rsidRPr="00045088">
              <w:t>18.2</w:t>
            </w:r>
          </w:p>
        </w:tc>
        <w:tc>
          <w:tcPr>
            <w:tcW w:w="1739" w:type="dxa"/>
          </w:tcPr>
          <w:p w14:paraId="06F2127E" w14:textId="77777777" w:rsidR="0053182E" w:rsidRPr="00045088" w:rsidRDefault="0053182E" w:rsidP="00045088">
            <w:r w:rsidRPr="00045088">
              <w:t>11.</w:t>
            </w:r>
            <w:r w:rsidR="00002830" w:rsidRPr="00045088">
              <w:t>8</w:t>
            </w:r>
          </w:p>
        </w:tc>
        <w:tc>
          <w:tcPr>
            <w:tcW w:w="1788" w:type="dxa"/>
          </w:tcPr>
          <w:p w14:paraId="0FBC332F" w14:textId="77777777" w:rsidR="0053182E" w:rsidRPr="00045088" w:rsidRDefault="0053182E" w:rsidP="00045088">
            <w:r w:rsidRPr="00045088">
              <w:t>2.604</w:t>
            </w:r>
          </w:p>
        </w:tc>
      </w:tr>
      <w:tr w:rsidR="0053182E" w:rsidRPr="00045088" w14:paraId="104D2B34" w14:textId="77777777" w:rsidTr="00CB1BFB">
        <w:tc>
          <w:tcPr>
            <w:tcW w:w="2453" w:type="dxa"/>
          </w:tcPr>
          <w:p w14:paraId="39855D0A" w14:textId="77777777" w:rsidR="0053182E" w:rsidRPr="00045088" w:rsidRDefault="0053182E" w:rsidP="00045088">
            <w:r w:rsidRPr="00045088">
              <w:t>No. grass fields</w:t>
            </w:r>
          </w:p>
        </w:tc>
        <w:tc>
          <w:tcPr>
            <w:tcW w:w="1738" w:type="dxa"/>
          </w:tcPr>
          <w:p w14:paraId="4C4F2DC9" w14:textId="77777777" w:rsidR="0053182E" w:rsidRPr="00045088" w:rsidRDefault="00002830" w:rsidP="00045088">
            <w:r w:rsidRPr="00045088">
              <w:t>7.5</w:t>
            </w:r>
          </w:p>
        </w:tc>
        <w:tc>
          <w:tcPr>
            <w:tcW w:w="1738" w:type="dxa"/>
          </w:tcPr>
          <w:p w14:paraId="149C5A1B" w14:textId="77777777" w:rsidR="0053182E" w:rsidRPr="00045088" w:rsidRDefault="00002830" w:rsidP="00045088">
            <w:r w:rsidRPr="00045088">
              <w:t>8.4</w:t>
            </w:r>
          </w:p>
        </w:tc>
        <w:tc>
          <w:tcPr>
            <w:tcW w:w="1739" w:type="dxa"/>
          </w:tcPr>
          <w:p w14:paraId="4D39685E" w14:textId="77777777" w:rsidR="0053182E" w:rsidRPr="00045088" w:rsidRDefault="00002830" w:rsidP="00045088">
            <w:r w:rsidRPr="00045088">
              <w:t>2.0</w:t>
            </w:r>
          </w:p>
        </w:tc>
        <w:tc>
          <w:tcPr>
            <w:tcW w:w="1788" w:type="dxa"/>
          </w:tcPr>
          <w:p w14:paraId="2E65BE95" w14:textId="77777777" w:rsidR="0053182E" w:rsidRPr="00045088" w:rsidRDefault="0053182E" w:rsidP="00045088">
            <w:r w:rsidRPr="00045088">
              <w:t>2.058</w:t>
            </w:r>
          </w:p>
        </w:tc>
      </w:tr>
      <w:tr w:rsidR="0053182E" w:rsidRPr="00045088" w14:paraId="5CF88922" w14:textId="77777777" w:rsidTr="00CB1BFB">
        <w:tc>
          <w:tcPr>
            <w:tcW w:w="2453" w:type="dxa"/>
          </w:tcPr>
          <w:p w14:paraId="7B7F31E5" w14:textId="77777777" w:rsidR="0053182E" w:rsidRPr="00045088" w:rsidRDefault="0053182E" w:rsidP="00045088">
            <w:r w:rsidRPr="00045088">
              <w:t>Mean arable field size (ha)</w:t>
            </w:r>
          </w:p>
        </w:tc>
        <w:tc>
          <w:tcPr>
            <w:tcW w:w="1738" w:type="dxa"/>
          </w:tcPr>
          <w:p w14:paraId="59AA0D62" w14:textId="77777777" w:rsidR="0053182E" w:rsidRPr="00045088" w:rsidRDefault="00002830" w:rsidP="00045088">
            <w:r w:rsidRPr="00045088">
              <w:t>6.4</w:t>
            </w:r>
          </w:p>
        </w:tc>
        <w:tc>
          <w:tcPr>
            <w:tcW w:w="1738" w:type="dxa"/>
          </w:tcPr>
          <w:p w14:paraId="6BD057B8" w14:textId="77777777" w:rsidR="0053182E" w:rsidRPr="00045088" w:rsidRDefault="0053182E" w:rsidP="00045088">
            <w:r w:rsidRPr="00045088">
              <w:t>11.</w:t>
            </w:r>
            <w:r w:rsidR="00002830" w:rsidRPr="00045088">
              <w:t>8</w:t>
            </w:r>
          </w:p>
        </w:tc>
        <w:tc>
          <w:tcPr>
            <w:tcW w:w="1739" w:type="dxa"/>
          </w:tcPr>
          <w:p w14:paraId="32C215FF" w14:textId="77777777" w:rsidR="0053182E" w:rsidRPr="00045088" w:rsidRDefault="0053182E" w:rsidP="00045088">
            <w:r w:rsidRPr="00045088">
              <w:t>14.</w:t>
            </w:r>
            <w:r w:rsidR="00002830" w:rsidRPr="00045088">
              <w:t>3</w:t>
            </w:r>
          </w:p>
        </w:tc>
        <w:tc>
          <w:tcPr>
            <w:tcW w:w="1788" w:type="dxa"/>
          </w:tcPr>
          <w:p w14:paraId="5AD29DB2" w14:textId="77777777" w:rsidR="0053182E" w:rsidRPr="00045088" w:rsidRDefault="0053182E" w:rsidP="00045088">
            <w:r w:rsidRPr="00045088">
              <w:t>2.206</w:t>
            </w:r>
          </w:p>
        </w:tc>
      </w:tr>
      <w:tr w:rsidR="0053182E" w:rsidRPr="00045088" w14:paraId="30D30EB7" w14:textId="77777777" w:rsidTr="00CB1BFB">
        <w:tc>
          <w:tcPr>
            <w:tcW w:w="2453" w:type="dxa"/>
          </w:tcPr>
          <w:p w14:paraId="45B1C487" w14:textId="77777777" w:rsidR="0053182E" w:rsidRPr="00045088" w:rsidRDefault="0053182E" w:rsidP="00045088">
            <w:r w:rsidRPr="00045088">
              <w:t>Mean grass field size (ha)</w:t>
            </w:r>
          </w:p>
        </w:tc>
        <w:tc>
          <w:tcPr>
            <w:tcW w:w="1738" w:type="dxa"/>
          </w:tcPr>
          <w:p w14:paraId="4FCD4D74" w14:textId="65344200" w:rsidR="0053182E" w:rsidRPr="00045088" w:rsidRDefault="0053182E" w:rsidP="00045088">
            <w:r w:rsidRPr="00045088">
              <w:t>3.</w:t>
            </w:r>
            <w:r w:rsidR="00002830" w:rsidRPr="00045088">
              <w:t>4</w:t>
            </w:r>
          </w:p>
        </w:tc>
        <w:tc>
          <w:tcPr>
            <w:tcW w:w="1738" w:type="dxa"/>
          </w:tcPr>
          <w:p w14:paraId="12212FE3" w14:textId="77777777" w:rsidR="0053182E" w:rsidRPr="00045088" w:rsidRDefault="00002830" w:rsidP="00045088">
            <w:r w:rsidRPr="00045088">
              <w:t>6.0</w:t>
            </w:r>
          </w:p>
        </w:tc>
        <w:tc>
          <w:tcPr>
            <w:tcW w:w="1739" w:type="dxa"/>
          </w:tcPr>
          <w:p w14:paraId="1E36DBA7" w14:textId="77777777" w:rsidR="0053182E" w:rsidRPr="00045088" w:rsidRDefault="0053182E" w:rsidP="00045088">
            <w:r w:rsidRPr="00045088">
              <w:t>3.3</w:t>
            </w:r>
          </w:p>
        </w:tc>
        <w:tc>
          <w:tcPr>
            <w:tcW w:w="1788" w:type="dxa"/>
          </w:tcPr>
          <w:p w14:paraId="39955462" w14:textId="77777777" w:rsidR="0053182E" w:rsidRPr="00045088" w:rsidRDefault="0053182E" w:rsidP="00045088">
            <w:r w:rsidRPr="00045088">
              <w:t>NS</w:t>
            </w:r>
          </w:p>
        </w:tc>
      </w:tr>
      <w:tr w:rsidR="0053182E" w:rsidRPr="00045088" w14:paraId="1F70EAE9" w14:textId="77777777" w:rsidTr="00CB1BFB">
        <w:tc>
          <w:tcPr>
            <w:tcW w:w="2453" w:type="dxa"/>
          </w:tcPr>
          <w:p w14:paraId="2BE85787" w14:textId="77777777" w:rsidR="0053182E" w:rsidRPr="00045088" w:rsidRDefault="0053182E" w:rsidP="00045088">
            <w:r w:rsidRPr="00045088">
              <w:t>% arable</w:t>
            </w:r>
          </w:p>
        </w:tc>
        <w:tc>
          <w:tcPr>
            <w:tcW w:w="1738" w:type="dxa"/>
          </w:tcPr>
          <w:p w14:paraId="0B728FBE" w14:textId="5F4DE64C" w:rsidR="0053182E" w:rsidRPr="00045088" w:rsidRDefault="0053182E" w:rsidP="00045088">
            <w:r w:rsidRPr="00045088">
              <w:t>65.0</w:t>
            </w:r>
          </w:p>
        </w:tc>
        <w:tc>
          <w:tcPr>
            <w:tcW w:w="1738" w:type="dxa"/>
          </w:tcPr>
          <w:p w14:paraId="45011A41" w14:textId="77777777" w:rsidR="0053182E" w:rsidRPr="00045088" w:rsidRDefault="0053182E" w:rsidP="00045088">
            <w:r w:rsidRPr="00045088">
              <w:t>59.1</w:t>
            </w:r>
          </w:p>
        </w:tc>
        <w:tc>
          <w:tcPr>
            <w:tcW w:w="1739" w:type="dxa"/>
          </w:tcPr>
          <w:p w14:paraId="56590C39" w14:textId="77777777" w:rsidR="0053182E" w:rsidRPr="00045088" w:rsidRDefault="0053182E" w:rsidP="00045088">
            <w:r w:rsidRPr="00045088">
              <w:t>88.1</w:t>
            </w:r>
          </w:p>
        </w:tc>
        <w:tc>
          <w:tcPr>
            <w:tcW w:w="1788" w:type="dxa"/>
          </w:tcPr>
          <w:p w14:paraId="3136D407" w14:textId="77777777" w:rsidR="0053182E" w:rsidRPr="00045088" w:rsidRDefault="0053182E" w:rsidP="00045088">
            <w:r w:rsidRPr="00045088">
              <w:t>7.19</w:t>
            </w:r>
          </w:p>
        </w:tc>
      </w:tr>
      <w:tr w:rsidR="0053182E" w:rsidRPr="00045088" w14:paraId="36C4CCE6" w14:textId="77777777" w:rsidTr="00CB1BFB">
        <w:tc>
          <w:tcPr>
            <w:tcW w:w="2453" w:type="dxa"/>
          </w:tcPr>
          <w:p w14:paraId="49F0A25E" w14:textId="77777777" w:rsidR="0053182E" w:rsidRPr="00045088" w:rsidRDefault="0053182E" w:rsidP="00045088">
            <w:r w:rsidRPr="00045088">
              <w:t>% grass</w:t>
            </w:r>
          </w:p>
        </w:tc>
        <w:tc>
          <w:tcPr>
            <w:tcW w:w="1738" w:type="dxa"/>
          </w:tcPr>
          <w:p w14:paraId="2F91D30E" w14:textId="24E26676" w:rsidR="0053182E" w:rsidRPr="00045088" w:rsidRDefault="0053182E" w:rsidP="00045088">
            <w:r w:rsidRPr="00045088">
              <w:t>22.8</w:t>
            </w:r>
          </w:p>
        </w:tc>
        <w:tc>
          <w:tcPr>
            <w:tcW w:w="1738" w:type="dxa"/>
          </w:tcPr>
          <w:p w14:paraId="085A90F0" w14:textId="77777777" w:rsidR="0053182E" w:rsidRPr="00045088" w:rsidRDefault="0053182E" w:rsidP="00045088">
            <w:r w:rsidRPr="00045088">
              <w:t>29.7</w:t>
            </w:r>
          </w:p>
        </w:tc>
        <w:tc>
          <w:tcPr>
            <w:tcW w:w="1739" w:type="dxa"/>
          </w:tcPr>
          <w:p w14:paraId="1576FA4B" w14:textId="77777777" w:rsidR="0053182E" w:rsidRPr="00045088" w:rsidRDefault="0053182E" w:rsidP="00045088">
            <w:r w:rsidRPr="00045088">
              <w:t>4.0</w:t>
            </w:r>
          </w:p>
        </w:tc>
        <w:tc>
          <w:tcPr>
            <w:tcW w:w="1788" w:type="dxa"/>
          </w:tcPr>
          <w:p w14:paraId="106CBE14" w14:textId="77777777" w:rsidR="0053182E" w:rsidRPr="00045088" w:rsidRDefault="0053182E" w:rsidP="00045088">
            <w:r w:rsidRPr="00045088">
              <w:t>0.613</w:t>
            </w:r>
          </w:p>
        </w:tc>
      </w:tr>
      <w:tr w:rsidR="0053182E" w:rsidRPr="00045088" w14:paraId="00EDC63E" w14:textId="77777777" w:rsidTr="00CB1BFB">
        <w:tc>
          <w:tcPr>
            <w:tcW w:w="2453" w:type="dxa"/>
          </w:tcPr>
          <w:p w14:paraId="36F55FE8" w14:textId="77777777" w:rsidR="0053182E" w:rsidRPr="00045088" w:rsidRDefault="0053182E" w:rsidP="00045088">
            <w:r w:rsidRPr="00045088">
              <w:t>% buildings, roads</w:t>
            </w:r>
          </w:p>
        </w:tc>
        <w:tc>
          <w:tcPr>
            <w:tcW w:w="1738" w:type="dxa"/>
          </w:tcPr>
          <w:p w14:paraId="7E6D24A3" w14:textId="1485226D" w:rsidR="0053182E" w:rsidRPr="00045088" w:rsidRDefault="00002830" w:rsidP="00045088">
            <w:r w:rsidRPr="00045088">
              <w:t>4.6</w:t>
            </w:r>
          </w:p>
        </w:tc>
        <w:tc>
          <w:tcPr>
            <w:tcW w:w="1738" w:type="dxa"/>
          </w:tcPr>
          <w:p w14:paraId="3C238DDB" w14:textId="77777777" w:rsidR="0053182E" w:rsidRPr="00045088" w:rsidRDefault="00002830" w:rsidP="00045088">
            <w:r w:rsidRPr="00045088">
              <w:t>3.8</w:t>
            </w:r>
          </w:p>
        </w:tc>
        <w:tc>
          <w:tcPr>
            <w:tcW w:w="1739" w:type="dxa"/>
          </w:tcPr>
          <w:p w14:paraId="3B05E227" w14:textId="77777777" w:rsidR="0053182E" w:rsidRPr="00045088" w:rsidRDefault="0053182E" w:rsidP="00045088">
            <w:r w:rsidRPr="00045088">
              <w:t>1.</w:t>
            </w:r>
            <w:r w:rsidR="00002830" w:rsidRPr="00045088">
              <w:t>6</w:t>
            </w:r>
          </w:p>
        </w:tc>
        <w:tc>
          <w:tcPr>
            <w:tcW w:w="1788" w:type="dxa"/>
          </w:tcPr>
          <w:p w14:paraId="6BC1B29B" w14:textId="77777777" w:rsidR="0053182E" w:rsidRPr="00045088" w:rsidRDefault="0053182E" w:rsidP="00045088">
            <w:r w:rsidRPr="00045088">
              <w:t>0.811</w:t>
            </w:r>
          </w:p>
        </w:tc>
      </w:tr>
      <w:tr w:rsidR="0053182E" w:rsidRPr="00045088" w14:paraId="2D0D9C71" w14:textId="77777777" w:rsidTr="00CB1BFB">
        <w:tc>
          <w:tcPr>
            <w:tcW w:w="2453" w:type="dxa"/>
          </w:tcPr>
          <w:p w14:paraId="3CDAFB96" w14:textId="77777777" w:rsidR="0053182E" w:rsidRPr="00045088" w:rsidRDefault="0053182E" w:rsidP="00045088">
            <w:r w:rsidRPr="00045088">
              <w:t xml:space="preserve">No. pesticide (a.i.) applications per season </w:t>
            </w:r>
          </w:p>
        </w:tc>
        <w:tc>
          <w:tcPr>
            <w:tcW w:w="1738" w:type="dxa"/>
          </w:tcPr>
          <w:p w14:paraId="37F272C6" w14:textId="77777777" w:rsidR="0053182E" w:rsidRPr="00045088" w:rsidRDefault="0053182E" w:rsidP="00045088">
            <w:r w:rsidRPr="00045088">
              <w:t>5.</w:t>
            </w:r>
            <w:r w:rsidR="00002830" w:rsidRPr="00045088">
              <w:t>3</w:t>
            </w:r>
          </w:p>
        </w:tc>
        <w:tc>
          <w:tcPr>
            <w:tcW w:w="1738" w:type="dxa"/>
          </w:tcPr>
          <w:p w14:paraId="6B29ED98" w14:textId="77777777" w:rsidR="0053182E" w:rsidRPr="00045088" w:rsidRDefault="0053182E" w:rsidP="00045088">
            <w:r w:rsidRPr="00045088">
              <w:t>7.</w:t>
            </w:r>
            <w:r w:rsidR="00002830" w:rsidRPr="00045088">
              <w:t>1</w:t>
            </w:r>
          </w:p>
        </w:tc>
        <w:tc>
          <w:tcPr>
            <w:tcW w:w="1739" w:type="dxa"/>
          </w:tcPr>
          <w:p w14:paraId="428CCDFD" w14:textId="77777777" w:rsidR="0053182E" w:rsidRPr="00045088" w:rsidRDefault="00002830" w:rsidP="00045088">
            <w:r w:rsidRPr="00045088">
              <w:t>5.9</w:t>
            </w:r>
          </w:p>
        </w:tc>
        <w:tc>
          <w:tcPr>
            <w:tcW w:w="1788" w:type="dxa"/>
          </w:tcPr>
          <w:p w14:paraId="2EC740CC" w14:textId="77777777" w:rsidR="0053182E" w:rsidRPr="00045088" w:rsidRDefault="0053182E" w:rsidP="00045088">
            <w:r w:rsidRPr="00045088">
              <w:t>NS</w:t>
            </w:r>
          </w:p>
        </w:tc>
      </w:tr>
      <w:tr w:rsidR="0053182E" w:rsidRPr="00045088" w14:paraId="27EE8369" w14:textId="77777777" w:rsidTr="00CB1BFB">
        <w:tc>
          <w:tcPr>
            <w:tcW w:w="2453" w:type="dxa"/>
            <w:tcBorders>
              <w:bottom w:val="single" w:sz="4" w:space="0" w:color="auto"/>
            </w:tcBorders>
          </w:tcPr>
          <w:p w14:paraId="7E3755B7" w14:textId="77777777" w:rsidR="0053182E" w:rsidRPr="00045088" w:rsidRDefault="0053182E" w:rsidP="00045088">
            <w:r w:rsidRPr="00045088">
              <w:t>Nitrogen fertiliser (kg ha-1)</w:t>
            </w:r>
          </w:p>
        </w:tc>
        <w:tc>
          <w:tcPr>
            <w:tcW w:w="1738" w:type="dxa"/>
            <w:tcBorders>
              <w:bottom w:val="single" w:sz="4" w:space="0" w:color="auto"/>
            </w:tcBorders>
          </w:tcPr>
          <w:p w14:paraId="2BE0564D" w14:textId="77777777" w:rsidR="0053182E" w:rsidRPr="00045088" w:rsidRDefault="0053182E" w:rsidP="00045088">
            <w:r w:rsidRPr="00045088">
              <w:t>148</w:t>
            </w:r>
          </w:p>
        </w:tc>
        <w:tc>
          <w:tcPr>
            <w:tcW w:w="1738" w:type="dxa"/>
            <w:tcBorders>
              <w:bottom w:val="single" w:sz="4" w:space="0" w:color="auto"/>
            </w:tcBorders>
          </w:tcPr>
          <w:p w14:paraId="585B9586" w14:textId="77777777" w:rsidR="0053182E" w:rsidRPr="00045088" w:rsidRDefault="0053182E" w:rsidP="00045088">
            <w:r w:rsidRPr="00045088">
              <w:t>242</w:t>
            </w:r>
          </w:p>
        </w:tc>
        <w:tc>
          <w:tcPr>
            <w:tcW w:w="1739" w:type="dxa"/>
            <w:tcBorders>
              <w:bottom w:val="single" w:sz="4" w:space="0" w:color="auto"/>
            </w:tcBorders>
          </w:tcPr>
          <w:p w14:paraId="4C840F71" w14:textId="77777777" w:rsidR="0053182E" w:rsidRPr="00045088" w:rsidRDefault="0053182E" w:rsidP="00045088">
            <w:r w:rsidRPr="00045088">
              <w:t>174</w:t>
            </w:r>
          </w:p>
        </w:tc>
        <w:tc>
          <w:tcPr>
            <w:tcW w:w="1788" w:type="dxa"/>
            <w:tcBorders>
              <w:bottom w:val="single" w:sz="4" w:space="0" w:color="auto"/>
            </w:tcBorders>
          </w:tcPr>
          <w:p w14:paraId="0151531F" w14:textId="77777777" w:rsidR="0053182E" w:rsidRPr="00045088" w:rsidRDefault="0053182E" w:rsidP="00045088">
            <w:r w:rsidRPr="00045088">
              <w:t>NS</w:t>
            </w:r>
          </w:p>
        </w:tc>
      </w:tr>
    </w:tbl>
    <w:p w14:paraId="04342100" w14:textId="77777777" w:rsidR="0053182E" w:rsidRPr="00045088" w:rsidRDefault="0053182E" w:rsidP="00045088"/>
    <w:p w14:paraId="39BCF860" w14:textId="4BBA3E58" w:rsidR="0053182E" w:rsidRPr="00045088" w:rsidRDefault="0053182E" w:rsidP="00045088">
      <w:r w:rsidRPr="00045088">
        <w:br w:type="page"/>
      </w:r>
      <w:r w:rsidRPr="00D00706">
        <w:rPr>
          <w:b/>
          <w:bCs/>
        </w:rPr>
        <w:lastRenderedPageBreak/>
        <w:t>T</w:t>
      </w:r>
      <w:r w:rsidR="00D00706" w:rsidRPr="00D00706">
        <w:rPr>
          <w:b/>
          <w:bCs/>
        </w:rPr>
        <w:t>ABLE</w:t>
      </w:r>
      <w:r w:rsidRPr="00D00706">
        <w:rPr>
          <w:b/>
          <w:bCs/>
        </w:rPr>
        <w:t xml:space="preserve"> 2</w:t>
      </w:r>
      <w:r w:rsidRPr="00045088">
        <w:t xml:space="preserve">  Plant species richness (mean number of species per 50 m2 sample) in field boundaries and crop centres with and without sown 6 m margin strips (data including crop species)</w:t>
      </w:r>
    </w:p>
    <w:tbl>
      <w:tblPr>
        <w:tblW w:w="0" w:type="auto"/>
        <w:tblLook w:val="01E0" w:firstRow="1" w:lastRow="1" w:firstColumn="1" w:lastColumn="1" w:noHBand="0" w:noVBand="0"/>
      </w:tblPr>
      <w:tblGrid>
        <w:gridCol w:w="1728"/>
        <w:gridCol w:w="1743"/>
        <w:gridCol w:w="1333"/>
        <w:gridCol w:w="1549"/>
        <w:gridCol w:w="1228"/>
        <w:gridCol w:w="1445"/>
      </w:tblGrid>
      <w:tr w:rsidR="0053182E" w:rsidRPr="00045088" w14:paraId="6E0049B3" w14:textId="77777777" w:rsidTr="006E36A2">
        <w:tc>
          <w:tcPr>
            <w:tcW w:w="1728" w:type="dxa"/>
            <w:tcBorders>
              <w:top w:val="single" w:sz="4" w:space="0" w:color="auto"/>
              <w:bottom w:val="single" w:sz="4" w:space="0" w:color="auto"/>
            </w:tcBorders>
            <w:vAlign w:val="bottom"/>
          </w:tcPr>
          <w:p w14:paraId="21915A56" w14:textId="77777777" w:rsidR="0053182E" w:rsidRPr="00045088" w:rsidRDefault="0053182E" w:rsidP="00045088"/>
        </w:tc>
        <w:tc>
          <w:tcPr>
            <w:tcW w:w="1743" w:type="dxa"/>
            <w:tcBorders>
              <w:top w:val="single" w:sz="4" w:space="0" w:color="auto"/>
              <w:bottom w:val="single" w:sz="4" w:space="0" w:color="auto"/>
            </w:tcBorders>
            <w:vAlign w:val="bottom"/>
          </w:tcPr>
          <w:p w14:paraId="60435874" w14:textId="77777777" w:rsidR="0053182E" w:rsidRPr="00045088" w:rsidRDefault="0053182E" w:rsidP="00045088">
            <w:r w:rsidRPr="00045088">
              <w:t>Landscape</w:t>
            </w:r>
          </w:p>
        </w:tc>
        <w:tc>
          <w:tcPr>
            <w:tcW w:w="1333" w:type="dxa"/>
            <w:tcBorders>
              <w:top w:val="single" w:sz="4" w:space="0" w:color="auto"/>
              <w:bottom w:val="single" w:sz="4" w:space="0" w:color="auto"/>
            </w:tcBorders>
          </w:tcPr>
          <w:p w14:paraId="12A5315C" w14:textId="77777777" w:rsidR="0053182E" w:rsidRPr="00045088" w:rsidRDefault="0053182E" w:rsidP="00045088">
            <w:r w:rsidRPr="00045088">
              <w:t>Small</w:t>
            </w:r>
          </w:p>
        </w:tc>
        <w:tc>
          <w:tcPr>
            <w:tcW w:w="1549" w:type="dxa"/>
            <w:tcBorders>
              <w:top w:val="single" w:sz="4" w:space="0" w:color="auto"/>
              <w:bottom w:val="single" w:sz="4" w:space="0" w:color="auto"/>
            </w:tcBorders>
          </w:tcPr>
          <w:p w14:paraId="66635A61" w14:textId="77777777" w:rsidR="0053182E" w:rsidRPr="00045088" w:rsidRDefault="0053182E" w:rsidP="00045088">
            <w:r w:rsidRPr="00045088">
              <w:t>Intermediate</w:t>
            </w:r>
          </w:p>
        </w:tc>
        <w:tc>
          <w:tcPr>
            <w:tcW w:w="1228" w:type="dxa"/>
            <w:tcBorders>
              <w:top w:val="single" w:sz="4" w:space="0" w:color="auto"/>
              <w:bottom w:val="single" w:sz="4" w:space="0" w:color="auto"/>
            </w:tcBorders>
          </w:tcPr>
          <w:p w14:paraId="0C8F31C7" w14:textId="77777777" w:rsidR="0053182E" w:rsidRPr="00045088" w:rsidRDefault="0053182E" w:rsidP="00045088">
            <w:r w:rsidRPr="00045088">
              <w:t>Open</w:t>
            </w:r>
          </w:p>
        </w:tc>
        <w:tc>
          <w:tcPr>
            <w:tcW w:w="1445" w:type="dxa"/>
            <w:tcBorders>
              <w:top w:val="single" w:sz="4" w:space="0" w:color="auto"/>
              <w:bottom w:val="single" w:sz="4" w:space="0" w:color="auto"/>
            </w:tcBorders>
          </w:tcPr>
          <w:p w14:paraId="6C756067" w14:textId="77777777" w:rsidR="0053182E" w:rsidRPr="00045088" w:rsidRDefault="0053182E" w:rsidP="00045088">
            <w:r w:rsidRPr="00045088">
              <w:t>Mean</w:t>
            </w:r>
          </w:p>
        </w:tc>
      </w:tr>
      <w:tr w:rsidR="0053182E" w:rsidRPr="00045088" w14:paraId="5D98AC6E" w14:textId="77777777" w:rsidTr="006E36A2">
        <w:tc>
          <w:tcPr>
            <w:tcW w:w="1728" w:type="dxa"/>
            <w:tcBorders>
              <w:top w:val="single" w:sz="4" w:space="0" w:color="auto"/>
            </w:tcBorders>
            <w:vAlign w:val="bottom"/>
          </w:tcPr>
          <w:p w14:paraId="1C1842A7" w14:textId="77777777" w:rsidR="0053182E" w:rsidRPr="00045088" w:rsidRDefault="0053182E" w:rsidP="00045088">
            <w:r w:rsidRPr="00045088">
              <w:t>Boundary</w:t>
            </w:r>
          </w:p>
        </w:tc>
        <w:tc>
          <w:tcPr>
            <w:tcW w:w="1743" w:type="dxa"/>
            <w:tcBorders>
              <w:top w:val="single" w:sz="4" w:space="0" w:color="auto"/>
            </w:tcBorders>
            <w:vAlign w:val="bottom"/>
          </w:tcPr>
          <w:p w14:paraId="69C1C66D" w14:textId="77777777" w:rsidR="0053182E" w:rsidRPr="00045088" w:rsidRDefault="0053182E" w:rsidP="00045088">
            <w:r w:rsidRPr="00045088">
              <w:t>6 m margin</w:t>
            </w:r>
          </w:p>
        </w:tc>
        <w:tc>
          <w:tcPr>
            <w:tcW w:w="1333" w:type="dxa"/>
            <w:tcBorders>
              <w:top w:val="single" w:sz="4" w:space="0" w:color="auto"/>
            </w:tcBorders>
            <w:vAlign w:val="bottom"/>
          </w:tcPr>
          <w:p w14:paraId="49E6218F" w14:textId="77777777" w:rsidR="0053182E" w:rsidRPr="00045088" w:rsidRDefault="0053182E" w:rsidP="00045088">
            <w:r w:rsidRPr="00045088">
              <w:t>35.57</w:t>
            </w:r>
          </w:p>
        </w:tc>
        <w:tc>
          <w:tcPr>
            <w:tcW w:w="1549" w:type="dxa"/>
            <w:tcBorders>
              <w:top w:val="single" w:sz="4" w:space="0" w:color="auto"/>
            </w:tcBorders>
            <w:vAlign w:val="bottom"/>
          </w:tcPr>
          <w:p w14:paraId="1CA23C40" w14:textId="77777777" w:rsidR="0053182E" w:rsidRPr="00045088" w:rsidRDefault="0053182E" w:rsidP="00045088">
            <w:r w:rsidRPr="00045088">
              <w:t>35.71</w:t>
            </w:r>
          </w:p>
        </w:tc>
        <w:tc>
          <w:tcPr>
            <w:tcW w:w="1228" w:type="dxa"/>
            <w:tcBorders>
              <w:top w:val="single" w:sz="4" w:space="0" w:color="auto"/>
            </w:tcBorders>
            <w:vAlign w:val="bottom"/>
          </w:tcPr>
          <w:p w14:paraId="16EE19CD" w14:textId="77777777" w:rsidR="0053182E" w:rsidRPr="00045088" w:rsidRDefault="0053182E" w:rsidP="00045088">
            <w:r w:rsidRPr="00045088">
              <w:t>28.29</w:t>
            </w:r>
          </w:p>
        </w:tc>
        <w:tc>
          <w:tcPr>
            <w:tcW w:w="1445" w:type="dxa"/>
            <w:tcBorders>
              <w:top w:val="single" w:sz="4" w:space="0" w:color="auto"/>
            </w:tcBorders>
          </w:tcPr>
          <w:p w14:paraId="476089F1" w14:textId="77777777" w:rsidR="0053182E" w:rsidRPr="00045088" w:rsidRDefault="0053182E" w:rsidP="00045088">
            <w:r w:rsidRPr="00045088">
              <w:t>33.2</w:t>
            </w:r>
          </w:p>
        </w:tc>
      </w:tr>
      <w:tr w:rsidR="0053182E" w:rsidRPr="00045088" w14:paraId="6B8F9CFC" w14:textId="77777777" w:rsidTr="006E36A2">
        <w:tc>
          <w:tcPr>
            <w:tcW w:w="1728" w:type="dxa"/>
            <w:vAlign w:val="bottom"/>
          </w:tcPr>
          <w:p w14:paraId="451BD58C" w14:textId="77777777" w:rsidR="0053182E" w:rsidRPr="00045088" w:rsidRDefault="0053182E" w:rsidP="00045088"/>
        </w:tc>
        <w:tc>
          <w:tcPr>
            <w:tcW w:w="1743" w:type="dxa"/>
            <w:vAlign w:val="bottom"/>
          </w:tcPr>
          <w:p w14:paraId="57DC30AD" w14:textId="77777777" w:rsidR="0053182E" w:rsidRPr="00045088" w:rsidRDefault="0053182E" w:rsidP="00045088">
            <w:r w:rsidRPr="00045088">
              <w:t>Control</w:t>
            </w:r>
          </w:p>
        </w:tc>
        <w:tc>
          <w:tcPr>
            <w:tcW w:w="1333" w:type="dxa"/>
            <w:vAlign w:val="bottom"/>
          </w:tcPr>
          <w:p w14:paraId="35444E5D" w14:textId="77777777" w:rsidR="0053182E" w:rsidRPr="00045088" w:rsidRDefault="0053182E" w:rsidP="00045088">
            <w:r w:rsidRPr="00045088">
              <w:t>25.86</w:t>
            </w:r>
          </w:p>
        </w:tc>
        <w:tc>
          <w:tcPr>
            <w:tcW w:w="1549" w:type="dxa"/>
            <w:vAlign w:val="bottom"/>
          </w:tcPr>
          <w:p w14:paraId="187F26BF" w14:textId="77777777" w:rsidR="0053182E" w:rsidRPr="00045088" w:rsidRDefault="0053182E" w:rsidP="00045088">
            <w:r w:rsidRPr="00045088">
              <w:t>29.00</w:t>
            </w:r>
          </w:p>
        </w:tc>
        <w:tc>
          <w:tcPr>
            <w:tcW w:w="1228" w:type="dxa"/>
            <w:vAlign w:val="bottom"/>
          </w:tcPr>
          <w:p w14:paraId="60FE2282" w14:textId="77777777" w:rsidR="0053182E" w:rsidRPr="00045088" w:rsidRDefault="0053182E" w:rsidP="00045088">
            <w:r w:rsidRPr="00045088">
              <w:t>28.29</w:t>
            </w:r>
          </w:p>
        </w:tc>
        <w:tc>
          <w:tcPr>
            <w:tcW w:w="1445" w:type="dxa"/>
          </w:tcPr>
          <w:p w14:paraId="107ECD1D" w14:textId="77777777" w:rsidR="0053182E" w:rsidRPr="00045088" w:rsidRDefault="0053182E" w:rsidP="00045088">
            <w:r w:rsidRPr="00045088">
              <w:t>27.7</w:t>
            </w:r>
          </w:p>
        </w:tc>
      </w:tr>
      <w:tr w:rsidR="0053182E" w:rsidRPr="00045088" w14:paraId="3AD45C29" w14:textId="77777777" w:rsidTr="006E36A2">
        <w:tc>
          <w:tcPr>
            <w:tcW w:w="1728" w:type="dxa"/>
            <w:vAlign w:val="bottom"/>
          </w:tcPr>
          <w:p w14:paraId="7F866C60" w14:textId="77777777" w:rsidR="0053182E" w:rsidRPr="00045088" w:rsidRDefault="0053182E" w:rsidP="00045088">
            <w:r w:rsidRPr="00045088">
              <w:t>Crop centre</w:t>
            </w:r>
          </w:p>
        </w:tc>
        <w:tc>
          <w:tcPr>
            <w:tcW w:w="1743" w:type="dxa"/>
            <w:vAlign w:val="bottom"/>
          </w:tcPr>
          <w:p w14:paraId="62F89064" w14:textId="77777777" w:rsidR="0053182E" w:rsidRPr="00045088" w:rsidRDefault="0053182E" w:rsidP="00045088">
            <w:r w:rsidRPr="00045088">
              <w:t>6 m margin</w:t>
            </w:r>
          </w:p>
        </w:tc>
        <w:tc>
          <w:tcPr>
            <w:tcW w:w="1333" w:type="dxa"/>
            <w:vAlign w:val="bottom"/>
          </w:tcPr>
          <w:p w14:paraId="74C82D5B" w14:textId="77777777" w:rsidR="0053182E" w:rsidRPr="00045088" w:rsidRDefault="0053182E" w:rsidP="00045088">
            <w:r w:rsidRPr="00045088">
              <w:t>10.71</w:t>
            </w:r>
          </w:p>
        </w:tc>
        <w:tc>
          <w:tcPr>
            <w:tcW w:w="1549" w:type="dxa"/>
            <w:vAlign w:val="bottom"/>
          </w:tcPr>
          <w:p w14:paraId="3E8104E1" w14:textId="77777777" w:rsidR="0053182E" w:rsidRPr="00045088" w:rsidRDefault="0053182E" w:rsidP="00045088">
            <w:r w:rsidRPr="00045088">
              <w:t>7.43</w:t>
            </w:r>
          </w:p>
        </w:tc>
        <w:tc>
          <w:tcPr>
            <w:tcW w:w="1228" w:type="dxa"/>
            <w:vAlign w:val="bottom"/>
          </w:tcPr>
          <w:p w14:paraId="76A4F949" w14:textId="77777777" w:rsidR="0053182E" w:rsidRPr="00045088" w:rsidRDefault="0053182E" w:rsidP="00045088">
            <w:r w:rsidRPr="00045088">
              <w:t>12.57</w:t>
            </w:r>
          </w:p>
        </w:tc>
        <w:tc>
          <w:tcPr>
            <w:tcW w:w="1445" w:type="dxa"/>
          </w:tcPr>
          <w:p w14:paraId="31FC65A6" w14:textId="77777777" w:rsidR="0053182E" w:rsidRPr="00045088" w:rsidRDefault="0053182E" w:rsidP="00045088">
            <w:r w:rsidRPr="00045088">
              <w:t>10.2</w:t>
            </w:r>
          </w:p>
        </w:tc>
      </w:tr>
      <w:tr w:rsidR="0053182E" w:rsidRPr="00045088" w14:paraId="1C4F2131" w14:textId="77777777" w:rsidTr="006E36A2">
        <w:tc>
          <w:tcPr>
            <w:tcW w:w="1728" w:type="dxa"/>
            <w:tcBorders>
              <w:bottom w:val="single" w:sz="4" w:space="0" w:color="auto"/>
            </w:tcBorders>
            <w:vAlign w:val="bottom"/>
          </w:tcPr>
          <w:p w14:paraId="7FE055FA" w14:textId="77777777" w:rsidR="0053182E" w:rsidRPr="00045088" w:rsidRDefault="0053182E" w:rsidP="00045088"/>
        </w:tc>
        <w:tc>
          <w:tcPr>
            <w:tcW w:w="1743" w:type="dxa"/>
            <w:tcBorders>
              <w:bottom w:val="single" w:sz="4" w:space="0" w:color="auto"/>
            </w:tcBorders>
            <w:vAlign w:val="bottom"/>
          </w:tcPr>
          <w:p w14:paraId="5C4F43CA" w14:textId="77777777" w:rsidR="0053182E" w:rsidRPr="00045088" w:rsidRDefault="0053182E" w:rsidP="00045088">
            <w:r w:rsidRPr="00045088">
              <w:t>Control</w:t>
            </w:r>
          </w:p>
        </w:tc>
        <w:tc>
          <w:tcPr>
            <w:tcW w:w="1333" w:type="dxa"/>
            <w:tcBorders>
              <w:bottom w:val="single" w:sz="4" w:space="0" w:color="auto"/>
            </w:tcBorders>
            <w:vAlign w:val="bottom"/>
          </w:tcPr>
          <w:p w14:paraId="67E892D8" w14:textId="77777777" w:rsidR="0053182E" w:rsidRPr="00045088" w:rsidRDefault="0053182E" w:rsidP="00045088">
            <w:r w:rsidRPr="00045088">
              <w:t>12.71</w:t>
            </w:r>
          </w:p>
        </w:tc>
        <w:tc>
          <w:tcPr>
            <w:tcW w:w="1549" w:type="dxa"/>
            <w:tcBorders>
              <w:bottom w:val="single" w:sz="4" w:space="0" w:color="auto"/>
            </w:tcBorders>
            <w:vAlign w:val="bottom"/>
          </w:tcPr>
          <w:p w14:paraId="605648FA" w14:textId="77777777" w:rsidR="0053182E" w:rsidRPr="00045088" w:rsidRDefault="0053182E" w:rsidP="00045088">
            <w:r w:rsidRPr="00045088">
              <w:t>9.43</w:t>
            </w:r>
          </w:p>
        </w:tc>
        <w:tc>
          <w:tcPr>
            <w:tcW w:w="1228" w:type="dxa"/>
            <w:tcBorders>
              <w:bottom w:val="single" w:sz="4" w:space="0" w:color="auto"/>
            </w:tcBorders>
            <w:vAlign w:val="bottom"/>
          </w:tcPr>
          <w:p w14:paraId="693A76DC" w14:textId="77777777" w:rsidR="0053182E" w:rsidRPr="00045088" w:rsidRDefault="0053182E" w:rsidP="00045088">
            <w:r w:rsidRPr="00045088">
              <w:t>11.71</w:t>
            </w:r>
          </w:p>
        </w:tc>
        <w:tc>
          <w:tcPr>
            <w:tcW w:w="1445" w:type="dxa"/>
            <w:tcBorders>
              <w:bottom w:val="single" w:sz="4" w:space="0" w:color="auto"/>
            </w:tcBorders>
          </w:tcPr>
          <w:p w14:paraId="02EEC02D" w14:textId="77777777" w:rsidR="0053182E" w:rsidRPr="00045088" w:rsidRDefault="0053182E" w:rsidP="00045088">
            <w:r w:rsidRPr="00045088">
              <w:t>11.3</w:t>
            </w:r>
          </w:p>
        </w:tc>
      </w:tr>
    </w:tbl>
    <w:p w14:paraId="489267F3" w14:textId="0EDEFCB3" w:rsidR="0053182E" w:rsidRPr="00045088" w:rsidRDefault="006E36A2" w:rsidP="00045088">
      <w:r w:rsidRPr="00045088">
        <w:t>Overall SED = 2.058; df = 54; SED for means = 1.46: df = 54.</w:t>
      </w:r>
    </w:p>
    <w:p w14:paraId="33AAB184" w14:textId="77777777" w:rsidR="0053182E" w:rsidRPr="00045088" w:rsidRDefault="0053182E" w:rsidP="00045088">
      <w:r w:rsidRPr="00045088">
        <w:br w:type="page"/>
      </w:r>
    </w:p>
    <w:p w14:paraId="3668DF6F" w14:textId="77777777" w:rsidR="0053182E" w:rsidRPr="00045088" w:rsidRDefault="0053182E" w:rsidP="00045088"/>
    <w:p w14:paraId="70506DED" w14:textId="77777777" w:rsidR="0053182E" w:rsidRPr="00045088" w:rsidRDefault="00B76139" w:rsidP="00045088">
      <w:r w:rsidRPr="00045088">
        <w:rPr>
          <w:noProof/>
        </w:rPr>
        <w:drawing>
          <wp:inline distT="0" distB="0" distL="0" distR="0" wp14:anchorId="3C2678C9" wp14:editId="2AF4871F">
            <wp:extent cx="5728335" cy="5259070"/>
            <wp:effectExtent l="0" t="0" r="0" b="0"/>
            <wp:docPr id="1" name="Picture 1" descr="FIG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335" cy="5259070"/>
                    </a:xfrm>
                    <a:prstGeom prst="rect">
                      <a:avLst/>
                    </a:prstGeom>
                    <a:noFill/>
                    <a:ln>
                      <a:noFill/>
                    </a:ln>
                  </pic:spPr>
                </pic:pic>
              </a:graphicData>
            </a:graphic>
          </wp:inline>
        </w:drawing>
      </w:r>
    </w:p>
    <w:p w14:paraId="58961DAC" w14:textId="77777777" w:rsidR="0053182E" w:rsidRPr="00045088" w:rsidRDefault="0053182E" w:rsidP="00045088"/>
    <w:p w14:paraId="11FD4400" w14:textId="7B26BB42" w:rsidR="0053182E" w:rsidRPr="00D00706" w:rsidRDefault="0053182E" w:rsidP="00045088">
      <w:pPr>
        <w:rPr>
          <w:b/>
          <w:bCs/>
        </w:rPr>
      </w:pPr>
      <w:r w:rsidRPr="00D00706">
        <w:rPr>
          <w:b/>
          <w:bCs/>
        </w:rPr>
        <w:t>F</w:t>
      </w:r>
      <w:r w:rsidR="00DB07CC" w:rsidRPr="00D00706">
        <w:rPr>
          <w:b/>
          <w:bCs/>
        </w:rPr>
        <w:t>IGURE</w:t>
      </w:r>
      <w:r w:rsidRPr="00D00706">
        <w:rPr>
          <w:b/>
          <w:bCs/>
        </w:rPr>
        <w:t xml:space="preserve"> 1  </w:t>
      </w:r>
      <w:bookmarkEnd w:id="0"/>
    </w:p>
    <w:sectPr w:rsidR="0053182E" w:rsidRPr="00D00706" w:rsidSect="00C33AD4">
      <w:footerReference w:type="even" r:id="rId19"/>
      <w:footerReference w:type="default" r:id="rId20"/>
      <w:pgSz w:w="11906" w:h="16838"/>
      <w:pgMar w:top="1440" w:right="1440" w:bottom="1440" w:left="1440" w:header="851" w:footer="851"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Virginia Anne Nichols" w:date="2025-01-30T21:16:00Z" w:initials="VN">
    <w:p w14:paraId="03CF345F" w14:textId="77777777" w:rsidR="00CD7E08" w:rsidRDefault="00CD7E08" w:rsidP="00CD7E08">
      <w:pPr>
        <w:pStyle w:val="CommentText"/>
      </w:pPr>
      <w:r>
        <w:rPr>
          <w:rStyle w:val="CommentReference"/>
        </w:rPr>
        <w:annotationRef/>
      </w:r>
      <w:r>
        <w:t>These values were reported in Scherner et al. 2016, but it was not stated how they were determined. Grid sampling, method for carbon determination, etc.</w:t>
      </w:r>
    </w:p>
  </w:comment>
  <w:comment w:id="2" w:author="Virginia Anne Nichols" w:date="2025-02-18T11:45:00Z" w:initials="VN">
    <w:p w14:paraId="078FEAD5" w14:textId="77777777" w:rsidR="001A455C" w:rsidRDefault="001A455C" w:rsidP="001A455C">
      <w:pPr>
        <w:pStyle w:val="CommentText"/>
      </w:pPr>
      <w:r>
        <w:rPr>
          <w:rStyle w:val="CommentReference"/>
        </w:rPr>
        <w:annotationRef/>
      </w:r>
      <w:r>
        <w:t>How was the straw removed?</w:t>
      </w:r>
    </w:p>
  </w:comment>
  <w:comment w:id="3" w:author="Virginia Anne Nichols" w:date="2025-04-01T09:42:00Z" w:initials="VN">
    <w:p w14:paraId="37309398" w14:textId="77777777" w:rsidR="001A455C" w:rsidRDefault="001A455C" w:rsidP="001A455C">
      <w:pPr>
        <w:pStyle w:val="CommentText"/>
      </w:pPr>
      <w:r>
        <w:rPr>
          <w:rStyle w:val="CommentReference"/>
        </w:rPr>
        <w:annotationRef/>
      </w:r>
      <w:r>
        <w:t>I need to know which study to cite</w:t>
      </w:r>
    </w:p>
  </w:comment>
  <w:comment w:id="4" w:author="Virginia Anne Nichols" w:date="2025-02-18T10:54:00Z" w:initials="VN">
    <w:p w14:paraId="5D9AFA1F" w14:textId="77777777" w:rsidR="001A455C" w:rsidRDefault="001A455C" w:rsidP="001A455C">
      <w:pPr>
        <w:pStyle w:val="CommentText"/>
      </w:pPr>
      <w:r>
        <w:rPr>
          <w:rStyle w:val="CommentReference"/>
        </w:rPr>
        <w:annotationRef/>
      </w:r>
      <w:r>
        <w:t>There was no tillage in the fall because of the cover crops - correct? You had originally listed a tillage event to a depth of 3-4 cm following cash crop harvest, but this would destroy 3 of the 4 cover crop treatments.</w:t>
      </w:r>
    </w:p>
  </w:comment>
  <w:comment w:id="5" w:author="Virginia Anne Nichols" w:date="2025-02-18T10:55:00Z" w:initials="VN">
    <w:p w14:paraId="1D7A512E" w14:textId="77777777" w:rsidR="001A455C" w:rsidRDefault="001A455C" w:rsidP="001A455C">
      <w:pPr>
        <w:pStyle w:val="CommentText"/>
      </w:pPr>
      <w:r>
        <w:rPr>
          <w:rStyle w:val="CommentReference"/>
        </w:rPr>
        <w:annotationRef/>
      </w:r>
      <w:r>
        <w:t>Were faba beans planted in 17.5 row spacings?</w:t>
      </w:r>
    </w:p>
  </w:comment>
  <w:comment w:id="6" w:author="Virginia Anne Nichols" w:date="2025-02-18T11:01:00Z" w:initials="VN">
    <w:p w14:paraId="556923F8" w14:textId="77777777" w:rsidR="001A455C" w:rsidRDefault="001A455C" w:rsidP="001A455C">
      <w:pPr>
        <w:pStyle w:val="CommentText"/>
      </w:pPr>
      <w:r>
        <w:rPr>
          <w:rStyle w:val="CommentReference"/>
        </w:rPr>
        <w:annotationRef/>
      </w:r>
      <w:r>
        <w:t>The application method was not specified - was it broadcast?</w:t>
      </w:r>
    </w:p>
  </w:comment>
  <w:comment w:id="7" w:author="Virginia Anne Nichols" w:date="2025-02-18T11:47:00Z" w:initials="VN">
    <w:p w14:paraId="3D95C606" w14:textId="77777777" w:rsidR="001A455C" w:rsidRDefault="001A455C" w:rsidP="001A455C">
      <w:pPr>
        <w:pStyle w:val="CommentText"/>
      </w:pPr>
      <w:r>
        <w:rPr>
          <w:rStyle w:val="CommentReference"/>
        </w:rPr>
        <w:annotationRef/>
      </w:r>
      <w:r>
        <w:t>Explain why a different package was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CF345F" w15:done="0"/>
  <w15:commentEx w15:paraId="078FEAD5" w15:done="0"/>
  <w15:commentEx w15:paraId="37309398" w15:done="0"/>
  <w15:commentEx w15:paraId="5D9AFA1F" w15:done="0"/>
  <w15:commentEx w15:paraId="1D7A512E" w15:done="0"/>
  <w15:commentEx w15:paraId="556923F8" w15:done="0"/>
  <w15:commentEx w15:paraId="3D95C6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273C0A" w16cex:dateUtc="2025-01-30T20:16:00Z"/>
  <w16cex:commentExtensible w16cex:durableId="73E22568" w16cex:dateUtc="2025-02-18T10:45:00Z"/>
  <w16cex:commentExtensible w16cex:durableId="74E83C9E" w16cex:dateUtc="2025-04-01T07:42:00Z"/>
  <w16cex:commentExtensible w16cex:durableId="26A838AC" w16cex:dateUtc="2025-02-18T09:54:00Z"/>
  <w16cex:commentExtensible w16cex:durableId="719E07D9" w16cex:dateUtc="2025-02-18T09:55:00Z"/>
  <w16cex:commentExtensible w16cex:durableId="5E00243F" w16cex:dateUtc="2025-02-18T10:01:00Z"/>
  <w16cex:commentExtensible w16cex:durableId="3EAA758B" w16cex:dateUtc="2025-02-18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CF345F" w16cid:durableId="26273C0A"/>
  <w16cid:commentId w16cid:paraId="078FEAD5" w16cid:durableId="73E22568"/>
  <w16cid:commentId w16cid:paraId="37309398" w16cid:durableId="74E83C9E"/>
  <w16cid:commentId w16cid:paraId="5D9AFA1F" w16cid:durableId="26A838AC"/>
  <w16cid:commentId w16cid:paraId="1D7A512E" w16cid:durableId="719E07D9"/>
  <w16cid:commentId w16cid:paraId="556923F8" w16cid:durableId="5E00243F"/>
  <w16cid:commentId w16cid:paraId="3D95C606" w16cid:durableId="3EAA75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D72FA" w14:textId="77777777" w:rsidR="006C04E3" w:rsidRDefault="006C04E3">
      <w:r>
        <w:separator/>
      </w:r>
    </w:p>
  </w:endnote>
  <w:endnote w:type="continuationSeparator" w:id="0">
    <w:p w14:paraId="35AE1A9E" w14:textId="77777777" w:rsidR="006C04E3" w:rsidRDefault="006C0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A597B" w14:textId="77777777" w:rsidR="00DB07CC" w:rsidRDefault="00DB07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F785D9" w14:textId="77777777" w:rsidR="00DB07CC" w:rsidRDefault="00DB07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A73A2" w14:textId="77777777" w:rsidR="00DB07CC" w:rsidRDefault="00DB07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3852FF25" w14:textId="77777777" w:rsidR="00DB07CC" w:rsidRDefault="00DB0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BC8850" w14:textId="77777777" w:rsidR="006C04E3" w:rsidRDefault="006C04E3">
      <w:r>
        <w:separator/>
      </w:r>
    </w:p>
  </w:footnote>
  <w:footnote w:type="continuationSeparator" w:id="0">
    <w:p w14:paraId="59ACF27C" w14:textId="77777777" w:rsidR="006C04E3" w:rsidRDefault="006C0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0C1D5C"/>
    <w:multiLevelType w:val="hybridMultilevel"/>
    <w:tmpl w:val="35E854E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8232766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rginia Anne Nichols">
    <w15:presenceInfo w15:providerId="AD" w15:userId="S::au757887@uni.au.dk::1e8bc941-3906-405c-be8c-f2e8d9cc7a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 w:name="EN.Layout" w:val="&lt;ENLayout&gt;&lt;Style&gt;Weed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Ecology-Converted.enl&lt;/item&gt;&lt;/Libraries&gt;&lt;/ENLibraries&gt;"/>
  </w:docVars>
  <w:rsids>
    <w:rsidRoot w:val="00B76139"/>
    <w:rsid w:val="00002830"/>
    <w:rsid w:val="00045088"/>
    <w:rsid w:val="00057203"/>
    <w:rsid w:val="000B7E46"/>
    <w:rsid w:val="000C25A5"/>
    <w:rsid w:val="00126F2F"/>
    <w:rsid w:val="00197824"/>
    <w:rsid w:val="001A00CE"/>
    <w:rsid w:val="001A455C"/>
    <w:rsid w:val="001B5010"/>
    <w:rsid w:val="001C7E86"/>
    <w:rsid w:val="001C7F6C"/>
    <w:rsid w:val="001F07F6"/>
    <w:rsid w:val="0022360D"/>
    <w:rsid w:val="00226AAF"/>
    <w:rsid w:val="002314A6"/>
    <w:rsid w:val="00231E9B"/>
    <w:rsid w:val="00276F65"/>
    <w:rsid w:val="002A08AE"/>
    <w:rsid w:val="002A5F86"/>
    <w:rsid w:val="002B6F1A"/>
    <w:rsid w:val="002C160E"/>
    <w:rsid w:val="002F485B"/>
    <w:rsid w:val="003479FB"/>
    <w:rsid w:val="00381089"/>
    <w:rsid w:val="0038548F"/>
    <w:rsid w:val="003C7F19"/>
    <w:rsid w:val="003E7CBF"/>
    <w:rsid w:val="00434E4D"/>
    <w:rsid w:val="00462BFF"/>
    <w:rsid w:val="004C06F7"/>
    <w:rsid w:val="004E1E8C"/>
    <w:rsid w:val="004F47C3"/>
    <w:rsid w:val="0053182E"/>
    <w:rsid w:val="005C0BB4"/>
    <w:rsid w:val="00614437"/>
    <w:rsid w:val="00680EF7"/>
    <w:rsid w:val="00686048"/>
    <w:rsid w:val="006C04E3"/>
    <w:rsid w:val="006C3DC0"/>
    <w:rsid w:val="006E36A2"/>
    <w:rsid w:val="006F3CE0"/>
    <w:rsid w:val="00763F20"/>
    <w:rsid w:val="007B00DA"/>
    <w:rsid w:val="007B2BE5"/>
    <w:rsid w:val="007C2B45"/>
    <w:rsid w:val="007D24BE"/>
    <w:rsid w:val="00802EF3"/>
    <w:rsid w:val="008141BB"/>
    <w:rsid w:val="008877EC"/>
    <w:rsid w:val="008A45D0"/>
    <w:rsid w:val="008B07A4"/>
    <w:rsid w:val="008C1C95"/>
    <w:rsid w:val="008D2724"/>
    <w:rsid w:val="008E0AD1"/>
    <w:rsid w:val="009432A7"/>
    <w:rsid w:val="00950EEA"/>
    <w:rsid w:val="00953C94"/>
    <w:rsid w:val="009915C2"/>
    <w:rsid w:val="009A3A5B"/>
    <w:rsid w:val="009A55B2"/>
    <w:rsid w:val="009A7EA2"/>
    <w:rsid w:val="009D06A0"/>
    <w:rsid w:val="00A20B07"/>
    <w:rsid w:val="00A31C4F"/>
    <w:rsid w:val="00A62539"/>
    <w:rsid w:val="00A75203"/>
    <w:rsid w:val="00A90095"/>
    <w:rsid w:val="00A935FC"/>
    <w:rsid w:val="00AC574D"/>
    <w:rsid w:val="00AC6691"/>
    <w:rsid w:val="00AD04C7"/>
    <w:rsid w:val="00AE1EFC"/>
    <w:rsid w:val="00AF348D"/>
    <w:rsid w:val="00AF5044"/>
    <w:rsid w:val="00B2115D"/>
    <w:rsid w:val="00B76139"/>
    <w:rsid w:val="00BA7F3D"/>
    <w:rsid w:val="00BB220E"/>
    <w:rsid w:val="00BF3618"/>
    <w:rsid w:val="00C10FAD"/>
    <w:rsid w:val="00C16073"/>
    <w:rsid w:val="00C23509"/>
    <w:rsid w:val="00C33AD4"/>
    <w:rsid w:val="00CB1BFB"/>
    <w:rsid w:val="00CC6C30"/>
    <w:rsid w:val="00CD19F2"/>
    <w:rsid w:val="00CD7E08"/>
    <w:rsid w:val="00CF198B"/>
    <w:rsid w:val="00CF32A9"/>
    <w:rsid w:val="00D00706"/>
    <w:rsid w:val="00D066A5"/>
    <w:rsid w:val="00D52562"/>
    <w:rsid w:val="00DA570F"/>
    <w:rsid w:val="00DB07CC"/>
    <w:rsid w:val="00DC7880"/>
    <w:rsid w:val="00DF07E9"/>
    <w:rsid w:val="00E1366F"/>
    <w:rsid w:val="00E41219"/>
    <w:rsid w:val="00EA5B2A"/>
    <w:rsid w:val="00EE1254"/>
    <w:rsid w:val="00F07C2C"/>
    <w:rsid w:val="00F87470"/>
    <w:rsid w:val="00F949F1"/>
    <w:rsid w:val="00FD5287"/>
    <w:rsid w:val="00FD74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82FFB2"/>
  <w15:chartTrackingRefBased/>
  <w15:docId w15:val="{8A01739A-C841-4DFC-A382-0A7DF678E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i/>
      <w:iCs/>
    </w:rPr>
  </w:style>
  <w:style w:type="paragraph" w:styleId="Heading3">
    <w:name w:val="heading 3"/>
    <w:basedOn w:val="Normal"/>
    <w:next w:val="Normal"/>
    <w:link w:val="Heading3Char"/>
    <w:semiHidden/>
    <w:unhideWhenUsed/>
    <w:qFormat/>
    <w:rsid w:val="001A455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keepNext/>
      <w:jc w:val="center"/>
      <w:outlineLvl w:val="4"/>
    </w:pPr>
    <w:rPr>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cs="Arial"/>
    </w:rPr>
  </w:style>
  <w:style w:type="paragraph" w:styleId="EnvelopeReturn">
    <w:name w:val="envelope return"/>
    <w:basedOn w:val="Normal"/>
    <w:rPr>
      <w:rFonts w:cs="Arial"/>
      <w:sz w:val="20"/>
      <w:szCs w:val="20"/>
    </w:rPr>
  </w:style>
  <w:style w:type="paragraph" w:styleId="BodyText">
    <w:name w:val="Body Text"/>
    <w:basedOn w:val="Normal"/>
    <w:rPr>
      <w:i/>
      <w:iCs/>
    </w:rPr>
  </w:style>
  <w:style w:type="paragraph" w:styleId="BodyTextIndent">
    <w:name w:val="Body Text Indent"/>
    <w:basedOn w:val="Normal"/>
    <w:pPr>
      <w:spacing w:after="120"/>
      <w:ind w:left="283"/>
    </w:pPr>
  </w:style>
  <w:style w:type="character" w:styleId="Hyperlink">
    <w:name w:val="Hyperlink"/>
    <w:rsid w:val="00DF07E9"/>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character" w:styleId="CommentReference">
    <w:name w:val="annotation reference"/>
    <w:uiPriority w:val="99"/>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character" w:styleId="LineNumber">
    <w:name w:val="line number"/>
    <w:basedOn w:val="DefaultParagraphFont"/>
  </w:style>
  <w:style w:type="character" w:styleId="UnresolvedMention">
    <w:name w:val="Unresolved Mention"/>
    <w:uiPriority w:val="99"/>
    <w:semiHidden/>
    <w:unhideWhenUsed/>
    <w:rsid w:val="004E1E8C"/>
    <w:rPr>
      <w:color w:val="808080"/>
      <w:shd w:val="clear" w:color="auto" w:fill="E6E6E6"/>
    </w:rPr>
  </w:style>
  <w:style w:type="character" w:styleId="Strong">
    <w:name w:val="Strong"/>
    <w:basedOn w:val="DefaultParagraphFont"/>
    <w:uiPriority w:val="22"/>
    <w:qFormat/>
    <w:rsid w:val="00045088"/>
    <w:rPr>
      <w:b/>
      <w:bCs/>
    </w:rPr>
  </w:style>
  <w:style w:type="character" w:customStyle="1" w:styleId="Heading3Char">
    <w:name w:val="Heading 3 Char"/>
    <w:basedOn w:val="DefaultParagraphFont"/>
    <w:link w:val="Heading3"/>
    <w:semiHidden/>
    <w:rsid w:val="001A455C"/>
    <w:rPr>
      <w:rFonts w:asciiTheme="majorHAnsi" w:eastAsiaTheme="majorEastAsia" w:hAnsiTheme="majorHAnsi" w:cstheme="majorBidi"/>
      <w:color w:val="1F3763" w:themeColor="accent1" w:themeShade="7F"/>
      <w:sz w:val="24"/>
      <w:szCs w:val="24"/>
      <w:lang w:eastAsia="en-US"/>
    </w:rPr>
  </w:style>
  <w:style w:type="table" w:styleId="TableGrid">
    <w:name w:val="Table Grid"/>
    <w:basedOn w:val="TableNormal"/>
    <w:rsid w:val="001A4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209240">
      <w:bodyDiv w:val="1"/>
      <w:marLeft w:val="0"/>
      <w:marRight w:val="0"/>
      <w:marTop w:val="0"/>
      <w:marBottom w:val="0"/>
      <w:divBdr>
        <w:top w:val="none" w:sz="0" w:space="0" w:color="auto"/>
        <w:left w:val="none" w:sz="0" w:space="0" w:color="auto"/>
        <w:bottom w:val="none" w:sz="0" w:space="0" w:color="auto"/>
        <w:right w:val="none" w:sz="0" w:space="0" w:color="auto"/>
      </w:divBdr>
    </w:div>
    <w:div w:id="399720000">
      <w:bodyDiv w:val="1"/>
      <w:marLeft w:val="0"/>
      <w:marRight w:val="0"/>
      <w:marTop w:val="0"/>
      <w:marBottom w:val="0"/>
      <w:divBdr>
        <w:top w:val="none" w:sz="0" w:space="0" w:color="auto"/>
        <w:left w:val="none" w:sz="0" w:space="0" w:color="auto"/>
        <w:bottom w:val="none" w:sz="0" w:space="0" w:color="auto"/>
        <w:right w:val="none" w:sz="0" w:space="0" w:color="auto"/>
      </w:divBdr>
    </w:div>
    <w:div w:id="460850376">
      <w:bodyDiv w:val="1"/>
      <w:marLeft w:val="0"/>
      <w:marRight w:val="0"/>
      <w:marTop w:val="0"/>
      <w:marBottom w:val="0"/>
      <w:divBdr>
        <w:top w:val="none" w:sz="0" w:space="0" w:color="auto"/>
        <w:left w:val="none" w:sz="0" w:space="0" w:color="auto"/>
        <w:bottom w:val="none" w:sz="0" w:space="0" w:color="auto"/>
        <w:right w:val="none" w:sz="0" w:space="0" w:color="auto"/>
      </w:divBdr>
    </w:div>
    <w:div w:id="594561861">
      <w:bodyDiv w:val="1"/>
      <w:marLeft w:val="0"/>
      <w:marRight w:val="0"/>
      <w:marTop w:val="0"/>
      <w:marBottom w:val="0"/>
      <w:divBdr>
        <w:top w:val="none" w:sz="0" w:space="0" w:color="auto"/>
        <w:left w:val="none" w:sz="0" w:space="0" w:color="auto"/>
        <w:bottom w:val="none" w:sz="0" w:space="0" w:color="auto"/>
        <w:right w:val="none" w:sz="0" w:space="0" w:color="auto"/>
      </w:divBdr>
    </w:div>
    <w:div w:id="742219096">
      <w:bodyDiv w:val="1"/>
      <w:marLeft w:val="0"/>
      <w:marRight w:val="0"/>
      <w:marTop w:val="0"/>
      <w:marBottom w:val="0"/>
      <w:divBdr>
        <w:top w:val="none" w:sz="0" w:space="0" w:color="auto"/>
        <w:left w:val="none" w:sz="0" w:space="0" w:color="auto"/>
        <w:bottom w:val="none" w:sz="0" w:space="0" w:color="auto"/>
        <w:right w:val="none" w:sz="0" w:space="0" w:color="auto"/>
      </w:divBdr>
    </w:div>
    <w:div w:id="1045253685">
      <w:bodyDiv w:val="1"/>
      <w:marLeft w:val="0"/>
      <w:marRight w:val="0"/>
      <w:marTop w:val="0"/>
      <w:marBottom w:val="0"/>
      <w:divBdr>
        <w:top w:val="none" w:sz="0" w:space="0" w:color="auto"/>
        <w:left w:val="none" w:sz="0" w:space="0" w:color="auto"/>
        <w:bottom w:val="none" w:sz="0" w:space="0" w:color="auto"/>
        <w:right w:val="none" w:sz="0" w:space="0" w:color="auto"/>
      </w:divBdr>
    </w:div>
    <w:div w:id="176491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gina.nichols@agro.au.dk" TargetMode="External"/><Relationship Id="rId12" Type="http://schemas.openxmlformats.org/officeDocument/2006/relationships/image" Target="media/image1.png"/><Relationship Id="rId17" Type="http://schemas.openxmlformats.org/officeDocument/2006/relationships/hyperlink" Target="http://media.wiley.com/assets/7130/52/SN_Sub2000_X_CoW.pdf" TargetMode="External"/><Relationship Id="rId2" Type="http://schemas.openxmlformats.org/officeDocument/2006/relationships/styles" Target="styles.xml"/><Relationship Id="rId16" Type="http://schemas.openxmlformats.org/officeDocument/2006/relationships/hyperlink" Target="http://www.refman.com/support/rmstyles.asp"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www.endnote.com/support/enstyles.asp"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Wiley%20&amp;%20EWRS\Weed%20Research-%20Jon's%20CD\Instructions%20to%20Authors\WRE%20template%2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WRE template 5</Template>
  <TotalTime>238</TotalTime>
  <Pages>22</Pages>
  <Words>11240</Words>
  <Characters>68571</Characters>
  <Application>Microsoft Office Word</Application>
  <DocSecurity>0</DocSecurity>
  <Lines>571</Lines>
  <Paragraphs>159</Paragraphs>
  <ScaleCrop>false</ScaleCrop>
  <HeadingPairs>
    <vt:vector size="2" baseType="variant">
      <vt:variant>
        <vt:lpstr>Title</vt:lpstr>
      </vt:variant>
      <vt:variant>
        <vt:i4>1</vt:i4>
      </vt:variant>
    </vt:vector>
  </HeadingPairs>
  <TitlesOfParts>
    <vt:vector size="1" baseType="lpstr">
      <vt:lpstr>The impact of sown grass margin strips on weed occurrence in arable crop edges</vt:lpstr>
    </vt:vector>
  </TitlesOfParts>
  <Company>Dell Computer Corporation</Company>
  <LinksUpToDate>false</LinksUpToDate>
  <CharactersWithSpaces>79652</CharactersWithSpaces>
  <SharedDoc>false</SharedDoc>
  <HLinks>
    <vt:vector size="36" baseType="variant">
      <vt:variant>
        <vt:i4>7864395</vt:i4>
      </vt:variant>
      <vt:variant>
        <vt:i4>42</vt:i4>
      </vt:variant>
      <vt:variant>
        <vt:i4>0</vt:i4>
      </vt:variant>
      <vt:variant>
        <vt:i4>5</vt:i4>
      </vt:variant>
      <vt:variant>
        <vt:lpwstr>http://media.wiley.com/assets/7130/52/SN_Sub2000_X_CoW.pdf</vt:lpwstr>
      </vt:variant>
      <vt:variant>
        <vt:lpwstr/>
      </vt:variant>
      <vt:variant>
        <vt:i4>8323168</vt:i4>
      </vt:variant>
      <vt:variant>
        <vt:i4>36</vt:i4>
      </vt:variant>
      <vt:variant>
        <vt:i4>0</vt:i4>
      </vt:variant>
      <vt:variant>
        <vt:i4>5</vt:i4>
      </vt:variant>
      <vt:variant>
        <vt:lpwstr>http://www.refman.com/support/rmstyles.asp</vt:lpwstr>
      </vt:variant>
      <vt:variant>
        <vt:lpwstr/>
      </vt:variant>
      <vt:variant>
        <vt:i4>6357110</vt:i4>
      </vt:variant>
      <vt:variant>
        <vt:i4>33</vt:i4>
      </vt:variant>
      <vt:variant>
        <vt:i4>0</vt:i4>
      </vt:variant>
      <vt:variant>
        <vt:i4>5</vt:i4>
      </vt:variant>
      <vt:variant>
        <vt:lpwstr>http://www.endnote.com/support/enstyles.asp</vt:lpwstr>
      </vt:variant>
      <vt:variant>
        <vt:lpwstr/>
      </vt:variant>
      <vt:variant>
        <vt:i4>2949170</vt:i4>
      </vt:variant>
      <vt:variant>
        <vt:i4>30</vt:i4>
      </vt:variant>
      <vt:variant>
        <vt:i4>0</vt:i4>
      </vt:variant>
      <vt:variant>
        <vt:i4>5</vt:i4>
      </vt:variant>
      <vt:variant>
        <vt:lpwstr>http://www.webbaddress/</vt:lpwstr>
      </vt:variant>
      <vt:variant>
        <vt:lpwstr/>
      </vt:variant>
      <vt:variant>
        <vt:i4>3014769</vt:i4>
      </vt:variant>
      <vt:variant>
        <vt:i4>9</vt:i4>
      </vt:variant>
      <vt:variant>
        <vt:i4>0</vt:i4>
      </vt:variant>
      <vt:variant>
        <vt:i4>5</vt:i4>
      </vt:variant>
      <vt:variant>
        <vt:lpwstr>http://www3.interscience.wiley.com/journal/119454113/issue</vt:lpwstr>
      </vt:variant>
      <vt:variant>
        <vt:lpwstr/>
      </vt:variant>
      <vt:variant>
        <vt:i4>4849670</vt:i4>
      </vt:variant>
      <vt:variant>
        <vt:i4>3</vt:i4>
      </vt:variant>
      <vt:variant>
        <vt:i4>0</vt:i4>
      </vt:variant>
      <vt:variant>
        <vt:i4>5</vt:i4>
      </vt:variant>
      <vt:variant>
        <vt:lpwstr>http://www.wiley.com/bw/submit.asp?ref=0043-1737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sown grass margin strips on weed occurrence in arable crop edges</dc:title>
  <dc:subject/>
  <dc:creator>AJH</dc:creator>
  <cp:keywords/>
  <cp:lastModifiedBy>Virginia Anne Nichols</cp:lastModifiedBy>
  <cp:revision>7</cp:revision>
  <cp:lastPrinted>2020-05-11T07:49:00Z</cp:lastPrinted>
  <dcterms:created xsi:type="dcterms:W3CDTF">2025-08-28T09:09:00Z</dcterms:created>
  <dcterms:modified xsi:type="dcterms:W3CDTF">2025-09-02T14:43:00Z</dcterms:modified>
</cp:coreProperties>
</file>