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r>
        <w:rPr>
          <w:b/>
          <w:bCs/>
          <w:lang w:val="en-US"/>
        </w:rPr>
        <w:t>ønderskov</w:t>
      </w:r>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r w:rsidR="009432A7">
        <w:rPr>
          <w:lang w:val="en-US"/>
        </w:rPr>
        <w:t>øgsvej,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603D5919"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w:t>
      </w:r>
      <w:r w:rsidR="00842881">
        <w:rPr>
          <w:lang w:val="en-US"/>
        </w:rPr>
        <w:t>there is an increasing need to holistically evaluate the roles of non-crop vegetation in agricultural fields. In this vein, we</w:t>
      </w:r>
      <w:r w:rsidRPr="00AE1EFC">
        <w:rPr>
          <w:lang w:val="en-US"/>
        </w:rPr>
        <w:t xml:space="preserve"> assessed fall vegetation communities in 30 replicated cropping systems </w:t>
      </w:r>
      <w:r w:rsidR="00CC1AAD">
        <w:rPr>
          <w:lang w:val="en-US"/>
        </w:rPr>
        <w:t xml:space="preserve">for both ecological and agronomic </w:t>
      </w:r>
      <w:r w:rsidR="00CC1AAD" w:rsidRPr="00AE1EFC">
        <w:rPr>
          <w:lang w:val="en-US"/>
        </w:rPr>
        <w:t xml:space="preserve">performance </w:t>
      </w:r>
      <w:r w:rsidRPr="00AE1EFC">
        <w:rPr>
          <w:lang w:val="en-US"/>
        </w:rPr>
        <w:t xml:space="preserve">over three growing seasons in Denmark. </w:t>
      </w:r>
      <w:r w:rsidR="00842881">
        <w:rPr>
          <w:lang w:val="en-US"/>
        </w:rPr>
        <w:t>Thirty management</w:t>
      </w:r>
      <w:r w:rsidR="00604776">
        <w:rPr>
          <w:lang w:val="en-US"/>
        </w:rPr>
        <w:t xml:space="preserve"> systems</w:t>
      </w:r>
      <w:r w:rsidR="00842881">
        <w:rPr>
          <w:lang w:val="en-US"/>
        </w:rPr>
        <w:t xml:space="preserve"> applied to </w:t>
      </w:r>
      <w:r w:rsidR="00842881">
        <w:rPr>
          <w:lang w:val="en-US"/>
        </w:rPr>
        <w:t xml:space="preserve">a spring barley </w:t>
      </w:r>
      <w:r w:rsidR="00842881" w:rsidRPr="00DC3E09">
        <w:rPr>
          <w:i/>
          <w:iCs/>
          <w:lang w:val="en-US"/>
        </w:rPr>
        <w:t>(Hordeum vulgare)</w:t>
      </w:r>
      <w:r w:rsidR="00842881">
        <w:rPr>
          <w:lang w:val="en-US"/>
        </w:rPr>
        <w:t xml:space="preserve">/oat </w:t>
      </w:r>
      <w:r w:rsidR="00842881" w:rsidRPr="00DC3E09">
        <w:rPr>
          <w:i/>
          <w:iCs/>
          <w:lang w:val="en-US"/>
        </w:rPr>
        <w:t>(Avena sativa)</w:t>
      </w:r>
      <w:r w:rsidR="00842881">
        <w:rPr>
          <w:lang w:val="en-US"/>
        </w:rPr>
        <w:t xml:space="preserve">/faba bean </w:t>
      </w:r>
      <w:r w:rsidR="00842881" w:rsidRPr="00DC3E09">
        <w:rPr>
          <w:i/>
          <w:iCs/>
          <w:lang w:val="en-US"/>
        </w:rPr>
        <w:t>(Vicia faba)</w:t>
      </w:r>
      <w:r w:rsidR="00842881">
        <w:rPr>
          <w:lang w:val="en-US"/>
        </w:rPr>
        <w:t xml:space="preserve"> cash crop sequence</w:t>
      </w:r>
      <w:r w:rsidR="00842881">
        <w:rPr>
          <w:lang w:val="en-US"/>
        </w:rPr>
        <w:t>. Treatments included</w:t>
      </w:r>
      <w:r w:rsidR="00274552">
        <w:rPr>
          <w:lang w:val="en-US"/>
        </w:rPr>
        <w:t xml:space="preserve"> </w:t>
      </w:r>
      <w:r w:rsidR="00274552" w:rsidRPr="00AE1EFC">
        <w:rPr>
          <w:lang w:val="en-US"/>
        </w:rPr>
        <w:t>five cover crop systems [</w:t>
      </w:r>
      <w:r w:rsidR="00274552">
        <w:rPr>
          <w:lang w:val="en-US"/>
        </w:rPr>
        <w:t>grass/clover (</w:t>
      </w:r>
      <w:r w:rsidR="00274552" w:rsidRPr="00AE1EFC">
        <w:rPr>
          <w:i/>
          <w:iCs/>
          <w:lang w:val="en-US"/>
        </w:rPr>
        <w:t>Lolium perenne</w:t>
      </w:r>
      <w:r w:rsidR="00274552" w:rsidRPr="00C10FAD">
        <w:rPr>
          <w:i/>
          <w:iCs/>
          <w:lang w:val="en-US"/>
        </w:rPr>
        <w:t>/</w:t>
      </w:r>
      <w:r w:rsidR="00274552" w:rsidRPr="00AE1EFC">
        <w:rPr>
          <w:i/>
          <w:iCs/>
          <w:lang w:val="en-US"/>
        </w:rPr>
        <w:t>Trifolium repens</w:t>
      </w:r>
      <w:r w:rsidR="00274552">
        <w:rPr>
          <w:lang w:val="en-US"/>
        </w:rPr>
        <w:t>)</w:t>
      </w:r>
      <w:r w:rsidR="00274552" w:rsidRPr="00AE1EFC">
        <w:rPr>
          <w:lang w:val="en-US"/>
        </w:rPr>
        <w:t xml:space="preserve"> mixtures sown early</w:t>
      </w:r>
      <w:r w:rsidR="00274552">
        <w:rPr>
          <w:lang w:val="en-US"/>
        </w:rPr>
        <w:t>- (MixE)</w:t>
      </w:r>
      <w:r w:rsidR="00274552" w:rsidRPr="00AE1EFC">
        <w:rPr>
          <w:lang w:val="en-US"/>
        </w:rPr>
        <w:t xml:space="preserve"> and mid-season</w:t>
      </w:r>
      <w:r w:rsidR="00274552">
        <w:rPr>
          <w:lang w:val="en-US"/>
        </w:rPr>
        <w:t xml:space="preserve"> (MixM)</w:t>
      </w:r>
      <w:r w:rsidR="00274552" w:rsidRPr="00AE1EFC">
        <w:rPr>
          <w:lang w:val="en-US"/>
        </w:rPr>
        <w:t xml:space="preserve">, </w:t>
      </w:r>
      <w:r w:rsidR="00274552">
        <w:rPr>
          <w:lang w:val="en-US"/>
        </w:rPr>
        <w:t>radish (</w:t>
      </w:r>
      <w:r w:rsidR="00274552" w:rsidRPr="00AE1EFC">
        <w:rPr>
          <w:i/>
          <w:iCs/>
          <w:lang w:val="en-US"/>
        </w:rPr>
        <w:t>Raphanus sativus</w:t>
      </w:r>
      <w:r w:rsidR="00274552">
        <w:rPr>
          <w:lang w:val="en-US"/>
        </w:rPr>
        <w:t>)</w:t>
      </w:r>
      <w:r w:rsidR="00274552" w:rsidRPr="00AE1EFC">
        <w:rPr>
          <w:lang w:val="en-US"/>
        </w:rPr>
        <w:t xml:space="preserve"> sown mid-season</w:t>
      </w:r>
      <w:r w:rsidR="00274552">
        <w:rPr>
          <w:lang w:val="en-US"/>
        </w:rPr>
        <w:t xml:space="preserve"> (RadM)</w:t>
      </w:r>
      <w:r w:rsidR="00274552" w:rsidRPr="00AE1EFC">
        <w:rPr>
          <w:lang w:val="en-US"/>
        </w:rPr>
        <w:t xml:space="preserve"> and post-harvest</w:t>
      </w:r>
      <w:r w:rsidR="00274552">
        <w:rPr>
          <w:lang w:val="en-US"/>
        </w:rPr>
        <w:t xml:space="preserve"> (RadL)</w:t>
      </w:r>
      <w:r w:rsidR="00274552" w:rsidRPr="00AE1EFC">
        <w:rPr>
          <w:lang w:val="en-US"/>
        </w:rPr>
        <w:t>, and a no-cover control</w:t>
      </w:r>
      <w:r w:rsidR="00274552">
        <w:rPr>
          <w:lang w:val="en-US"/>
        </w:rPr>
        <w:t xml:space="preserve"> (NoCC)</w:t>
      </w:r>
      <w:r w:rsidR="00274552" w:rsidRPr="00AE1EFC">
        <w:rPr>
          <w:lang w:val="en-US"/>
        </w:rPr>
        <w:t>]</w:t>
      </w:r>
      <w:r w:rsidR="00DE4D97">
        <w:rPr>
          <w:lang w:val="en-US"/>
        </w:rPr>
        <w:t xml:space="preserve"> implemented in </w:t>
      </w:r>
      <w:r w:rsidR="00DE4D97">
        <w:rPr>
          <w:lang w:val="en-US"/>
        </w:rPr>
        <w:t xml:space="preserve">all combinations of </w:t>
      </w:r>
      <w:r w:rsidR="00DE4D97" w:rsidRPr="00AE1EFC">
        <w:rPr>
          <w:lang w:val="en-US"/>
        </w:rPr>
        <w:t xml:space="preserve">three </w:t>
      </w:r>
      <w:r w:rsidR="00DE4D97">
        <w:rPr>
          <w:lang w:val="en-US"/>
        </w:rPr>
        <w:t>tillages</w:t>
      </w:r>
      <w:r w:rsidR="00DE4D97" w:rsidRPr="00AE1EFC">
        <w:rPr>
          <w:lang w:val="en-US"/>
        </w:rPr>
        <w:t xml:space="preserve"> (no-till, surface, inversion)</w:t>
      </w:r>
      <w:r w:rsidR="00DE4D97">
        <w:rPr>
          <w:lang w:val="en-US"/>
        </w:rPr>
        <w:t xml:space="preserve"> and</w:t>
      </w:r>
      <w:r w:rsidR="00DE4D97">
        <w:rPr>
          <w:lang w:val="en-US"/>
        </w:rPr>
        <w:t xml:space="preserve"> </w:t>
      </w:r>
      <w:r w:rsidR="00DE4D97" w:rsidRPr="00AE1EFC">
        <w:rPr>
          <w:lang w:val="en-US"/>
        </w:rPr>
        <w:t>two residue managements (retained, removed)</w:t>
      </w:r>
      <w:r w:rsidRPr="00AE1EFC">
        <w:rPr>
          <w:lang w:val="en-US"/>
        </w:rPr>
        <w:t xml:space="preserve">. Measured responses included </w:t>
      </w:r>
      <w:r w:rsidR="00274552">
        <w:rPr>
          <w:lang w:val="en-US"/>
        </w:rPr>
        <w:t xml:space="preserve">cash </w:t>
      </w:r>
      <w:r w:rsidRPr="00AE1EFC">
        <w:rPr>
          <w:lang w:val="en-US"/>
        </w:rPr>
        <w:t xml:space="preserve">crop yield, fall biomass, </w:t>
      </w:r>
      <w:r w:rsidR="00CC1AAD">
        <w:rPr>
          <w:lang w:val="en-US"/>
        </w:rPr>
        <w:t xml:space="preserve">fall </w:t>
      </w:r>
      <w:r w:rsidRPr="00AE1EFC">
        <w:rPr>
          <w:lang w:val="en-US"/>
        </w:rPr>
        <w:t>plant cover</w:t>
      </w:r>
      <w:r w:rsidR="00CC1AAD">
        <w:rPr>
          <w:lang w:val="en-US"/>
        </w:rPr>
        <w:t xml:space="preserve"> by species</w:t>
      </w:r>
      <w:r w:rsidRPr="00AE1EFC">
        <w:rPr>
          <w:lang w:val="en-US"/>
        </w:rPr>
        <w:t xml:space="preserve">, and spring </w:t>
      </w:r>
      <w:r w:rsidR="00604776">
        <w:rPr>
          <w:lang w:val="en-US"/>
        </w:rPr>
        <w:t>weed</w:t>
      </w:r>
      <w:r w:rsidR="00CC1AAD">
        <w:rPr>
          <w:lang w:val="en-US"/>
        </w:rPr>
        <w:t xml:space="preserve"> species</w:t>
      </w:r>
      <w:r w:rsidRPr="00AE1EFC">
        <w:rPr>
          <w:lang w:val="en-US"/>
        </w:rPr>
        <w:t xml:space="preserve"> counts</w:t>
      </w:r>
      <w:r w:rsidR="00583A92">
        <w:rPr>
          <w:lang w:val="en-US"/>
        </w:rPr>
        <w:t>; ecological values of communities were estimated using published methods</w:t>
      </w:r>
      <w:r w:rsidRPr="00AE1EFC">
        <w:rPr>
          <w:lang w:val="en-US"/>
        </w:rPr>
        <w:t xml:space="preserve">. The </w:t>
      </w:r>
      <w:r w:rsidR="00604776">
        <w:rPr>
          <w:lang w:val="en-US"/>
        </w:rPr>
        <w:t>three</w:t>
      </w:r>
      <w:r w:rsidR="005F1FF2">
        <w:rPr>
          <w:lang w:val="en-US"/>
        </w:rPr>
        <w:t>-year</w:t>
      </w:r>
      <w:r w:rsidR="00604776">
        <w:rPr>
          <w:lang w:val="en-US"/>
        </w:rPr>
        <w:t xml:space="preserve"> </w:t>
      </w:r>
      <w:r w:rsidRPr="00AE1EFC">
        <w:rPr>
          <w:lang w:val="en-US"/>
        </w:rPr>
        <w:t xml:space="preserve">study coincided with </w:t>
      </w:r>
      <w:r w:rsidR="00DE4D97">
        <w:rPr>
          <w:lang w:val="en-US"/>
        </w:rPr>
        <w:t>extreme weather years</w:t>
      </w:r>
      <w:r w:rsidRPr="00AE1EFC">
        <w:rPr>
          <w:lang w:val="en-US"/>
        </w:rPr>
        <w:t>.</w:t>
      </w:r>
      <w:commentRangeStart w:id="1"/>
      <w:r w:rsidR="00C10FAD">
        <w:rPr>
          <w:lang w:val="en-US"/>
        </w:rPr>
        <w:t xml:space="preserve"> </w:t>
      </w:r>
      <w:r w:rsidRPr="00AE1EFC">
        <w:rPr>
          <w:lang w:val="en-US"/>
        </w:rPr>
        <w:t xml:space="preserve">Soil cover remained stable (~75%) across treatments and years, while fall biomass varied. Radish cover crops consistently increased </w:t>
      </w:r>
      <w:r w:rsidR="00604776">
        <w:rPr>
          <w:lang w:val="en-US"/>
        </w:rPr>
        <w:t xml:space="preserve">fall </w:t>
      </w:r>
      <w:r w:rsidRPr="00AE1EFC">
        <w:rPr>
          <w:lang w:val="en-US"/>
        </w:rPr>
        <w:t xml:space="preserve">biomass relative to </w:t>
      </w:r>
      <w:r w:rsidR="00C10FAD">
        <w:rPr>
          <w:lang w:val="en-US"/>
        </w:rPr>
        <w:t>NoCC, while the mixtures did not</w:t>
      </w:r>
      <w:r w:rsidRPr="00AE1EFC">
        <w:rPr>
          <w:lang w:val="en-US"/>
        </w:rPr>
        <w:t xml:space="preserve">. </w:t>
      </w:r>
      <w:r w:rsidR="00604776">
        <w:rPr>
          <w:lang w:val="en-US"/>
        </w:rPr>
        <w:t xml:space="preserve">In both </w:t>
      </w:r>
      <w:r w:rsidR="005F1FF2">
        <w:rPr>
          <w:lang w:val="en-US"/>
        </w:rPr>
        <w:t xml:space="preserve">falls, </w:t>
      </w:r>
      <w:r w:rsidR="00604776">
        <w:rPr>
          <w:lang w:val="en-US"/>
        </w:rPr>
        <w:t>cover crop contributions to fall biomass/coverage were above &gt;50% only in the</w:t>
      </w:r>
      <w:r w:rsidR="009A7EA2">
        <w:rPr>
          <w:lang w:val="en-US"/>
        </w:rPr>
        <w:t xml:space="preserve"> RadM </w:t>
      </w:r>
      <w:r w:rsidR="00DE4D97">
        <w:rPr>
          <w:lang w:val="en-US"/>
        </w:rPr>
        <w:t>systems</w:t>
      </w:r>
      <w:r w:rsidR="00BB220E">
        <w:rPr>
          <w:lang w:val="en-US"/>
        </w:rPr>
        <w:t>, with other v</w:t>
      </w:r>
      <w:r w:rsidRPr="00AE1EFC">
        <w:rPr>
          <w:lang w:val="en-US"/>
        </w:rPr>
        <w:t xml:space="preserve">egetation communities </w:t>
      </w:r>
      <w:r w:rsidR="00BB220E">
        <w:rPr>
          <w:lang w:val="en-US"/>
        </w:rPr>
        <w:t>being</w:t>
      </w:r>
      <w:r w:rsidR="00A62539">
        <w:rPr>
          <w:lang w:val="en-US"/>
        </w:rPr>
        <w:t xml:space="preserve"> dominated by </w:t>
      </w:r>
      <w:r w:rsidRPr="00AE1EFC">
        <w:rPr>
          <w:lang w:val="en-US"/>
        </w:rPr>
        <w:t>crop volunteers</w:t>
      </w:r>
      <w:r w:rsidR="00BB220E">
        <w:rPr>
          <w:lang w:val="en-US"/>
        </w:rPr>
        <w:t>. E</w:t>
      </w:r>
      <w:r w:rsidRPr="00AE1EFC">
        <w:rPr>
          <w:lang w:val="en-US"/>
        </w:rPr>
        <w:t xml:space="preserve">cological value </w:t>
      </w:r>
      <w:r w:rsidR="00733FC7">
        <w:rPr>
          <w:lang w:val="en-US"/>
        </w:rPr>
        <w:t xml:space="preserve">was </w:t>
      </w:r>
      <w:r w:rsidRPr="00AE1EFC">
        <w:rPr>
          <w:lang w:val="en-US"/>
        </w:rPr>
        <w:t xml:space="preserve">highest </w:t>
      </w:r>
      <w:r w:rsidR="00733FC7">
        <w:rPr>
          <w:lang w:val="en-US"/>
        </w:rPr>
        <w:t>for radish systems</w:t>
      </w:r>
      <w:r w:rsidRPr="00AE1EFC">
        <w:rPr>
          <w:lang w:val="en-US"/>
        </w:rPr>
        <w:t xml:space="preserve">. </w:t>
      </w:r>
      <w:r w:rsidR="00733FC7">
        <w:rPr>
          <w:lang w:val="en-US"/>
        </w:rPr>
        <w:t xml:space="preserve">All </w:t>
      </w:r>
      <w:r w:rsidR="00A62539">
        <w:rPr>
          <w:lang w:val="en-US"/>
        </w:rPr>
        <w:t>RadM</w:t>
      </w:r>
      <w:r w:rsidRPr="00AE1EFC">
        <w:rPr>
          <w:lang w:val="en-US"/>
        </w:rPr>
        <w:t xml:space="preserve"> </w:t>
      </w:r>
      <w:r w:rsidR="00733FC7">
        <w:rPr>
          <w:lang w:val="en-US"/>
        </w:rPr>
        <w:t xml:space="preserve">systems </w:t>
      </w:r>
      <w:r w:rsidR="00A62539">
        <w:rPr>
          <w:lang w:val="en-US"/>
        </w:rPr>
        <w:t xml:space="preserve">consistently </w:t>
      </w:r>
      <w:r w:rsidR="00733FC7">
        <w:rPr>
          <w:lang w:val="en-US"/>
        </w:rPr>
        <w:t xml:space="preserve">exhibited the highest crop yields, </w:t>
      </w:r>
      <w:r w:rsidRPr="00AE1EFC">
        <w:rPr>
          <w:lang w:val="en-US"/>
        </w:rPr>
        <w:t>fall biomass</w:t>
      </w:r>
      <w:r w:rsidR="00733FC7">
        <w:rPr>
          <w:lang w:val="en-US"/>
        </w:rPr>
        <w:t xml:space="preserve"> and </w:t>
      </w:r>
      <w:r w:rsidRPr="00AE1EFC">
        <w:rPr>
          <w:lang w:val="en-US"/>
        </w:rPr>
        <w:t>ecological value</w:t>
      </w:r>
      <w:r w:rsidR="001C52EB">
        <w:rPr>
          <w:lang w:val="en-US"/>
        </w:rPr>
        <w:t xml:space="preserve"> and did not </w:t>
      </w:r>
      <w:r w:rsidRPr="00AE1EFC">
        <w:rPr>
          <w:lang w:val="en-US"/>
        </w:rPr>
        <w:t>increas</w:t>
      </w:r>
      <w:r w:rsidR="001C52EB">
        <w:rPr>
          <w:lang w:val="en-US"/>
        </w:rPr>
        <w:t>e</w:t>
      </w:r>
      <w:r w:rsidRPr="00AE1EFC">
        <w:rPr>
          <w:lang w:val="en-US"/>
        </w:rPr>
        <w:t xml:space="preserve"> perennial weeds</w:t>
      </w:r>
      <w:r w:rsidR="00733FC7">
        <w:rPr>
          <w:lang w:val="en-US"/>
        </w:rPr>
        <w:t xml:space="preserve"> compared to NoCC</w:t>
      </w:r>
      <w:r w:rsidR="001C52EB">
        <w:rPr>
          <w:lang w:val="en-US"/>
        </w:rPr>
        <w:t xml:space="preserve">, but </w:t>
      </w:r>
      <w:r w:rsidR="00733FC7">
        <w:rPr>
          <w:lang w:val="en-US"/>
        </w:rPr>
        <w:t xml:space="preserve">had no change in </w:t>
      </w:r>
      <w:r w:rsidR="001C52EB">
        <w:rPr>
          <w:lang w:val="en-US"/>
        </w:rPr>
        <w:t>pesticide loads</w:t>
      </w:r>
      <w:r w:rsidRPr="00AE1EFC">
        <w:rPr>
          <w:lang w:val="en-US"/>
        </w:rPr>
        <w:t xml:space="preserve">. In contrast, </w:t>
      </w:r>
      <w:r w:rsidR="001C52EB">
        <w:rPr>
          <w:lang w:val="en-US"/>
        </w:rPr>
        <w:t xml:space="preserve">while </w:t>
      </w:r>
      <w:r w:rsidR="00A62539">
        <w:rPr>
          <w:lang w:val="en-US"/>
        </w:rPr>
        <w:t xml:space="preserve">MixE </w:t>
      </w:r>
      <w:r w:rsidR="001C52EB">
        <w:rPr>
          <w:lang w:val="en-US"/>
        </w:rPr>
        <w:t xml:space="preserve">reduced pesticide loads compared to NoCC, it also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t>
      </w:r>
      <w:r w:rsidR="001C52EB">
        <w:rPr>
          <w:lang w:val="en-US"/>
        </w:rPr>
        <w:t>legacies</w:t>
      </w:r>
      <w:r w:rsidR="00DE4D97">
        <w:rPr>
          <w:lang w:val="en-US"/>
        </w:rPr>
        <w:t xml:space="preserve"> corresponding to reduced crop yields, </w:t>
      </w:r>
      <w:r w:rsidRPr="00AE1EFC">
        <w:rPr>
          <w:lang w:val="en-US"/>
        </w:rPr>
        <w:t>and supported lower-value</w:t>
      </w:r>
      <w:r w:rsidR="001C52EB">
        <w:rPr>
          <w:lang w:val="en-US"/>
        </w:rPr>
        <w:t xml:space="preserve"> </w:t>
      </w:r>
      <w:r w:rsidR="00DE4D97">
        <w:rPr>
          <w:lang w:val="en-US"/>
        </w:rPr>
        <w:t xml:space="preserve">but more complex </w:t>
      </w:r>
      <w:r w:rsidRPr="00AE1EFC">
        <w:rPr>
          <w:lang w:val="en-US"/>
        </w:rPr>
        <w:t>plant communities</w:t>
      </w:r>
      <w:r w:rsidR="001C52EB">
        <w:rPr>
          <w:lang w:val="en-US"/>
        </w:rPr>
        <w:t>.</w:t>
      </w:r>
      <w:commentRangeEnd w:id="1"/>
      <w:r w:rsidR="000043B8">
        <w:rPr>
          <w:rStyle w:val="CommentReference"/>
        </w:rPr>
        <w:commentReference w:id="1"/>
      </w:r>
      <w:r w:rsidR="001C52EB">
        <w:rPr>
          <w:lang w:val="en-US"/>
        </w:rPr>
        <w:t xml:space="preserve"> </w:t>
      </w:r>
      <w:r w:rsidRPr="00AE1EFC">
        <w:rPr>
          <w:lang w:val="en-US"/>
        </w:rPr>
        <w:t xml:space="preserve">Overall, </w:t>
      </w:r>
      <w:r w:rsidR="00A62539">
        <w:rPr>
          <w:lang w:val="en-US"/>
        </w:rPr>
        <w:t xml:space="preserve">in our study we found </w:t>
      </w:r>
      <w:r w:rsidR="00BB220E">
        <w:rPr>
          <w:lang w:val="en-US"/>
        </w:rPr>
        <w:t>radish cover crops</w:t>
      </w:r>
      <w:r w:rsidRPr="00AE1EFC">
        <w:rPr>
          <w:lang w:val="en-US"/>
        </w:rPr>
        <w:t xml:space="preserve"> exhibited more consistent agronomic and ecological benefits </w:t>
      </w:r>
      <w:r w:rsidR="00DE4D97">
        <w:rPr>
          <w:lang w:val="en-US"/>
        </w:rPr>
        <w:t xml:space="preserve">across all systems and years </w:t>
      </w:r>
      <w:r w:rsidR="00A62539">
        <w:rPr>
          <w:lang w:val="en-US"/>
        </w:rPr>
        <w:t xml:space="preserve">compared to </w:t>
      </w:r>
      <w:r w:rsidR="00BB220E">
        <w:rPr>
          <w:lang w:val="en-US"/>
        </w:rPr>
        <w:t xml:space="preserve">the grass/clover </w:t>
      </w:r>
      <w:r w:rsidR="00A62539">
        <w:rPr>
          <w:lang w:val="en-US"/>
        </w:rPr>
        <w:t>mixes and NoCC</w:t>
      </w:r>
      <w:r w:rsidRPr="00AE1EFC">
        <w:rPr>
          <w:lang w:val="en-US"/>
        </w:rPr>
        <w:t xml:space="preserve">, </w:t>
      </w:r>
      <w:r w:rsidR="00A62539">
        <w:rPr>
          <w:lang w:val="en-US"/>
        </w:rPr>
        <w:t xml:space="preserve">but </w:t>
      </w:r>
      <w:r w:rsidR="005F1FF2">
        <w:rPr>
          <w:lang w:val="en-US"/>
        </w:rPr>
        <w:t>require additional management compared to NoCC</w:t>
      </w:r>
      <w:r w:rsidR="006F54D7">
        <w:rPr>
          <w:lang w:val="en-US"/>
        </w:rPr>
        <w:t xml:space="preserve"> and do</w:t>
      </w:r>
      <w:r w:rsidR="001A1339">
        <w:rPr>
          <w:lang w:val="en-US"/>
        </w:rPr>
        <w:t xml:space="preserve"> not </w:t>
      </w:r>
      <w:r w:rsidR="006F54D7">
        <w:rPr>
          <w:lang w:val="en-US"/>
        </w:rPr>
        <w:t xml:space="preserve">inherently </w:t>
      </w:r>
      <w:r w:rsidR="001A1339">
        <w:rPr>
          <w:lang w:val="en-US"/>
        </w:rPr>
        <w:t>reduce pesticide loads</w:t>
      </w:r>
      <w:r w:rsidR="005F1FF2">
        <w:rPr>
          <w:lang w:val="en-US"/>
        </w:rPr>
        <w:t>. O</w:t>
      </w:r>
      <w:r w:rsidR="00A62539">
        <w:rPr>
          <w:lang w:val="en-US"/>
        </w:rPr>
        <w:t xml:space="preserve">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proofErr w:type="gramStart"/>
      <w:r w:rsidRPr="00045088">
        <w:rPr>
          <w:b/>
          <w:bCs/>
        </w:rPr>
        <w:t>1  INTRODUCTION</w:t>
      </w:r>
      <w:proofErr w:type="gramEnd"/>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w:t>
      </w:r>
      <w:r w:rsidRPr="006C3DC0">
        <w:rPr>
          <w:lang w:val="en-US"/>
        </w:rPr>
        <w:lastRenderedPageBreak/>
        <w:t xml:space="preserve">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5E7A17D3" w:rsidR="00E41219" w:rsidRDefault="006C3DC0" w:rsidP="00E41219">
      <w:pPr>
        <w:spacing w:line="360" w:lineRule="auto"/>
      </w:pPr>
      <w:r w:rsidRPr="006C3DC0">
        <w:rPr>
          <w:lang w:val="en-US"/>
        </w:rPr>
        <w:t>In agricultural systems that utilize tillage and/or herbicides, studies have found fall cover cropping has a minimal impact on subsequent weed pressure due to the strong filters exerted by spring tillage</w:t>
      </w:r>
      <w:r w:rsidR="00E75CD1">
        <w:rPr>
          <w:lang w:val="en-US"/>
        </w:rPr>
        <w:t xml:space="preserve"> and/or spring </w:t>
      </w:r>
      <w:r w:rsidRPr="006C3DC0">
        <w:rPr>
          <w:lang w:val="en-US"/>
        </w:rPr>
        <w:t xml:space="preserve">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(Adeux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(Adeux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w:t>
      </w:r>
      <w:r w:rsidR="00E75CD1">
        <w:rPr>
          <w:lang w:val="en-US"/>
        </w:rPr>
        <w:t xml:space="preserve">increasing the probability of </w:t>
      </w:r>
      <w:r w:rsidRPr="006C3DC0">
        <w:rPr>
          <w:lang w:val="en-US"/>
        </w:rPr>
        <w:t>future agronomic harm</w:t>
      </w:r>
      <w:r w:rsidR="00E41219">
        <w:rPr>
          <w:lang w:val="en-US"/>
        </w:rPr>
        <w:t xml:space="preserve">. In this context, fall plant </w:t>
      </w:r>
      <w:r w:rsidR="00E41219" w:rsidRPr="006C3DC0">
        <w:rPr>
          <w:lang w:val="en-US"/>
        </w:rPr>
        <w:t xml:space="preserve">communities </w:t>
      </w:r>
      <w:r w:rsidR="00E75CD1">
        <w:rPr>
          <w:lang w:val="en-US"/>
        </w:rPr>
        <w:t>have the potential to o</w:t>
      </w:r>
      <w:r w:rsidR="00E41219" w:rsidRPr="006C3DC0">
        <w:rPr>
          <w:lang w:val="en-US"/>
        </w:rPr>
        <w:t xml:space="preserve">ffer a range of ecological </w:t>
      </w:r>
      <w:r w:rsidR="00E41219">
        <w:rPr>
          <w:lang w:val="en-US"/>
        </w:rPr>
        <w:t xml:space="preserve">and environmental </w:t>
      </w:r>
      <w:r w:rsidR="00E41219" w:rsidRPr="006C3DC0">
        <w:rPr>
          <w:lang w:val="en-US"/>
        </w:rPr>
        <w:t>benefits</w:t>
      </w:r>
      <w:r w:rsidR="00E75CD1">
        <w:rPr>
          <w:lang w:val="en-US"/>
        </w:rPr>
        <w:t xml:space="preserve"> - t</w:t>
      </w:r>
      <w:r w:rsidR="00E41219" w:rsidRPr="006C3DC0">
        <w:rPr>
          <w:lang w:val="en-US"/>
        </w:rPr>
        <w:t>hey may serve as important promotors of plant diversity</w:t>
      </w:r>
      <w:r w:rsidR="0062645F">
        <w:rPr>
          <w:lang w:val="en-US"/>
        </w:rPr>
        <w:t xml:space="preserve"> conservation</w:t>
      </w:r>
      <w:r w:rsidR="00E41219" w:rsidRPr="006C3DC0">
        <w:rPr>
          <w:lang w:val="en-US"/>
        </w:rPr>
        <w:t xml:space="preserve">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(Balfour and Ratnieks,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(Blaix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w:t>
      </w:r>
      <w:r w:rsidR="0062645F">
        <w:rPr>
          <w:lang w:val="en-US"/>
        </w:rPr>
        <w:t>and</w:t>
      </w:r>
      <w:r w:rsidR="00E41219" w:rsidRPr="006C3DC0">
        <w:rPr>
          <w:lang w:val="en-US"/>
        </w:rPr>
        <w:t xml:space="preserve">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w:t>
      </w:r>
      <w:r w:rsidR="0062645F">
        <w:rPr>
          <w:lang w:val="en-US"/>
        </w:rPr>
        <w:t>However, t</w:t>
      </w:r>
      <w:r w:rsidR="00E41219">
        <w:rPr>
          <w:lang w:val="en-US"/>
        </w:rPr>
        <w:t xml:space="preserve">he potential </w:t>
      </w:r>
      <w:r w:rsidR="0062645F">
        <w:rPr>
          <w:lang w:val="en-US"/>
        </w:rPr>
        <w:t xml:space="preserve">to compromise future </w:t>
      </w:r>
      <w:r w:rsidR="00E41219">
        <w:rPr>
          <w:lang w:val="en-US"/>
        </w:rPr>
        <w:t xml:space="preserve">agronomic </w:t>
      </w:r>
      <w:r w:rsidR="0062645F">
        <w:rPr>
          <w:lang w:val="en-US"/>
        </w:rPr>
        <w:t>productivity</w:t>
      </w:r>
      <w:r w:rsidR="00E41219">
        <w:rPr>
          <w:lang w:val="en-US"/>
        </w:rPr>
        <w:t xml:space="preserve"> must also be </w:t>
      </w:r>
      <w:proofErr w:type="gramStart"/>
      <w:r w:rsidR="00E41219">
        <w:rPr>
          <w:lang w:val="en-US"/>
        </w:rPr>
        <w:t>taken into account</w:t>
      </w:r>
      <w:proofErr w:type="gramEnd"/>
      <w:r w:rsidR="00E41219">
        <w:rPr>
          <w:lang w:val="en-US"/>
        </w:rPr>
        <w:t xml:space="preserve">, considering both </w:t>
      </w:r>
      <w:r w:rsidR="0062645F">
        <w:rPr>
          <w:lang w:val="en-US"/>
        </w:rPr>
        <w:t>xx (current?)</w:t>
      </w:r>
      <w:r w:rsidR="00E41219">
        <w:rPr>
          <w:lang w:val="en-US"/>
        </w:rPr>
        <w:t xml:space="preserve"> risks and legacies of risk (CITE). </w:t>
      </w:r>
      <w:r w:rsidR="00E41219">
        <w:t xml:space="preserve">The lack of a universally accepted methodology </w:t>
      </w:r>
      <w:r w:rsidR="00CF1E52">
        <w:t xml:space="preserve">for estimating the potential values and harms of non-crop vegetation </w:t>
      </w:r>
      <w:r w:rsidR="00E41219">
        <w:t>precludes comparisons between studies, but within the context of a single study, a given approach may provide useful insight (</w:t>
      </w:r>
      <w:r w:rsidR="00CF1E52">
        <w:t>cite Marco’s paper</w:t>
      </w:r>
      <w:r w:rsidR="00E41219">
        <w:t>).</w:t>
      </w:r>
      <w:r w:rsidR="00CF1E52">
        <w:t xml:space="preserve"> </w:t>
      </w:r>
      <w:r w:rsidR="00CF1E52">
        <w:rPr>
          <w:lang w:val="en-US"/>
        </w:rPr>
        <w:t xml:space="preserve">Several frameworks have been proposed, but each presents limitations based on data availability, generalizability, and the desired outcomes </w:t>
      </w:r>
      <w:r w:rsidR="00CF1E52" w:rsidRPr="006C3DC0">
        <w:rPr>
          <w:lang w:val="en-US"/>
        </w:rPr>
        <w:fldChar w:fldCharType="begin"/>
      </w:r>
      <w:r w:rsidR="00CF1E52"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CF1E52" w:rsidRPr="006C3DC0">
        <w:rPr>
          <w:lang w:val="en-US"/>
        </w:rPr>
        <w:fldChar w:fldCharType="separate"/>
      </w:r>
      <w:r w:rsidR="00CF1E52" w:rsidRPr="006C3DC0">
        <w:rPr>
          <w:lang w:val="en-US"/>
        </w:rPr>
        <w:t>(Esposito et al., 2023; Petit et al., 2011; Storkey and Westbury, 2007)</w:t>
      </w:r>
      <w:r w:rsidR="00CF1E52" w:rsidRPr="006C3DC0">
        <w:fldChar w:fldCharType="end"/>
      </w:r>
      <w:r w:rsidR="00CF1E52">
        <w:t>. The goals of the study must therefore be clearly articulated before application of a given method.</w:t>
      </w:r>
      <w:r w:rsidR="00E41219">
        <w:t xml:space="preserve"> </w:t>
      </w:r>
    </w:p>
    <w:p w14:paraId="07EE6281" w14:textId="745564EE"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 xml:space="preserve">We hypothesized there would be tradeoffs between outcomes, with no </w:t>
      </w:r>
      <w:r w:rsidR="005F1FF2">
        <w:rPr>
          <w:lang w:val="en-US"/>
        </w:rPr>
        <w:t xml:space="preserve">single </w:t>
      </w:r>
      <w:r w:rsidR="00CD7E08">
        <w:rPr>
          <w:lang w:val="en-US"/>
        </w:rPr>
        <w:t xml:space="preserve">system offering the best performance in all desired areas. </w:t>
      </w:r>
    </w:p>
    <w:p w14:paraId="1A58BE66" w14:textId="375E0748"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the potential for optimizing fall non-crop vegetation services</w:t>
      </w:r>
      <w:r w:rsidR="00D34E34">
        <w:rPr>
          <w:lang w:val="en-US"/>
        </w:rPr>
        <w:t xml:space="preserve">, utilizing a long-term </w:t>
      </w:r>
      <w:r w:rsidR="00DC3E09">
        <w:rPr>
          <w:lang w:val="en-US"/>
        </w:rPr>
        <w:t xml:space="preserve">(&gt;20 years) </w:t>
      </w:r>
      <w:r w:rsidR="00D34E34">
        <w:rPr>
          <w:lang w:val="en-US"/>
        </w:rPr>
        <w:t xml:space="preserve">study platform with </w:t>
      </w:r>
      <w:r w:rsidRPr="006C3DC0">
        <w:rPr>
          <w:lang w:val="en-US"/>
        </w:rPr>
        <w:t>six combinations of tillage and residue managements</w:t>
      </w:r>
      <w:r w:rsidR="00D34E34">
        <w:rPr>
          <w:lang w:val="en-US"/>
        </w:rPr>
        <w:t xml:space="preserve">, we applied </w:t>
      </w:r>
      <w:r w:rsidR="00D34E34" w:rsidRPr="006C3DC0">
        <w:rPr>
          <w:lang w:val="en-US"/>
        </w:rPr>
        <w:t xml:space="preserve">five cover cropping systems </w:t>
      </w:r>
      <w:r w:rsidR="00D34E34">
        <w:rPr>
          <w:lang w:val="en-US"/>
        </w:rPr>
        <w:t xml:space="preserve">to a three-year sequence of crops. </w:t>
      </w:r>
      <w:r w:rsidRPr="006C3DC0">
        <w:rPr>
          <w:lang w:val="en-US"/>
        </w:rPr>
        <w:t>Using these 30 systems</w:t>
      </w:r>
      <w:r w:rsidR="00D34E34">
        <w:rPr>
          <w:lang w:val="en-US"/>
        </w:rPr>
        <w:t xml:space="preserve"> implemented over three cash crop growing seasons</w:t>
      </w:r>
      <w:r w:rsidRPr="006C3DC0">
        <w:rPr>
          <w:lang w:val="en-US"/>
        </w:rPr>
        <w:t xml:space="preserve">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lastRenderedPageBreak/>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77217DA1" w14:textId="0D17280D" w:rsidR="001A1339" w:rsidRPr="006C3DC0" w:rsidRDefault="001A1339" w:rsidP="006F3CE0">
      <w:pPr>
        <w:numPr>
          <w:ilvl w:val="0"/>
          <w:numId w:val="1"/>
        </w:numPr>
        <w:spacing w:line="360" w:lineRule="auto"/>
        <w:rPr>
          <w:lang w:val="en-US"/>
        </w:rPr>
      </w:pPr>
      <w:r>
        <w:rPr>
          <w:lang w:val="en-US"/>
        </w:rPr>
        <w:t>Pesticide loads</w:t>
      </w:r>
    </w:p>
    <w:p w14:paraId="4021A756" w14:textId="21637CFF"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w:t>
      </w:r>
      <w:r w:rsidR="00DC3E09">
        <w:rPr>
          <w:lang w:val="en-US"/>
        </w:rPr>
        <w:t xml:space="preserve">complexity of the </w:t>
      </w:r>
      <w:r w:rsidR="006F3CE0">
        <w:rPr>
          <w:lang w:val="en-US"/>
        </w:rPr>
        <w:t xml:space="preserve">actual cost calculations beyond the scope of this study. </w:t>
      </w:r>
      <w:r w:rsidR="006C3DC0" w:rsidRPr="006C3DC0">
        <w:rPr>
          <w:lang w:val="en-US"/>
        </w:rPr>
        <w:t xml:space="preserve">We provide an estimate of costs in supplemental </w:t>
      </w:r>
      <w:proofErr w:type="gramStart"/>
      <w:r w:rsidR="006C3DC0" w:rsidRPr="006C3DC0">
        <w:rPr>
          <w:lang w:val="en-US"/>
        </w:rPr>
        <w:t>material, but</w:t>
      </w:r>
      <w:proofErr w:type="gramEnd"/>
      <w:r w:rsidR="006C3DC0" w:rsidRPr="006C3DC0">
        <w:rPr>
          <w:lang w:val="en-US"/>
        </w:rPr>
        <w:t xml:space="preserve"> exclude that information from this analysis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proofErr w:type="gramStart"/>
      <w:r w:rsidRPr="003C7F19">
        <w:rPr>
          <w:b/>
          <w:bCs/>
        </w:rPr>
        <w:t xml:space="preserve">2  </w:t>
      </w:r>
      <w:r w:rsidR="00BA7F3D" w:rsidRPr="003C7F19">
        <w:rPr>
          <w:b/>
          <w:bCs/>
        </w:rPr>
        <w:t>MATERIALS</w:t>
      </w:r>
      <w:proofErr w:type="gramEnd"/>
      <w:r w:rsidR="00BA7F3D" w:rsidRPr="003C7F19">
        <w:rPr>
          <w:b/>
          <w:bCs/>
        </w:rPr>
        <w:t xml:space="preserve">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5EBCB9A6"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w:t>
      </w:r>
      <w:r w:rsidR="00DA570F">
        <w:rPr>
          <w:lang w:val="en-US"/>
        </w:rPr>
        <w:t xml:space="preserve">The 30-year average air temperature and precipitation for this site </w:t>
      </w:r>
      <w:proofErr w:type="gramStart"/>
      <w:r w:rsidR="00DA570F">
        <w:rPr>
          <w:lang w:val="en-US"/>
        </w:rPr>
        <w:t>8.9</w:t>
      </w:r>
      <w:proofErr w:type="gramEnd"/>
      <w:r w:rsidR="00DA570F">
        <w:rPr>
          <w:lang w:val="en-US"/>
        </w:rPr>
        <w:t xml:space="preserve"> degrees Celsius and 589 mm, respectively. </w:t>
      </w:r>
      <w:r w:rsidRPr="00CD7E08">
        <w:rPr>
          <w:lang w:val="en-US"/>
        </w:rPr>
        <w:t xml:space="preserve">Averaged across the trial site, </w:t>
      </w:r>
      <w:commentRangeStart w:id="2"/>
      <w:r w:rsidRPr="00CD7E08">
        <w:rPr>
          <w:lang w:val="en-US"/>
        </w:rPr>
        <w:t>soil texture</w:t>
      </w:r>
      <w:r w:rsidR="00DC3E09">
        <w:rPr>
          <w:lang w:val="en-US"/>
        </w:rPr>
        <w:t xml:space="preserve"> in the top xx cm layer</w:t>
      </w:r>
      <w:r w:rsidRPr="00CD7E08">
        <w:rPr>
          <w:lang w:val="en-US"/>
        </w:rPr>
        <w:t xml:space="preserve"> is 14.7% clay (&lt;2 mm), 13.7% silt (2-20 mm), 42.6% fine sand (20-200 mm), and 27% coarse sand (200-2000 mm), with 1.2% organic carbon content (0-25 cm).</w:t>
      </w:r>
      <w:commentRangeEnd w:id="2"/>
      <w:r w:rsidRPr="00CD7E08">
        <w:rPr>
          <w:lang w:val="da-DK"/>
        </w:rPr>
        <w:commentReference w:id="2"/>
      </w:r>
      <w:r w:rsidRPr="00CD7E08">
        <w:rPr>
          <w:lang w:val="en-US"/>
        </w:rPr>
        <w:t xml:space="preserve">  The overall experimental design of the long-term experiment is a split-split plot with four replications. The main plot factor is crop</w:t>
      </w:r>
      <w:r w:rsidR="00DC3E09">
        <w:rPr>
          <w:lang w:val="en-US"/>
        </w:rPr>
        <w:t xml:space="preserve"> and residue management</w:t>
      </w:r>
      <w:r w:rsidRPr="00CD7E08">
        <w:rPr>
          <w:lang w:val="en-US"/>
        </w:rPr>
        <w:t xml:space="preserve"> (four levels), the subplot is primary tillage system (four levels</w:t>
      </w:r>
      <w:proofErr w:type="gramStart"/>
      <w:r w:rsidRPr="00CD7E08">
        <w:rPr>
          <w:lang w:val="en-US"/>
        </w:rPr>
        <w:t>)</w:t>
      </w:r>
      <w:proofErr w:type="gramEnd"/>
      <w:r w:rsidRPr="00CD7E08">
        <w:rPr>
          <w:lang w:val="en-US"/>
        </w:rPr>
        <w:t xml:space="preserve">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 xml:space="preserve">L.) </w:t>
      </w:r>
      <w:proofErr w:type="gramStart"/>
      <w:r w:rsidRPr="00CD7E08">
        <w:rPr>
          <w:lang w:val="en-US"/>
        </w:rPr>
        <w:t>sown</w:t>
      </w:r>
      <w:proofErr w:type="gramEnd"/>
      <w:r w:rsidRPr="00CD7E08">
        <w:rPr>
          <w:lang w:val="en-US"/>
        </w:rPr>
        <w:t xml:space="preserve"> 19 April 2018, spring oat (</w:t>
      </w:r>
      <w:r w:rsidRPr="00CD7E08">
        <w:rPr>
          <w:i/>
          <w:iCs/>
          <w:lang w:val="en-US"/>
        </w:rPr>
        <w:t>Avena sativa</w:t>
      </w:r>
      <w:r w:rsidRPr="00CD7E08">
        <w:rPr>
          <w:lang w:val="en-US"/>
        </w:rPr>
        <w:t xml:space="preserve"> L.) </w:t>
      </w:r>
      <w:proofErr w:type="gramStart"/>
      <w:r w:rsidRPr="00CD7E08">
        <w:rPr>
          <w:lang w:val="en-US"/>
        </w:rPr>
        <w:t>sown</w:t>
      </w:r>
      <w:proofErr w:type="gramEnd"/>
      <w:r w:rsidRPr="00CD7E08">
        <w:rPr>
          <w:lang w:val="en-US"/>
        </w:rPr>
        <w:t xml:space="preserve"> 4 April 2019 and faba beans (</w:t>
      </w:r>
      <w:r w:rsidRPr="00CD7E08">
        <w:rPr>
          <w:i/>
          <w:iCs/>
          <w:lang w:val="en-US"/>
        </w:rPr>
        <w:t>Vicia faba</w:t>
      </w:r>
      <w:r w:rsidRPr="00CD7E08">
        <w:rPr>
          <w:lang w:val="en-US"/>
        </w:rPr>
        <w:t xml:space="preserve"> L.) </w:t>
      </w:r>
      <w:proofErr w:type="gramStart"/>
      <w:r w:rsidRPr="00CD7E08">
        <w:rPr>
          <w:lang w:val="en-US"/>
        </w:rPr>
        <w:t>sown</w:t>
      </w:r>
      <w:proofErr w:type="gramEnd"/>
      <w:r w:rsidRPr="00CD7E08">
        <w:rPr>
          <w:lang w:val="en-US"/>
        </w:rPr>
        <w:t xml:space="preserve"> 15 April 2020. Detailed tables and a visual of the study’s agronomic management are presented in supplemental </w:t>
      </w:r>
      <w:proofErr w:type="gramStart"/>
      <w:r w:rsidRPr="00CD7E08">
        <w:rPr>
          <w:lang w:val="en-US"/>
        </w:rPr>
        <w:t>material, but</w:t>
      </w:r>
      <w:proofErr w:type="gramEnd"/>
      <w:r w:rsidRPr="00CD7E08">
        <w:rPr>
          <w:lang w:val="en-US"/>
        </w:rPr>
        <w:t xml:space="preserve"> are </w:t>
      </w:r>
      <w:proofErr w:type="gramStart"/>
      <w:r w:rsidRPr="00CD7E08">
        <w:rPr>
          <w:lang w:val="en-US"/>
        </w:rPr>
        <w:t>described here</w:t>
      </w:r>
      <w:proofErr w:type="gramEnd"/>
      <w:r w:rsidRPr="00CD7E08">
        <w:rPr>
          <w:lang w:val="en-US"/>
        </w:rPr>
        <w:t xml:space="preserve"> briefly. </w:t>
      </w:r>
    </w:p>
    <w:p w14:paraId="0AC6131F" w14:textId="1ABD12F3" w:rsidR="00BA7F3D" w:rsidRDefault="00BA7F3D" w:rsidP="00045088">
      <w:pPr>
        <w:spacing w:line="360" w:lineRule="auto"/>
        <w:rPr>
          <w:b/>
          <w:bCs/>
        </w:rPr>
      </w:pPr>
      <w:proofErr w:type="gramStart"/>
      <w:r w:rsidRPr="003C7F19">
        <w:rPr>
          <w:b/>
          <w:bCs/>
        </w:rPr>
        <w:t xml:space="preserve">2.1.1  </w:t>
      </w:r>
      <w:r w:rsidR="001A455C">
        <w:rPr>
          <w:b/>
          <w:bCs/>
        </w:rPr>
        <w:t>Study</w:t>
      </w:r>
      <w:proofErr w:type="gramEnd"/>
      <w:r w:rsidR="001A455C">
        <w:rPr>
          <w:b/>
          <w:bCs/>
        </w:rPr>
        <w:t xml:space="preserve"> design</w:t>
      </w:r>
    </w:p>
    <w:p w14:paraId="6AB91BA3" w14:textId="2C59E40B" w:rsidR="001A455C" w:rsidRPr="001A455C" w:rsidRDefault="001A455C" w:rsidP="001A455C">
      <w:pPr>
        <w:spacing w:line="360" w:lineRule="auto"/>
        <w:rPr>
          <w:lang w:val="en-US"/>
        </w:rPr>
      </w:pPr>
      <w:proofErr w:type="gramStart"/>
      <w:r w:rsidRPr="001A455C">
        <w:rPr>
          <w:lang w:val="en-US"/>
        </w:rPr>
        <w:lastRenderedPageBreak/>
        <w:t>For the purpose of</w:t>
      </w:r>
      <w:proofErr w:type="gramEnd"/>
      <w:r w:rsidRPr="001A455C">
        <w:rPr>
          <w:lang w:val="en-US"/>
        </w:rPr>
        <w:t xml:space="preserve"> the present study, two </w:t>
      </w:r>
      <w:r w:rsidR="00DC3E09">
        <w:rPr>
          <w:lang w:val="en-US"/>
        </w:rPr>
        <w:t xml:space="preserve">main plot treatments </w:t>
      </w:r>
      <w:r w:rsidRPr="001A455C">
        <w:rPr>
          <w:lang w:val="en-US"/>
        </w:rPr>
        <w:t xml:space="preserve">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proofErr w:type="gramStart"/>
      <w:r w:rsidRPr="003C7F19">
        <w:rPr>
          <w:b/>
          <w:bCs/>
        </w:rPr>
        <w:t>2.1.</w:t>
      </w:r>
      <w:r>
        <w:rPr>
          <w:b/>
          <w:bCs/>
        </w:rPr>
        <w:t>2</w:t>
      </w:r>
      <w:r w:rsidRPr="003C7F19">
        <w:rPr>
          <w:b/>
          <w:bCs/>
        </w:rPr>
        <w:t xml:space="preserve">  </w:t>
      </w:r>
      <w:r w:rsidRPr="001A455C">
        <w:rPr>
          <w:b/>
          <w:bCs/>
          <w:lang w:val="en-US"/>
        </w:rPr>
        <w:t>Straw</w:t>
      </w:r>
      <w:proofErr w:type="gramEnd"/>
      <w:r w:rsidRPr="001A455C">
        <w:rPr>
          <w:b/>
          <w:bCs/>
          <w:lang w:val="en-US"/>
        </w:rPr>
        <w:t xml:space="preserve"> and tillage treatments</w:t>
      </w:r>
    </w:p>
    <w:p w14:paraId="1D52ABA7" w14:textId="4FFA85C1"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3"/>
      <w:r w:rsidRPr="001A455C">
        <w:rPr>
          <w:lang w:val="en-US"/>
        </w:rPr>
        <w:t>MACHINE</w:t>
      </w:r>
      <w:commentRangeEnd w:id="3"/>
      <w:r w:rsidRPr="001A455C">
        <w:rPr>
          <w:lang w:val="da-DK"/>
        </w:rPr>
        <w:commentReference w:id="3"/>
      </w:r>
      <w:r w:rsidRPr="001A455C">
        <w:rPr>
          <w:lang w:val="en-US"/>
        </w:rPr>
        <w:t>, resulting in removal of approximately 60% of the biomass (</w:t>
      </w:r>
      <w:commentRangeStart w:id="4"/>
      <w:r w:rsidRPr="001A455C">
        <w:rPr>
          <w:lang w:val="en-US"/>
        </w:rPr>
        <w:t>CITE a CENTS modelling study for this 60% assumption</w:t>
      </w:r>
      <w:commentRangeEnd w:id="4"/>
      <w:r w:rsidRPr="001A455C">
        <w:rPr>
          <w:lang w:val="da-DK"/>
        </w:rPr>
        <w:commentReference w:id="4"/>
      </w:r>
      <w:r w:rsidRPr="001A455C">
        <w:rPr>
          <w:lang w:val="en-US"/>
        </w:rPr>
        <w:t xml:space="preserve">). In the straw-retained treatments, </w:t>
      </w:r>
      <w:r w:rsidR="001A1339">
        <w:rPr>
          <w:lang w:val="en-US"/>
        </w:rPr>
        <w:t xml:space="preserve">following harvest of the grain residue </w:t>
      </w:r>
      <w:r w:rsidRPr="001A455C">
        <w:rPr>
          <w:lang w:val="en-US"/>
        </w:rPr>
        <w:t>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r w:rsidRPr="001A455C">
        <w:t xml:space="preserve">rops were then sown with a traditional seed drill (Nordsten Lift-o-matic CLH300) with row spacings of 12.5 cm. </w:t>
      </w:r>
      <w:r w:rsidRPr="001A455C">
        <w:rPr>
          <w:lang w:val="en-US"/>
        </w:rPr>
        <w:t xml:space="preserve">For the surface tillage system (non-inversion), </w:t>
      </w:r>
      <w:proofErr w:type="gramStart"/>
      <w:r w:rsidRPr="001A455C">
        <w:rPr>
          <w:lang w:val="en-US"/>
        </w:rPr>
        <w:t xml:space="preserve">a </w:t>
      </w:r>
      <w:r w:rsidRPr="001A455C">
        <w:rPr>
          <w:vertAlign w:val="subscript"/>
          <w:lang w:val="en-US"/>
        </w:rPr>
        <w:t xml:space="preserve"> </w:t>
      </w:r>
      <w:r w:rsidRPr="001A455C">
        <w:t>Horsch</w:t>
      </w:r>
      <w:proofErr w:type="gramEnd"/>
      <w:r w:rsidRPr="001A455C">
        <w:t xml:space="preserve"> Terrano 3 FX stubble tine </w:t>
      </w:r>
      <w:proofErr w:type="gramStart"/>
      <w:r w:rsidRPr="001A455C">
        <w:t>cultivator  was</w:t>
      </w:r>
      <w:proofErr w:type="gramEnd"/>
      <w:r w:rsidRPr="001A455C">
        <w:t xml:space="preserve"> used to till to a depth </w:t>
      </w:r>
      <w:commentRangeStart w:id="5"/>
      <w:r w:rsidRPr="001A455C">
        <w:t>8-10 cm in the spring before cash crop planting</w:t>
      </w:r>
      <w:commentRangeEnd w:id="5"/>
      <w:r w:rsidRPr="001A455C">
        <w:rPr>
          <w:lang w:val="da-DK"/>
        </w:rPr>
        <w:commentReference w:id="5"/>
      </w:r>
      <w:r w:rsidRPr="001A455C">
        <w:t xml:space="preserve">. In both the no-till and surface tillage systems, crops were sown with a chisel coulter (Horsch Airseeder CO 3) with row spacings of 17.5 cm for spring oats, spring barley, and </w:t>
      </w:r>
      <w:commentRangeStart w:id="6"/>
      <w:r w:rsidRPr="001A455C">
        <w:t>faba beans</w:t>
      </w:r>
      <w:commentRangeEnd w:id="6"/>
      <w:r w:rsidRPr="001A455C">
        <w:rPr>
          <w:lang w:val="da-DK"/>
        </w:rPr>
        <w:commentReference w:id="6"/>
      </w:r>
      <w:r w:rsidRPr="001A455C">
        <w:t xml:space="preserve">. Row spacings were different for the inversion tillage system due to </w:t>
      </w:r>
      <w:r w:rsidR="001A1339">
        <w:t xml:space="preserve">differences in the </w:t>
      </w:r>
      <w:r w:rsidRPr="001A455C">
        <w:t xml:space="preserve">equipment representing typical production environments for each tillage system. </w:t>
      </w:r>
    </w:p>
    <w:p w14:paraId="34082C05" w14:textId="4AE4E813" w:rsidR="001A455C" w:rsidRPr="001A455C" w:rsidRDefault="001A455C" w:rsidP="001A455C">
      <w:pPr>
        <w:spacing w:line="360" w:lineRule="auto"/>
        <w:rPr>
          <w:b/>
          <w:bCs/>
          <w:lang w:val="en-US"/>
        </w:rPr>
      </w:pPr>
      <w:proofErr w:type="gramStart"/>
      <w:r w:rsidRPr="003C7F19">
        <w:rPr>
          <w:b/>
          <w:bCs/>
        </w:rPr>
        <w:t>2.1.</w:t>
      </w:r>
      <w:r>
        <w:rPr>
          <w:b/>
          <w:bCs/>
        </w:rPr>
        <w:t>3</w:t>
      </w:r>
      <w:r w:rsidRPr="003C7F19">
        <w:rPr>
          <w:b/>
          <w:bCs/>
        </w:rPr>
        <w:t xml:space="preserve">  </w:t>
      </w:r>
      <w:r>
        <w:rPr>
          <w:b/>
          <w:bCs/>
          <w:lang w:val="en-US"/>
        </w:rPr>
        <w:t>Cover</w:t>
      </w:r>
      <w:proofErr w:type="gramEnd"/>
      <w:r>
        <w:rPr>
          <w:b/>
          <w:bCs/>
          <w:lang w:val="en-US"/>
        </w:rPr>
        <w:t xml:space="preserve"> crop treatments</w:t>
      </w:r>
    </w:p>
    <w:p w14:paraId="76D877A7" w14:textId="022B89C5" w:rsidR="001A455C" w:rsidRPr="001A455C" w:rsidRDefault="001A455C" w:rsidP="001A455C">
      <w:pPr>
        <w:spacing w:line="360" w:lineRule="auto"/>
        <w:rPr>
          <w:lang w:val="en-US"/>
        </w:rPr>
      </w:pPr>
      <w:r w:rsidRPr="001A455C">
        <w:rPr>
          <w:lang w:val="en-US"/>
        </w:rPr>
        <w:t xml:space="preserve">Starting in the </w:t>
      </w:r>
      <w:r w:rsidR="001A1339">
        <w:rPr>
          <w:lang w:val="en-US"/>
        </w:rPr>
        <w:t xml:space="preserve">spring of the </w:t>
      </w:r>
      <w:r w:rsidRPr="001A455C">
        <w:rPr>
          <w:lang w:val="en-US"/>
        </w:rPr>
        <w:t xml:space="preserve">2018 growing season, five cover crop systems were randomly applied to the sub-subplots (Table 1). The same sub-subplot treatments were maintained for </w:t>
      </w:r>
      <w:proofErr w:type="gramStart"/>
      <w:r w:rsidRPr="001A455C">
        <w:rPr>
          <w:lang w:val="en-US"/>
        </w:rPr>
        <w:lastRenderedPageBreak/>
        <w:t>2018,</w:t>
      </w:r>
      <w:proofErr w:type="gramEnd"/>
      <w:r w:rsidRPr="001A455C">
        <w:rPr>
          <w:lang w:val="en-US"/>
        </w:rPr>
        <w:t xml:space="preserve"> 2019 and were tracked until faba bean harvest in 2020. The sampling area for all measurements </w:t>
      </w:r>
      <w:proofErr w:type="gramStart"/>
      <w:r w:rsidRPr="001A455C">
        <w:rPr>
          <w:lang w:val="en-US"/>
        </w:rPr>
        <w:t>was located in</w:t>
      </w:r>
      <w:proofErr w:type="gramEnd"/>
      <w:r w:rsidRPr="001A455C">
        <w:rPr>
          <w:lang w:val="en-US"/>
        </w:rPr>
        <w:t xml:space="preserve">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126"/>
        <w:gridCol w:w="1843"/>
        <w:gridCol w:w="2976"/>
      </w:tblGrid>
      <w:tr w:rsidR="001A455C" w:rsidRPr="001A455C" w14:paraId="4CC3D440" w14:textId="77777777" w:rsidTr="000043B8">
        <w:tc>
          <w:tcPr>
            <w:tcW w:w="1555" w:type="dxa"/>
            <w:tcBorders>
              <w:top w:val="single" w:sz="4" w:space="0" w:color="auto"/>
              <w:bottom w:val="single" w:sz="4" w:space="0" w:color="auto"/>
            </w:tcBorders>
            <w:vAlign w:val="center"/>
          </w:tcPr>
          <w:p w14:paraId="06902FBB" w14:textId="7C300810" w:rsidR="001A455C" w:rsidRPr="000043B8" w:rsidRDefault="001A455C" w:rsidP="000043B8">
            <w:pPr>
              <w:jc w:val="center"/>
              <w:rPr>
                <w:b/>
                <w:bCs/>
                <w:lang w:val="en-US"/>
              </w:rPr>
            </w:pPr>
            <w:r w:rsidRPr="000043B8">
              <w:rPr>
                <w:b/>
                <w:bCs/>
                <w:lang w:val="en-US"/>
              </w:rPr>
              <w:t xml:space="preserve">Cover crop system </w:t>
            </w:r>
            <w:r w:rsidR="006B4AC3">
              <w:rPr>
                <w:b/>
                <w:bCs/>
                <w:lang w:val="en-US"/>
              </w:rPr>
              <w:t>abbreviation</w:t>
            </w:r>
          </w:p>
        </w:tc>
        <w:tc>
          <w:tcPr>
            <w:tcW w:w="2126" w:type="dxa"/>
            <w:tcBorders>
              <w:top w:val="single" w:sz="4" w:space="0" w:color="auto"/>
              <w:bottom w:val="single" w:sz="4" w:space="0" w:color="auto"/>
            </w:tcBorders>
            <w:vAlign w:val="center"/>
          </w:tcPr>
          <w:p w14:paraId="6483C18B" w14:textId="77777777" w:rsidR="001A455C" w:rsidRPr="000043B8" w:rsidRDefault="001A455C" w:rsidP="000043B8">
            <w:pPr>
              <w:jc w:val="center"/>
              <w:rPr>
                <w:b/>
                <w:bCs/>
                <w:lang w:val="en-US"/>
              </w:rPr>
            </w:pPr>
            <w:r w:rsidRPr="000043B8">
              <w:rPr>
                <w:b/>
                <w:bCs/>
                <w:lang w:val="en-US"/>
              </w:rPr>
              <w:t>Cover crop</w:t>
            </w:r>
          </w:p>
        </w:tc>
        <w:tc>
          <w:tcPr>
            <w:tcW w:w="1843" w:type="dxa"/>
            <w:tcBorders>
              <w:top w:val="single" w:sz="4" w:space="0" w:color="auto"/>
              <w:bottom w:val="single" w:sz="4" w:space="0" w:color="auto"/>
            </w:tcBorders>
            <w:vAlign w:val="center"/>
          </w:tcPr>
          <w:p w14:paraId="2DA4DC92" w14:textId="77777777" w:rsidR="001A455C" w:rsidRPr="000043B8" w:rsidRDefault="001A455C" w:rsidP="000043B8">
            <w:pPr>
              <w:jc w:val="center"/>
              <w:rPr>
                <w:b/>
                <w:bCs/>
                <w:lang w:val="en-US"/>
              </w:rPr>
            </w:pPr>
            <w:r w:rsidRPr="000043B8">
              <w:rPr>
                <w:b/>
                <w:bCs/>
                <w:lang w:val="en-US"/>
              </w:rPr>
              <w:t>Seeding rate</w:t>
            </w:r>
          </w:p>
        </w:tc>
        <w:tc>
          <w:tcPr>
            <w:tcW w:w="2976" w:type="dxa"/>
            <w:tcBorders>
              <w:top w:val="single" w:sz="4" w:space="0" w:color="auto"/>
              <w:bottom w:val="single" w:sz="4" w:space="0" w:color="auto"/>
            </w:tcBorders>
            <w:vAlign w:val="center"/>
          </w:tcPr>
          <w:p w14:paraId="28AE962C" w14:textId="77777777" w:rsidR="001A455C" w:rsidRPr="000043B8" w:rsidRDefault="001A455C" w:rsidP="000043B8">
            <w:pPr>
              <w:jc w:val="center"/>
              <w:rPr>
                <w:b/>
                <w:bCs/>
                <w:lang w:val="en-US"/>
              </w:rPr>
            </w:pPr>
            <w:r w:rsidRPr="000043B8">
              <w:rPr>
                <w:b/>
                <w:bCs/>
                <w:lang w:val="en-US"/>
              </w:rPr>
              <w:t>Seeding method and timing</w:t>
            </w:r>
          </w:p>
        </w:tc>
      </w:tr>
      <w:tr w:rsidR="001A455C" w:rsidRPr="001A455C" w14:paraId="5449C1C6" w14:textId="77777777" w:rsidTr="006B4AC3">
        <w:tc>
          <w:tcPr>
            <w:tcW w:w="1555" w:type="dxa"/>
            <w:tcBorders>
              <w:top w:val="single" w:sz="4" w:space="0" w:color="auto"/>
              <w:bottom w:val="single" w:sz="4" w:space="0" w:color="auto"/>
            </w:tcBorders>
            <w:vAlign w:val="center"/>
          </w:tcPr>
          <w:p w14:paraId="0FB272EB" w14:textId="77777777" w:rsidR="001A455C" w:rsidRPr="001A455C" w:rsidRDefault="001A455C" w:rsidP="006B4AC3">
            <w:pPr>
              <w:spacing w:line="360" w:lineRule="auto"/>
              <w:jc w:val="center"/>
              <w:rPr>
                <w:lang w:val="en-US"/>
              </w:rPr>
            </w:pPr>
            <w:r w:rsidRPr="001A455C">
              <w:rPr>
                <w:lang w:val="en-US"/>
              </w:rPr>
              <w:t>MixE</w:t>
            </w:r>
          </w:p>
        </w:tc>
        <w:tc>
          <w:tcPr>
            <w:tcW w:w="2126" w:type="dxa"/>
            <w:vMerge w:val="restart"/>
            <w:tcBorders>
              <w:top w:val="single" w:sz="4" w:space="0" w:color="auto"/>
            </w:tcBorders>
            <w:vAlign w:val="center"/>
          </w:tcPr>
          <w:p w14:paraId="4BEF68C7" w14:textId="77777777" w:rsidR="001A455C" w:rsidRPr="001A455C" w:rsidRDefault="001A455C" w:rsidP="006B4AC3">
            <w:pPr>
              <w:spacing w:line="360" w:lineRule="auto"/>
              <w:jc w:val="center"/>
              <w:rPr>
                <w:lang w:val="en-US"/>
              </w:rPr>
            </w:pPr>
            <w:r w:rsidRPr="001A455C">
              <w:rPr>
                <w:lang w:val="en-US"/>
              </w:rPr>
              <w:t xml:space="preserve">Perennial ryegrass </w:t>
            </w:r>
            <w:r w:rsidRPr="001A455C">
              <w:rPr>
                <w:i/>
                <w:iCs/>
                <w:lang w:val="en-US"/>
              </w:rPr>
              <w:t>(grass; Lolium perenne)</w:t>
            </w:r>
            <w:r w:rsidRPr="001A455C">
              <w:rPr>
                <w:lang w:val="en-US"/>
              </w:rPr>
              <w:t xml:space="preserve"> and red clover </w:t>
            </w:r>
            <w:r w:rsidRPr="001A455C">
              <w:rPr>
                <w:i/>
                <w:iCs/>
                <w:lang w:val="en-US"/>
              </w:rPr>
              <w:t>(clover; Trifolium pratense)</w:t>
            </w:r>
          </w:p>
        </w:tc>
        <w:tc>
          <w:tcPr>
            <w:tcW w:w="1843" w:type="dxa"/>
            <w:vMerge w:val="restart"/>
            <w:tcBorders>
              <w:top w:val="single" w:sz="4" w:space="0" w:color="auto"/>
            </w:tcBorders>
            <w:vAlign w:val="center"/>
          </w:tcPr>
          <w:p w14:paraId="3A93781B" w14:textId="6C128E1E" w:rsidR="001A455C" w:rsidRPr="001A455C" w:rsidRDefault="001A455C" w:rsidP="006B4AC3">
            <w:pPr>
              <w:spacing w:line="360" w:lineRule="auto"/>
              <w:jc w:val="center"/>
              <w:rPr>
                <w:lang w:val="en-US"/>
              </w:rPr>
            </w:pPr>
            <w:r w:rsidRPr="001A455C">
              <w:rPr>
                <w:lang w:val="en-US"/>
              </w:rPr>
              <w:t>3 kg ha</w:t>
            </w:r>
            <w:r w:rsidRPr="001A455C">
              <w:rPr>
                <w:vertAlign w:val="superscript"/>
                <w:lang w:val="en-US"/>
              </w:rPr>
              <w:t>-1</w:t>
            </w:r>
            <w:r w:rsidRPr="001A455C">
              <w:rPr>
                <w:lang w:val="en-US"/>
              </w:rPr>
              <w:t xml:space="preserve"> grass + 8 kg ha</w:t>
            </w:r>
            <w:r w:rsidRPr="001A455C">
              <w:rPr>
                <w:vertAlign w:val="superscript"/>
                <w:lang w:val="en-US"/>
              </w:rPr>
              <w:t>-1</w:t>
            </w:r>
            <w:r w:rsidR="006B4AC3" w:rsidRPr="001A455C">
              <w:rPr>
                <w:lang w:val="en-US"/>
              </w:rPr>
              <w:t xml:space="preserve"> </w:t>
            </w:r>
            <w:r w:rsidR="006B4AC3" w:rsidRPr="001A455C">
              <w:rPr>
                <w:lang w:val="en-US"/>
              </w:rPr>
              <w:t>clover</w:t>
            </w:r>
          </w:p>
        </w:tc>
        <w:tc>
          <w:tcPr>
            <w:tcW w:w="2976" w:type="dxa"/>
            <w:tcBorders>
              <w:top w:val="single" w:sz="4" w:space="0" w:color="auto"/>
              <w:bottom w:val="single" w:sz="4" w:space="0" w:color="auto"/>
            </w:tcBorders>
            <w:vAlign w:val="center"/>
          </w:tcPr>
          <w:p w14:paraId="4673672B" w14:textId="77777777" w:rsidR="001A455C" w:rsidRPr="001A455C" w:rsidRDefault="001A455C" w:rsidP="006B4AC3">
            <w:pPr>
              <w:spacing w:line="360" w:lineRule="auto"/>
              <w:jc w:val="center"/>
              <w:rPr>
                <w:lang w:val="en-US"/>
              </w:rPr>
            </w:pPr>
            <w:r w:rsidRPr="001A455C">
              <w:rPr>
                <w:lang w:val="en-US"/>
              </w:rPr>
              <w:t>Sown 1 cm deep in 12.5 cm rows between cash crop rows shortly after cash crop planting</w:t>
            </w:r>
          </w:p>
        </w:tc>
      </w:tr>
      <w:tr w:rsidR="001A455C" w:rsidRPr="001A455C" w14:paraId="3620DF11" w14:textId="77777777" w:rsidTr="006B4AC3">
        <w:tc>
          <w:tcPr>
            <w:tcW w:w="1555" w:type="dxa"/>
            <w:tcBorders>
              <w:top w:val="single" w:sz="4" w:space="0" w:color="auto"/>
              <w:bottom w:val="single" w:sz="4" w:space="0" w:color="auto"/>
            </w:tcBorders>
            <w:vAlign w:val="center"/>
          </w:tcPr>
          <w:p w14:paraId="2C9BAB03" w14:textId="77777777" w:rsidR="001A455C" w:rsidRPr="001A455C" w:rsidRDefault="001A455C" w:rsidP="006B4AC3">
            <w:pPr>
              <w:spacing w:line="360" w:lineRule="auto"/>
              <w:jc w:val="center"/>
              <w:rPr>
                <w:lang w:val="en-US"/>
              </w:rPr>
            </w:pPr>
            <w:r w:rsidRPr="001A455C">
              <w:rPr>
                <w:lang w:val="en-US"/>
              </w:rPr>
              <w:t>MixM</w:t>
            </w:r>
          </w:p>
        </w:tc>
        <w:tc>
          <w:tcPr>
            <w:tcW w:w="2126" w:type="dxa"/>
            <w:vMerge/>
            <w:tcBorders>
              <w:bottom w:val="single" w:sz="4" w:space="0" w:color="auto"/>
            </w:tcBorders>
            <w:vAlign w:val="center"/>
          </w:tcPr>
          <w:p w14:paraId="6AFC6303"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6F6F4A85"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B8AC7D4" w14:textId="77777777" w:rsidR="001A455C" w:rsidRPr="001A455C" w:rsidRDefault="001A455C" w:rsidP="006B4AC3">
            <w:pPr>
              <w:spacing w:line="360" w:lineRule="auto"/>
              <w:jc w:val="center"/>
              <w:rPr>
                <w:lang w:val="en-US"/>
              </w:rPr>
            </w:pPr>
            <w:r w:rsidRPr="001A455C">
              <w:rPr>
                <w:lang w:val="en-US"/>
              </w:rPr>
              <w:t xml:space="preserve">Broadcast into standing </w:t>
            </w:r>
            <w:proofErr w:type="gramStart"/>
            <w:r w:rsidRPr="001A455C">
              <w:rPr>
                <w:lang w:val="en-US"/>
              </w:rPr>
              <w:t>crop</w:t>
            </w:r>
            <w:proofErr w:type="gramEnd"/>
            <w:r w:rsidRPr="001A455C">
              <w:rPr>
                <w:lang w:val="en-US"/>
              </w:rPr>
              <w:t xml:space="preserve"> approximately 14 days before expected cash crop harvest</w:t>
            </w:r>
          </w:p>
        </w:tc>
      </w:tr>
      <w:tr w:rsidR="001A455C" w:rsidRPr="001A455C" w14:paraId="79E5A638" w14:textId="77777777" w:rsidTr="006B4AC3">
        <w:tc>
          <w:tcPr>
            <w:tcW w:w="1555" w:type="dxa"/>
            <w:tcBorders>
              <w:top w:val="single" w:sz="4" w:space="0" w:color="auto"/>
              <w:bottom w:val="single" w:sz="4" w:space="0" w:color="auto"/>
            </w:tcBorders>
            <w:vAlign w:val="center"/>
          </w:tcPr>
          <w:p w14:paraId="261A5ADB" w14:textId="77777777" w:rsidR="001A455C" w:rsidRPr="001A455C" w:rsidRDefault="001A455C" w:rsidP="006B4AC3">
            <w:pPr>
              <w:spacing w:line="360" w:lineRule="auto"/>
              <w:jc w:val="center"/>
              <w:rPr>
                <w:lang w:val="en-US"/>
              </w:rPr>
            </w:pPr>
            <w:r w:rsidRPr="001A455C">
              <w:rPr>
                <w:lang w:val="en-US"/>
              </w:rPr>
              <w:t>RadM</w:t>
            </w:r>
          </w:p>
        </w:tc>
        <w:tc>
          <w:tcPr>
            <w:tcW w:w="2126" w:type="dxa"/>
            <w:vMerge w:val="restart"/>
            <w:tcBorders>
              <w:top w:val="single" w:sz="4" w:space="0" w:color="auto"/>
            </w:tcBorders>
            <w:vAlign w:val="center"/>
          </w:tcPr>
          <w:p w14:paraId="5C1C4891" w14:textId="77777777" w:rsidR="001A455C" w:rsidRPr="001A455C" w:rsidRDefault="001A455C" w:rsidP="006B4AC3">
            <w:pPr>
              <w:spacing w:line="360" w:lineRule="auto"/>
              <w:jc w:val="center"/>
              <w:rPr>
                <w:lang w:val="en-US"/>
              </w:rPr>
            </w:pPr>
            <w:r w:rsidRPr="001A455C">
              <w:rPr>
                <w:lang w:val="en-US"/>
              </w:rPr>
              <w:t xml:space="preserve">Fodder radish </w:t>
            </w:r>
            <w:r w:rsidRPr="001A455C">
              <w:rPr>
                <w:i/>
                <w:iCs/>
                <w:lang w:val="en-US"/>
              </w:rPr>
              <w:t>(Raphanus sativus)</w:t>
            </w:r>
          </w:p>
        </w:tc>
        <w:tc>
          <w:tcPr>
            <w:tcW w:w="1843" w:type="dxa"/>
            <w:vMerge w:val="restart"/>
            <w:tcBorders>
              <w:top w:val="single" w:sz="4" w:space="0" w:color="auto"/>
            </w:tcBorders>
            <w:vAlign w:val="center"/>
          </w:tcPr>
          <w:p w14:paraId="4418C7AE" w14:textId="77777777" w:rsidR="001A455C" w:rsidRPr="001A455C" w:rsidRDefault="001A455C" w:rsidP="006B4AC3">
            <w:pPr>
              <w:spacing w:line="360" w:lineRule="auto"/>
              <w:jc w:val="center"/>
              <w:rPr>
                <w:lang w:val="en-US"/>
              </w:rPr>
            </w:pPr>
            <w:r w:rsidRPr="001A455C">
              <w:rPr>
                <w:lang w:val="en-US"/>
              </w:rPr>
              <w:t>14 kg ha</w:t>
            </w:r>
            <w:r w:rsidRPr="001A455C">
              <w:rPr>
                <w:vertAlign w:val="superscript"/>
                <w:lang w:val="en-US"/>
              </w:rPr>
              <w:t>-1</w:t>
            </w:r>
          </w:p>
        </w:tc>
        <w:tc>
          <w:tcPr>
            <w:tcW w:w="2976" w:type="dxa"/>
            <w:tcBorders>
              <w:top w:val="single" w:sz="4" w:space="0" w:color="auto"/>
              <w:bottom w:val="single" w:sz="4" w:space="0" w:color="auto"/>
            </w:tcBorders>
            <w:vAlign w:val="center"/>
          </w:tcPr>
          <w:p w14:paraId="05B1325C" w14:textId="77777777" w:rsidR="001A455C" w:rsidRPr="001A455C" w:rsidRDefault="001A455C" w:rsidP="006B4AC3">
            <w:pPr>
              <w:spacing w:line="360" w:lineRule="auto"/>
              <w:jc w:val="center"/>
              <w:rPr>
                <w:lang w:val="en-US"/>
              </w:rPr>
            </w:pPr>
            <w:r w:rsidRPr="001A455C">
              <w:rPr>
                <w:lang w:val="en-US"/>
              </w:rPr>
              <w:t>Broadcast into standing crop approx. 14 days before expected crop harvest</w:t>
            </w:r>
          </w:p>
        </w:tc>
      </w:tr>
      <w:tr w:rsidR="001A455C" w:rsidRPr="001A455C" w14:paraId="19D6BFDF" w14:textId="77777777" w:rsidTr="006B4AC3">
        <w:tc>
          <w:tcPr>
            <w:tcW w:w="1555" w:type="dxa"/>
            <w:tcBorders>
              <w:top w:val="single" w:sz="4" w:space="0" w:color="auto"/>
              <w:bottom w:val="single" w:sz="4" w:space="0" w:color="auto"/>
            </w:tcBorders>
            <w:vAlign w:val="center"/>
          </w:tcPr>
          <w:p w14:paraId="7A26B863" w14:textId="77777777" w:rsidR="001A455C" w:rsidRPr="001A455C" w:rsidRDefault="001A455C" w:rsidP="006B4AC3">
            <w:pPr>
              <w:spacing w:line="360" w:lineRule="auto"/>
              <w:jc w:val="center"/>
              <w:rPr>
                <w:lang w:val="en-US"/>
              </w:rPr>
            </w:pPr>
            <w:r w:rsidRPr="001A455C">
              <w:rPr>
                <w:lang w:val="en-US"/>
              </w:rPr>
              <w:t>RadL</w:t>
            </w:r>
          </w:p>
        </w:tc>
        <w:tc>
          <w:tcPr>
            <w:tcW w:w="2126" w:type="dxa"/>
            <w:vMerge/>
            <w:tcBorders>
              <w:bottom w:val="single" w:sz="4" w:space="0" w:color="auto"/>
            </w:tcBorders>
            <w:vAlign w:val="center"/>
          </w:tcPr>
          <w:p w14:paraId="3A7CAC85" w14:textId="77777777" w:rsidR="001A455C" w:rsidRPr="001A455C" w:rsidRDefault="001A455C" w:rsidP="006B4AC3">
            <w:pPr>
              <w:spacing w:line="360" w:lineRule="auto"/>
              <w:jc w:val="center"/>
              <w:rPr>
                <w:lang w:val="en-US"/>
              </w:rPr>
            </w:pPr>
          </w:p>
        </w:tc>
        <w:tc>
          <w:tcPr>
            <w:tcW w:w="1843" w:type="dxa"/>
            <w:vMerge/>
            <w:tcBorders>
              <w:bottom w:val="single" w:sz="4" w:space="0" w:color="auto"/>
            </w:tcBorders>
            <w:vAlign w:val="center"/>
          </w:tcPr>
          <w:p w14:paraId="5BF33C36" w14:textId="77777777" w:rsidR="001A455C" w:rsidRPr="001A455C" w:rsidRDefault="001A455C" w:rsidP="006B4AC3">
            <w:pPr>
              <w:spacing w:line="360" w:lineRule="auto"/>
              <w:jc w:val="center"/>
              <w:rPr>
                <w:lang w:val="en-US"/>
              </w:rPr>
            </w:pPr>
          </w:p>
        </w:tc>
        <w:tc>
          <w:tcPr>
            <w:tcW w:w="2976" w:type="dxa"/>
            <w:tcBorders>
              <w:top w:val="single" w:sz="4" w:space="0" w:color="auto"/>
              <w:bottom w:val="single" w:sz="4" w:space="0" w:color="auto"/>
            </w:tcBorders>
            <w:vAlign w:val="center"/>
          </w:tcPr>
          <w:p w14:paraId="1D59D1EA" w14:textId="77777777" w:rsidR="001A455C" w:rsidRPr="001A455C" w:rsidRDefault="001A455C" w:rsidP="006B4AC3">
            <w:pPr>
              <w:spacing w:line="360" w:lineRule="auto"/>
              <w:jc w:val="center"/>
              <w:rPr>
                <w:lang w:val="en-US"/>
              </w:rPr>
            </w:pPr>
            <w:r w:rsidRPr="001A455C">
              <w:rPr>
                <w:lang w:val="en-US"/>
              </w:rPr>
              <w:t>Broadcast into the crop stubble post crop harvest</w:t>
            </w:r>
          </w:p>
        </w:tc>
      </w:tr>
      <w:tr w:rsidR="001A455C" w:rsidRPr="001A455C" w14:paraId="5E6F82D6" w14:textId="77777777" w:rsidTr="006B4AC3">
        <w:tc>
          <w:tcPr>
            <w:tcW w:w="1555" w:type="dxa"/>
            <w:tcBorders>
              <w:top w:val="single" w:sz="4" w:space="0" w:color="auto"/>
              <w:bottom w:val="single" w:sz="4" w:space="0" w:color="auto"/>
            </w:tcBorders>
            <w:vAlign w:val="center"/>
          </w:tcPr>
          <w:p w14:paraId="5E8B9AE3" w14:textId="77777777" w:rsidR="001A455C" w:rsidRPr="001A455C" w:rsidRDefault="001A455C" w:rsidP="006B4AC3">
            <w:pPr>
              <w:spacing w:line="360" w:lineRule="auto"/>
              <w:jc w:val="center"/>
              <w:rPr>
                <w:lang w:val="en-US"/>
              </w:rPr>
            </w:pPr>
            <w:r w:rsidRPr="001A455C">
              <w:rPr>
                <w:lang w:val="en-US"/>
              </w:rPr>
              <w:t>NoCC</w:t>
            </w:r>
          </w:p>
        </w:tc>
        <w:tc>
          <w:tcPr>
            <w:tcW w:w="2126" w:type="dxa"/>
            <w:tcBorders>
              <w:top w:val="single" w:sz="4" w:space="0" w:color="auto"/>
              <w:bottom w:val="single" w:sz="4" w:space="0" w:color="auto"/>
            </w:tcBorders>
            <w:vAlign w:val="center"/>
          </w:tcPr>
          <w:p w14:paraId="2CC1DE3E" w14:textId="77777777" w:rsidR="001A455C" w:rsidRPr="001A455C" w:rsidRDefault="001A455C" w:rsidP="006B4AC3">
            <w:pPr>
              <w:spacing w:line="360" w:lineRule="auto"/>
              <w:jc w:val="center"/>
              <w:rPr>
                <w:lang w:val="en-US"/>
              </w:rPr>
            </w:pPr>
            <w:r w:rsidRPr="001A455C">
              <w:rPr>
                <w:lang w:val="en-US"/>
              </w:rPr>
              <w:t>None</w:t>
            </w:r>
          </w:p>
        </w:tc>
        <w:tc>
          <w:tcPr>
            <w:tcW w:w="1843" w:type="dxa"/>
            <w:tcBorders>
              <w:top w:val="single" w:sz="4" w:space="0" w:color="auto"/>
              <w:bottom w:val="single" w:sz="4" w:space="0" w:color="auto"/>
            </w:tcBorders>
            <w:vAlign w:val="center"/>
          </w:tcPr>
          <w:p w14:paraId="2477B9F5" w14:textId="77777777" w:rsidR="001A455C" w:rsidRPr="001A455C" w:rsidRDefault="001A455C" w:rsidP="006B4AC3">
            <w:pPr>
              <w:spacing w:line="360" w:lineRule="auto"/>
              <w:jc w:val="center"/>
              <w:rPr>
                <w:lang w:val="en-US"/>
              </w:rPr>
            </w:pPr>
            <w:r w:rsidRPr="001A455C">
              <w:rPr>
                <w:lang w:val="en-US"/>
              </w:rPr>
              <w:t>-</w:t>
            </w:r>
          </w:p>
        </w:tc>
        <w:tc>
          <w:tcPr>
            <w:tcW w:w="2976" w:type="dxa"/>
            <w:tcBorders>
              <w:top w:val="single" w:sz="4" w:space="0" w:color="auto"/>
              <w:bottom w:val="single" w:sz="4" w:space="0" w:color="auto"/>
            </w:tcBorders>
            <w:vAlign w:val="center"/>
          </w:tcPr>
          <w:p w14:paraId="20259FC8" w14:textId="77777777" w:rsidR="001A455C" w:rsidRPr="001A455C" w:rsidRDefault="001A455C" w:rsidP="006B4AC3">
            <w:pPr>
              <w:spacing w:line="360" w:lineRule="auto"/>
              <w:jc w:val="center"/>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proofErr w:type="gramStart"/>
      <w:r w:rsidRPr="003C7F19">
        <w:rPr>
          <w:b/>
          <w:bCs/>
        </w:rPr>
        <w:t>2.1.</w:t>
      </w:r>
      <w:r>
        <w:rPr>
          <w:b/>
          <w:bCs/>
        </w:rPr>
        <w:t>4</w:t>
      </w:r>
      <w:r w:rsidRPr="003C7F19">
        <w:rPr>
          <w:b/>
          <w:bCs/>
        </w:rPr>
        <w:t xml:space="preserve">  </w:t>
      </w:r>
      <w:r>
        <w:rPr>
          <w:b/>
          <w:bCs/>
          <w:lang w:val="en-US"/>
        </w:rPr>
        <w:t>Fertilizer</w:t>
      </w:r>
      <w:proofErr w:type="gramEnd"/>
      <w:r>
        <w:rPr>
          <w:b/>
          <w:bCs/>
          <w:lang w:val="en-US"/>
        </w:rPr>
        <w:t xml:space="preserve"> and herbicides</w:t>
      </w:r>
    </w:p>
    <w:p w14:paraId="286F4F84" w14:textId="77777777" w:rsidR="001A455C" w:rsidRPr="001A455C" w:rsidRDefault="001A455C" w:rsidP="001A455C">
      <w:pPr>
        <w:spacing w:line="360" w:lineRule="auto"/>
      </w:pPr>
      <w:r w:rsidRPr="001A455C">
        <w:rPr>
          <w:lang w:val="en-US"/>
        </w:rPr>
        <w:t>Mineral fertilizer was broadcast 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 xml:space="preserve">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w:t>
      </w:r>
      <w:r w:rsidRPr="001A455C">
        <w:lastRenderedPageBreak/>
        <w:t>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Avena fatua</w:t>
      </w:r>
      <w:r w:rsidRPr="001A455C">
        <w:t xml:space="preserve">). </w:t>
      </w:r>
      <w:bookmarkEnd w:id="8"/>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w:t>
      </w:r>
      <w:proofErr w:type="gramStart"/>
      <w:r w:rsidRPr="001A455C">
        <w:rPr>
          <w:lang w:val="en-US"/>
        </w:rPr>
        <w:t>In order to</w:t>
      </w:r>
      <w:proofErr w:type="gramEnd"/>
      <w:r w:rsidRPr="001A455C">
        <w:rPr>
          <w:lang w:val="en-US"/>
        </w:rPr>
        <w:t xml:space="preserve"> maintain the long-term viability of the 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proofErr w:type="gramStart"/>
      <w:r w:rsidRPr="003C7F19">
        <w:rPr>
          <w:b/>
          <w:bCs/>
        </w:rPr>
        <w:t>2.</w:t>
      </w:r>
      <w:r>
        <w:rPr>
          <w:b/>
          <w:bCs/>
        </w:rPr>
        <w:t>2</w:t>
      </w:r>
      <w:r w:rsidRPr="003C7F19">
        <w:rPr>
          <w:b/>
          <w:bCs/>
        </w:rPr>
        <w:t xml:space="preserve">.1  </w:t>
      </w:r>
      <w:r>
        <w:rPr>
          <w:b/>
          <w:bCs/>
        </w:rPr>
        <w:t>Crop</w:t>
      </w:r>
      <w:proofErr w:type="gramEnd"/>
      <w:r>
        <w:rPr>
          <w:b/>
          <w:bCs/>
        </w:rPr>
        <w:t xml:space="preserve"> yields</w:t>
      </w:r>
    </w:p>
    <w:p w14:paraId="7501D6A6" w14:textId="2A0C2A8D" w:rsidR="001A455C" w:rsidRPr="001A455C" w:rsidRDefault="001A455C" w:rsidP="001A455C">
      <w:pPr>
        <w:spacing w:line="360" w:lineRule="auto"/>
      </w:pPr>
      <w:r w:rsidRPr="001A455C">
        <w:t>Each sub-subplot (net size 10 m x 1.5 m) was harvested for grain yield with a plot combine (</w:t>
      </w:r>
      <w:r w:rsidR="00F36B54">
        <w:t xml:space="preserve">spring barley: </w:t>
      </w:r>
      <w:r w:rsidRPr="001A455C">
        <w:t>8 August 2018</w:t>
      </w:r>
      <w:r w:rsidR="00F36B54">
        <w:t xml:space="preserve">, oat: </w:t>
      </w:r>
      <w:r w:rsidRPr="001A455C">
        <w:t>15 August 2019</w:t>
      </w:r>
      <w:r w:rsidR="00F36B54">
        <w:t xml:space="preserve">, faba bean: </w:t>
      </w:r>
      <w:r w:rsidRPr="001A455C">
        <w:t>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proofErr w:type="gramStart"/>
      <w:r w:rsidRPr="003C7F19">
        <w:rPr>
          <w:b/>
          <w:bCs/>
        </w:rPr>
        <w:t>2.</w:t>
      </w:r>
      <w:r>
        <w:rPr>
          <w:b/>
          <w:bCs/>
        </w:rPr>
        <w:t>2</w:t>
      </w:r>
      <w:r w:rsidRPr="003C7F19">
        <w:rPr>
          <w:b/>
          <w:bCs/>
        </w:rPr>
        <w:t>.</w:t>
      </w:r>
      <w:r>
        <w:rPr>
          <w:b/>
          <w:bCs/>
        </w:rPr>
        <w:t>2</w:t>
      </w:r>
      <w:r w:rsidRPr="003C7F19">
        <w:rPr>
          <w:b/>
          <w:bCs/>
        </w:rPr>
        <w:t xml:space="preserve">  </w:t>
      </w:r>
      <w:r>
        <w:rPr>
          <w:b/>
          <w:bCs/>
        </w:rPr>
        <w:t>Fall</w:t>
      </w:r>
      <w:proofErr w:type="gramEnd"/>
      <w:r>
        <w:rPr>
          <w:b/>
          <w:bCs/>
        </w:rPr>
        <w:t xml:space="preserve"> vegetation</w:t>
      </w:r>
    </w:p>
    <w:p w14:paraId="02B90445" w14:textId="7920B83A" w:rsidR="001A455C" w:rsidRPr="001A455C" w:rsidRDefault="001A455C" w:rsidP="001A455C">
      <w:pPr>
        <w:spacing w:line="360" w:lineRule="auto"/>
        <w:rPr>
          <w:lang w:val="en-US"/>
        </w:rPr>
      </w:pPr>
      <w:r w:rsidRPr="001A455C">
        <w:rPr>
          <w:lang w:val="en-US"/>
        </w:rPr>
        <w:t>Three categories of vegetation measurements were taken (Table 2) and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F36B54">
        <w:tc>
          <w:tcPr>
            <w:tcW w:w="3539" w:type="dxa"/>
            <w:tcBorders>
              <w:top w:val="single" w:sz="4" w:space="0" w:color="auto"/>
              <w:left w:val="nil"/>
              <w:bottom w:val="single" w:sz="4" w:space="0" w:color="auto"/>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single" w:sz="4" w:space="0" w:color="auto"/>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lastRenderedPageBreak/>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F36B54">
        <w:tc>
          <w:tcPr>
            <w:tcW w:w="3539" w:type="dxa"/>
            <w:tcBorders>
              <w:top w:val="single" w:sz="4" w:space="0" w:color="auto"/>
              <w:left w:val="nil"/>
              <w:bottom w:val="single" w:sz="4" w:space="0" w:color="auto"/>
              <w:right w:val="nil"/>
            </w:tcBorders>
          </w:tcPr>
          <w:p w14:paraId="5306A23C" w14:textId="77777777" w:rsidR="001A455C" w:rsidRPr="001A455C" w:rsidRDefault="001A455C" w:rsidP="001A455C">
            <w:pPr>
              <w:spacing w:line="360" w:lineRule="auto"/>
              <w:rPr>
                <w:lang w:val="en-US"/>
              </w:rPr>
            </w:pPr>
            <w:r w:rsidRPr="001A455C">
              <w:rPr>
                <w:lang w:val="en-US"/>
              </w:rPr>
              <w:lastRenderedPageBreak/>
              <w:t>Fall biomass (g m-2)</w:t>
            </w:r>
          </w:p>
        </w:tc>
        <w:tc>
          <w:tcPr>
            <w:tcW w:w="5477" w:type="dxa"/>
            <w:tcBorders>
              <w:top w:val="single" w:sz="4" w:space="0" w:color="auto"/>
              <w:left w:val="nil"/>
              <w:bottom w:val="single" w:sz="4" w:space="0" w:color="auto"/>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F36B54">
        <w:tc>
          <w:tcPr>
            <w:tcW w:w="3539" w:type="dxa"/>
            <w:tcBorders>
              <w:top w:val="single" w:sz="4" w:space="0" w:color="auto"/>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 xml:space="preserve">Spring weed counts (number m-2) </w:t>
            </w:r>
            <w:r w:rsidRPr="007D24BE">
              <w:rPr>
                <w:color w:val="FF0000"/>
                <w:lang w:val="en-US"/>
              </w:rPr>
              <w:t>Bo, just making sure the data you gave me is on a per m2 basis</w:t>
            </w:r>
          </w:p>
        </w:tc>
        <w:tc>
          <w:tcPr>
            <w:tcW w:w="5477" w:type="dxa"/>
            <w:tcBorders>
              <w:top w:val="single" w:sz="4" w:space="0" w:color="auto"/>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4BA60EB0" w:rsidR="001A455C" w:rsidRPr="001A455C" w:rsidRDefault="001A455C" w:rsidP="001A455C">
      <w:pPr>
        <w:spacing w:line="360" w:lineRule="auto"/>
        <w:rPr>
          <w:lang w:val="en-US"/>
        </w:rPr>
      </w:pPr>
      <w:r w:rsidRPr="001A455C">
        <w:rPr>
          <w:lang w:val="en-US"/>
        </w:rPr>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w:t>
      </w:r>
      <w:r w:rsidR="00402490">
        <w:rPr>
          <w:lang w:val="en-US"/>
        </w:rPr>
        <w:t xml:space="preserve"> of percent cover</w:t>
      </w:r>
      <w:r w:rsidRPr="001A455C">
        <w:rPr>
          <w:lang w:val="en-US"/>
        </w:rPr>
        <w:t>, each species/genus was classified as ‘cover crop</w:t>
      </w:r>
      <w:proofErr w:type="gramStart"/>
      <w:r w:rsidRPr="001A455C">
        <w:rPr>
          <w:lang w:val="en-US"/>
        </w:rPr>
        <w:t>’, ‘</w:t>
      </w:r>
      <w:proofErr w:type="gramEnd"/>
      <w:r w:rsidRPr="001A455C">
        <w:rPr>
          <w:lang w:val="en-US"/>
        </w:rPr>
        <w:t>volunteer’ or ‘other</w:t>
      </w:r>
      <w:r w:rsidR="006B4AC3">
        <w:rPr>
          <w:lang w:val="en-US"/>
        </w:rPr>
        <w:t>.</w:t>
      </w:r>
      <w:r w:rsidRPr="001A455C">
        <w:rPr>
          <w:lang w:val="en-US"/>
        </w:rPr>
        <w:t xml:space="preserve">’ </w:t>
      </w:r>
    </w:p>
    <w:p w14:paraId="7A2B2242" w14:textId="0740A27A" w:rsidR="001A455C" w:rsidRPr="001A455C" w:rsidRDefault="001A455C" w:rsidP="001A455C">
      <w:pPr>
        <w:spacing w:line="360" w:lineRule="auto"/>
        <w:rPr>
          <w:lang w:val="en-US"/>
        </w:rPr>
      </w:pPr>
      <w:r w:rsidRPr="001A455C">
        <w:rPr>
          <w:lang w:val="en-US"/>
        </w:rPr>
        <w:t xml:space="preserve">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t>
      </w:r>
      <w:r w:rsidR="006B4AC3">
        <w:rPr>
          <w:lang w:val="en-US"/>
        </w:rPr>
        <w:t xml:space="preserve">volunteers, and </w:t>
      </w:r>
      <w:proofErr w:type="gramStart"/>
      <w:r w:rsidR="006B4AC3">
        <w:rPr>
          <w:lang w:val="en-US"/>
        </w:rPr>
        <w:t>other</w:t>
      </w:r>
      <w:proofErr w:type="gramEnd"/>
      <w:r w:rsidRPr="001A455C">
        <w:rPr>
          <w:lang w:val="en-US"/>
        </w:rPr>
        <w:t xml:space="preserve"> in 2018. In 2019, biomass was only separated into two fractions (cover crops and </w:t>
      </w:r>
      <w:proofErr w:type="gramStart"/>
      <w:r w:rsidRPr="001A455C">
        <w:rPr>
          <w:lang w:val="en-US"/>
        </w:rPr>
        <w:t>other</w:t>
      </w:r>
      <w:proofErr w:type="gramEnd"/>
      <w:r w:rsidRPr="001A455C">
        <w:rPr>
          <w:lang w:val="en-US"/>
        </w:rPr>
        <w:t xml:space="preserve">, the latter of which included both weeds and volunteers). Therefore, the categories ‘cover crop’ and ‘other’ were used for all </w:t>
      </w:r>
      <w:r w:rsidR="00402490">
        <w:rPr>
          <w:lang w:val="en-US"/>
        </w:rPr>
        <w:t xml:space="preserve">aboveground biomass </w:t>
      </w:r>
      <w:r w:rsidRPr="001A455C">
        <w:rPr>
          <w:lang w:val="en-US"/>
        </w:rPr>
        <w:t>statistics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0893EF15" w:rsidR="001A455C" w:rsidRPr="001A455C" w:rsidRDefault="001A455C" w:rsidP="001A455C">
      <w:pPr>
        <w:spacing w:line="360" w:lineRule="auto"/>
        <w:rPr>
          <w:lang w:val="en-US"/>
        </w:rPr>
      </w:pPr>
      <w:r w:rsidRPr="001A455C">
        <w:rPr>
          <w:lang w:val="en-US"/>
        </w:rPr>
        <w:lastRenderedPageBreak/>
        <w:t>The flora emerging in spring in the experimental plots was assessed on 22 May 2019 and 27 May 2020 after post-emergence weed control. Four</w:t>
      </w:r>
      <w:r w:rsidR="00402490">
        <w:rPr>
          <w:lang w:val="en-US"/>
        </w:rPr>
        <w:t xml:space="preserve"> </w:t>
      </w:r>
      <w:r w:rsidRPr="001A455C">
        <w:rPr>
          <w:lang w:val="en-US"/>
        </w:rPr>
        <w:t>categories were counted in three randomly placed 0.25 m</w:t>
      </w:r>
      <w:r w:rsidRPr="00F36B54">
        <w:rPr>
          <w:vertAlign w:val="superscript"/>
          <w:lang w:val="en-US"/>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w:t>
      </w:r>
      <w:r w:rsidR="00402490">
        <w:rPr>
          <w:lang w:val="en-US"/>
        </w:rPr>
        <w:t>, the latter two being problematic perennial weeds in Denmark (CITE)</w:t>
      </w:r>
      <w:r w:rsidRPr="001A455C">
        <w:rPr>
          <w:lang w:val="en-US"/>
        </w:rPr>
        <w:t>. The spring counts were made to record whether there were any traceable effects from previous year’s cover crop treatments</w:t>
      </w:r>
      <w:r w:rsidR="00402490">
        <w:rPr>
          <w:lang w:val="en-US"/>
        </w:rPr>
        <w:t xml:space="preserve">, with the goal of </w:t>
      </w:r>
      <w:r w:rsidRPr="001A455C">
        <w:rPr>
          <w:lang w:val="en-US"/>
        </w:rPr>
        <w:t>assess</w:t>
      </w:r>
      <w:r w:rsidR="00402490">
        <w:rPr>
          <w:lang w:val="en-US"/>
        </w:rPr>
        <w:t>ing</w:t>
      </w:r>
      <w:r w:rsidRPr="001A455C">
        <w:rPr>
          <w:lang w:val="en-US"/>
        </w:rPr>
        <w:t xml:space="preserve">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 xml:space="preserve">ECOLOGICAL POTENTAIL VALUE, </w:t>
      </w:r>
      <w:proofErr w:type="gramStart"/>
      <w:r>
        <w:rPr>
          <w:b/>
          <w:bCs/>
          <w:lang w:val="en-US"/>
        </w:rPr>
        <w:t>take</w:t>
      </w:r>
      <w:proofErr w:type="gramEnd"/>
      <w:r>
        <w:rPr>
          <w:b/>
          <w:bCs/>
          <w:lang w:val="en-US"/>
        </w:rPr>
        <w:t xml:space="preserv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tidyverse meta package (CITE), and several additional packages (CITE gh4x, readxl, others?). For all statistical models, several models were tested using lme4 (CITE), nlme (CITE), and glmmTMB (CITE), and the best fit was chosen based on inspection of residual plots and AIC criteria (CITE). Only the best fit model is described here, but the R code is available as part of the github repository for this publication (CITE). Marginal means and contrasts were estimated using emmeans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0A64263B" w:rsidR="001C7F6C" w:rsidRPr="001C7F6C" w:rsidRDefault="001C7F6C" w:rsidP="001C7F6C">
      <w:pPr>
        <w:spacing w:line="360" w:lineRule="auto"/>
      </w:pPr>
      <w:r w:rsidRPr="001C7F6C">
        <w:t>For total fall biomass, first a universal model was fit that included fixed effects of a year factor, tillage, residue, and cover crop</w:t>
      </w:r>
      <w:r w:rsidR="00AF5044">
        <w:t xml:space="preserve"> and their interactions and random </w:t>
      </w:r>
      <w:proofErr w:type="gramStart"/>
      <w:r w:rsidR="00AF5044">
        <w:t>effects</w:t>
      </w:r>
      <w:proofErr w:type="gramEnd"/>
      <w:r w:rsidR="00AF5044">
        <w:t xml:space="preserve"> structure to account for the nested experimental design</w:t>
      </w:r>
      <w:r w:rsidR="002314A6">
        <w:t xml:space="preserve"> using glmmTMB (CITE)</w:t>
      </w:r>
      <w:r w:rsidR="00AF5044">
        <w:t xml:space="preserve">. The full model failed to converge, so terms were removed iteratively </w:t>
      </w:r>
      <w:r w:rsidR="002314A6">
        <w:t xml:space="preserve">based on visual inspections of variances, and the best model was chosen based on </w:t>
      </w:r>
      <w:r w:rsidR="00AF5044">
        <w:t xml:space="preserve">AIC criteria. For visualization of differences, </w:t>
      </w:r>
      <w:r w:rsidRPr="001C7F6C">
        <w:t>a separate model was fit separately to each year’s data</w:t>
      </w:r>
      <w:r w:rsidR="00AF5044">
        <w:t xml:space="preserve"> to produce letters of significance using the multcomp package (CITE). </w:t>
      </w:r>
    </w:p>
    <w:p w14:paraId="007B2869" w14:textId="49D4C3CB" w:rsidR="001A455C" w:rsidRDefault="001C7F6C" w:rsidP="001C7F6C">
      <w:pPr>
        <w:spacing w:line="360" w:lineRule="auto"/>
      </w:pPr>
      <w:r w:rsidRPr="001C7F6C">
        <w:t>For the proportion of fall biomass, the cover crop proportion was modelled using glmmTMB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proofErr w:type="gramStart"/>
      <w:r w:rsidRPr="00D00706">
        <w:rPr>
          <w:b/>
          <w:bCs/>
        </w:rPr>
        <w:t>3  RESULTS</w:t>
      </w:r>
      <w:proofErr w:type="gramEnd"/>
    </w:p>
    <w:p w14:paraId="34205FB4" w14:textId="069B2DBA" w:rsidR="0053182E" w:rsidRDefault="007D24BE" w:rsidP="00045088">
      <w:pPr>
        <w:spacing w:line="360" w:lineRule="auto"/>
      </w:pPr>
      <w:r>
        <w:t>3.1 Weather and crop yields</w:t>
      </w:r>
    </w:p>
    <w:p w14:paraId="63BE67B5" w14:textId="1B540F89" w:rsidR="00DA570F" w:rsidRDefault="00953C94" w:rsidP="00045088">
      <w:pPr>
        <w:spacing w:line="360" w:lineRule="auto"/>
      </w:pPr>
      <w:r>
        <w:lastRenderedPageBreak/>
        <w:t xml:space="preserve">The three years of production covered extreme conditions compared to 30-year averages; 2018 was the driest year of the past 30 years, and 2020 was the warmest. All production years started the season with more precipitation than average, but both 2018 (spring barley) and 2020 (faba bean) moved into drought conditions as the season progressed. </w:t>
      </w:r>
    </w:p>
    <w:p w14:paraId="2E61CD6B" w14:textId="77777777" w:rsidR="007D24BE" w:rsidRDefault="007D24BE" w:rsidP="00045088">
      <w:pPr>
        <w:spacing w:line="360" w:lineRule="auto"/>
      </w:pPr>
    </w:p>
    <w:tbl>
      <w:tblPr>
        <w:tblStyle w:val="TableGrid"/>
        <w:tblW w:w="0" w:type="auto"/>
        <w:tblLook w:val="04A0" w:firstRow="1" w:lastRow="0" w:firstColumn="1" w:lastColumn="0" w:noHBand="0" w:noVBand="1"/>
      </w:tblPr>
      <w:tblGrid>
        <w:gridCol w:w="9016"/>
      </w:tblGrid>
      <w:tr w:rsidR="00F07C2C" w14:paraId="590C1A0F" w14:textId="77777777" w:rsidTr="00F07C2C">
        <w:tc>
          <w:tcPr>
            <w:tcW w:w="9016" w:type="dxa"/>
          </w:tcPr>
          <w:p w14:paraId="334A8DA4" w14:textId="3AC49E7D" w:rsidR="00CC097D" w:rsidRPr="00CC097D" w:rsidRDefault="00CC097D" w:rsidP="00CC097D">
            <w:pPr>
              <w:spacing w:line="360" w:lineRule="auto"/>
              <w:rPr>
                <w:lang w:val="da-DK"/>
              </w:rPr>
            </w:pPr>
            <w:r w:rsidRPr="00CC097D">
              <w:rPr>
                <w:lang w:val="da-DK"/>
              </w:rPr>
              <w:drawing>
                <wp:inline distT="0" distB="0" distL="0" distR="0" wp14:anchorId="7F351A9A" wp14:editId="4CF84B87">
                  <wp:extent cx="5570220" cy="4332256"/>
                  <wp:effectExtent l="0" t="0" r="0" b="0"/>
                  <wp:docPr id="756299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3127" cy="4334517"/>
                          </a:xfrm>
                          <a:prstGeom prst="rect">
                            <a:avLst/>
                          </a:prstGeom>
                          <a:noFill/>
                          <a:ln>
                            <a:noFill/>
                          </a:ln>
                        </pic:spPr>
                      </pic:pic>
                    </a:graphicData>
                  </a:graphic>
                </wp:inline>
              </w:drawing>
            </w:r>
          </w:p>
          <w:p w14:paraId="731072AC" w14:textId="4E28A49E" w:rsidR="00F07C2C" w:rsidRDefault="00F07C2C" w:rsidP="00045088">
            <w:pPr>
              <w:spacing w:line="360" w:lineRule="auto"/>
            </w:pPr>
          </w:p>
        </w:tc>
      </w:tr>
      <w:tr w:rsidR="00F07C2C" w14:paraId="6C9AABF3" w14:textId="77777777" w:rsidTr="00F07C2C">
        <w:tc>
          <w:tcPr>
            <w:tcW w:w="9016" w:type="dxa"/>
          </w:tcPr>
          <w:p w14:paraId="405088BE" w14:textId="34AD6A3A" w:rsidR="00F07C2C" w:rsidRPr="00F07C2C" w:rsidRDefault="00F07C2C" w:rsidP="00CF32A9">
            <w:pPr>
              <w:rPr>
                <w:i/>
                <w:iCs/>
              </w:rPr>
            </w:pPr>
            <w:r w:rsidRPr="007D24BE">
              <w:rPr>
                <w:i/>
                <w:iCs/>
              </w:rPr>
              <w:t>Figure 1</w:t>
            </w:r>
            <w:r w:rsidR="00953C94">
              <w:rPr>
                <w:i/>
                <w:iCs/>
              </w:rPr>
              <w:t xml:space="preserve">. (Top) </w:t>
            </w:r>
            <w:r w:rsidR="00A75203">
              <w:rPr>
                <w:i/>
                <w:iCs/>
              </w:rPr>
              <w:t>Weather summaries comparing study years to 30-year averages. (Bottom) Study yields were comparable to mean yields observed in Denmark for each year (horizontal dashed lines) and were only impacted by cover crop treatment, with the mid-season planted radish (RadM) treatment producing significantly higher yields (asterisk) compared to the other treatments.</w:t>
            </w:r>
          </w:p>
        </w:tc>
      </w:tr>
    </w:tbl>
    <w:p w14:paraId="2B820F6B" w14:textId="77777777" w:rsidR="00F07C2C" w:rsidRDefault="00F07C2C" w:rsidP="00045088">
      <w:pPr>
        <w:spacing w:line="360" w:lineRule="auto"/>
      </w:pPr>
    </w:p>
    <w:p w14:paraId="0D6E7803" w14:textId="3BF0035D" w:rsidR="00953C94" w:rsidRPr="00A75203" w:rsidRDefault="00953C94" w:rsidP="00A75203">
      <w:pPr>
        <w:spacing w:line="360" w:lineRule="auto"/>
      </w:pPr>
      <w:r w:rsidRPr="00A75203">
        <w:t>Yields varied significantly by crop (p&lt;0.001) and by cover crop treatment (p&lt;0.001</w:t>
      </w:r>
      <w:proofErr w:type="gramStart"/>
      <w:r w:rsidRPr="00A75203">
        <w:t>), but</w:t>
      </w:r>
      <w:proofErr w:type="gramEnd"/>
      <w:r w:rsidRPr="00A75203">
        <w:t xml:space="preserve"> did not vary significantly by any other factors or their interactions. In 2018 spring barley yields averaged 4.07 Mg ha-1, in 2019 </w:t>
      </w:r>
      <w:r w:rsidR="000347C5">
        <w:t xml:space="preserve">spring </w:t>
      </w:r>
      <w:r w:rsidRPr="00A75203">
        <w:t>oat yields averaged 4.28 Mg ha-1, and in 2020 faba bean yields averaged 3.47 Mg ha-1. On average, the RadM cover crop treatment exhibited 8% higher crop yields compared to all other cover crop treatments</w:t>
      </w:r>
      <w:r w:rsidR="00A75203">
        <w:t xml:space="preserve"> (p&lt;0.001)</w:t>
      </w:r>
      <w:r w:rsidRPr="00A75203">
        <w:t xml:space="preserve">, which did not vary significantly from each other. </w:t>
      </w:r>
    </w:p>
    <w:p w14:paraId="39D2C597" w14:textId="579D4368" w:rsidR="007D24BE" w:rsidRDefault="007D24BE" w:rsidP="00045088">
      <w:pPr>
        <w:spacing w:line="360" w:lineRule="auto"/>
      </w:pPr>
      <w:r>
        <w:lastRenderedPageBreak/>
        <w:t>3.2 Fall vegetation</w:t>
      </w:r>
    </w:p>
    <w:p w14:paraId="59A3C5E8" w14:textId="77777777" w:rsidR="007D24BE" w:rsidRDefault="007D24BE" w:rsidP="00045088">
      <w:pPr>
        <w:spacing w:line="360" w:lineRule="auto"/>
      </w:pPr>
      <w:r>
        <w:t>3.2.1 Biomass</w:t>
      </w:r>
    </w:p>
    <w:p w14:paraId="2454DF97" w14:textId="024E2A60" w:rsidR="003E7CBF" w:rsidRDefault="00A75203" w:rsidP="00045088">
      <w:pPr>
        <w:spacing w:line="360" w:lineRule="auto"/>
      </w:pPr>
      <w:r>
        <w:t>The full statistical model showed complex interactions</w:t>
      </w:r>
      <w:r w:rsidR="008D2724">
        <w:t xml:space="preserve"> between variables, but with year having the largest impact (p&lt;0.001). </w:t>
      </w:r>
      <w:r w:rsidR="003E7CBF" w:rsidRPr="003E7CBF">
        <w:t>In 2018, average fall biomass production was 2.27 Mg ha-1</w:t>
      </w:r>
      <w:r w:rsidR="003E7CBF">
        <w:t xml:space="preserve">, while in 2019 the average fall biomass production was less than half (0.99 Mg ha-1). </w:t>
      </w:r>
    </w:p>
    <w:p w14:paraId="2BF6C4D9" w14:textId="6FE04CC1" w:rsidR="00F07C2C" w:rsidRDefault="000347C5" w:rsidP="00045088">
      <w:pPr>
        <w:spacing w:line="360" w:lineRule="auto"/>
      </w:pPr>
      <w:r>
        <w:t xml:space="preserve">Residue treatment had a small but significant (p&lt;0.001) main effect without significant interactions, with residue removal reducing fall biomass by 0.2 Mg ha-1 (SE:0.05). </w:t>
      </w:r>
      <w:r w:rsidR="008A45D0">
        <w:t xml:space="preserve">The effects of tillage and cover crop were amplified in 2018, with weaker effects in 2019, resulting in significant year interactions. Tillage </w:t>
      </w:r>
      <w:r w:rsidR="00950EEA">
        <w:t xml:space="preserve">effects were strongest in the RadM and RadL </w:t>
      </w:r>
      <w:r w:rsidR="00950EEA" w:rsidRPr="008D2724">
        <w:t>(p=0.048)</w:t>
      </w:r>
      <w:r w:rsidR="00950EEA">
        <w:t xml:space="preserve"> compared to other treatments, and this effect was consistent across years. </w:t>
      </w:r>
      <w:r w:rsidR="008D2724" w:rsidRPr="008D2724">
        <w:t xml:space="preserve">On average, increasing tillage intensity significantly decreased fall biomass by 27% and 9% when moving from no-till to surface tillage, and surface to inversion to surface, respectively. </w:t>
      </w:r>
      <w:r w:rsidR="002314A6">
        <w:t>Growing degree days accumulated from cover crop planting to biomass sampling were not related to fall biomass values.</w:t>
      </w:r>
    </w:p>
    <w:p w14:paraId="27107AF0" w14:textId="77777777" w:rsidR="008877EC" w:rsidRDefault="008877EC" w:rsidP="00045088">
      <w:pPr>
        <w:spacing w:line="360" w:lineRule="auto"/>
      </w:pPr>
    </w:p>
    <w:tbl>
      <w:tblPr>
        <w:tblStyle w:val="TableGrid"/>
        <w:tblW w:w="0" w:type="auto"/>
        <w:tblLook w:val="04A0" w:firstRow="1" w:lastRow="0" w:firstColumn="1" w:lastColumn="0" w:noHBand="0" w:noVBand="1"/>
      </w:tblPr>
      <w:tblGrid>
        <w:gridCol w:w="9016"/>
      </w:tblGrid>
      <w:tr w:rsidR="00F07C2C" w14:paraId="174270A8" w14:textId="77777777" w:rsidTr="00F07C2C">
        <w:tc>
          <w:tcPr>
            <w:tcW w:w="9016" w:type="dxa"/>
          </w:tcPr>
          <w:p w14:paraId="77E13F33" w14:textId="5C7B30A9" w:rsidR="00F07C2C" w:rsidRDefault="00950EEA" w:rsidP="00045088">
            <w:pPr>
              <w:spacing w:line="360" w:lineRule="auto"/>
            </w:pPr>
            <w:r>
              <w:rPr>
                <w:noProof/>
              </w:rPr>
              <w:drawing>
                <wp:inline distT="0" distB="0" distL="0" distR="0" wp14:anchorId="7D06B1C3" wp14:editId="4FC5F7DD">
                  <wp:extent cx="5612486" cy="4490113"/>
                  <wp:effectExtent l="0" t="0" r="7620" b="5715"/>
                  <wp:docPr id="153933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33181" name="Picture 1539333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269" cy="4494740"/>
                          </a:xfrm>
                          <a:prstGeom prst="rect">
                            <a:avLst/>
                          </a:prstGeom>
                        </pic:spPr>
                      </pic:pic>
                    </a:graphicData>
                  </a:graphic>
                </wp:inline>
              </w:drawing>
            </w:r>
          </w:p>
        </w:tc>
      </w:tr>
      <w:tr w:rsidR="00F07C2C" w14:paraId="7616A73E" w14:textId="77777777" w:rsidTr="00F07C2C">
        <w:tc>
          <w:tcPr>
            <w:tcW w:w="9016" w:type="dxa"/>
          </w:tcPr>
          <w:p w14:paraId="6AE88A83" w14:textId="1A5814A8" w:rsidR="00F07C2C" w:rsidRPr="00F07C2C" w:rsidRDefault="00F07C2C" w:rsidP="00AF5044">
            <w:pPr>
              <w:rPr>
                <w:i/>
                <w:iCs/>
              </w:rPr>
            </w:pPr>
            <w:r w:rsidRPr="00F07C2C">
              <w:rPr>
                <w:i/>
                <w:iCs/>
              </w:rPr>
              <w:lastRenderedPageBreak/>
              <w:t>Figure 2</w:t>
            </w:r>
            <w:r w:rsidR="00950EEA">
              <w:rPr>
                <w:i/>
                <w:iCs/>
              </w:rPr>
              <w:t xml:space="preserve"> (Top) Fall biomass was not related to growing degree days (GDDs, italic number in red</w:t>
            </w:r>
            <w:r w:rsidR="00AF5044">
              <w:rPr>
                <w:i/>
                <w:iCs/>
              </w:rPr>
              <w:t>) and exhibited complex treatment interactions (letters within a year indicate significant differences)</w:t>
            </w:r>
            <w:r w:rsidR="00950EEA">
              <w:rPr>
                <w:i/>
                <w:iCs/>
              </w:rPr>
              <w:t xml:space="preserve">. (Bottom) </w:t>
            </w:r>
            <w:r w:rsidR="00AF5044">
              <w:rPr>
                <w:i/>
                <w:iCs/>
              </w:rPr>
              <w:t xml:space="preserve">Total fall ground cover averaged </w:t>
            </w:r>
            <w:r w:rsidR="008302FF">
              <w:rPr>
                <w:i/>
                <w:iCs/>
              </w:rPr>
              <w:t>25</w:t>
            </w:r>
            <w:r w:rsidR="00AF5044">
              <w:rPr>
                <w:i/>
                <w:iCs/>
              </w:rPr>
              <w:t>% and consisted mainly of cash crop volunteers and cover crops, mirroring the fall biomass measurements.</w:t>
            </w:r>
          </w:p>
        </w:tc>
      </w:tr>
    </w:tbl>
    <w:p w14:paraId="6A1DD954" w14:textId="77777777" w:rsidR="00F07C2C" w:rsidRDefault="00F07C2C" w:rsidP="00045088">
      <w:pPr>
        <w:spacing w:line="360" w:lineRule="auto"/>
      </w:pPr>
    </w:p>
    <w:p w14:paraId="74A01EFB" w14:textId="3A6911B3" w:rsidR="007D24BE" w:rsidRDefault="007D24BE" w:rsidP="00045088">
      <w:pPr>
        <w:spacing w:line="360" w:lineRule="auto"/>
      </w:pPr>
      <w:r>
        <w:t>3.2.2 Cover</w:t>
      </w:r>
    </w:p>
    <w:p w14:paraId="56C0BF29" w14:textId="2BE41CE1" w:rsidR="005C0BB4" w:rsidRPr="005C0BB4" w:rsidRDefault="002314A6" w:rsidP="005C0BB4">
      <w:pPr>
        <w:spacing w:line="360" w:lineRule="auto"/>
        <w:rPr>
          <w:lang w:val="en-US"/>
        </w:rPr>
      </w:pPr>
      <w:r>
        <w:t xml:space="preserve">The percentage of the soil covered by vegetation </w:t>
      </w:r>
      <w:r w:rsidR="00CF32A9">
        <w:t>varied</w:t>
      </w:r>
      <w:r>
        <w:t xml:space="preserve"> </w:t>
      </w:r>
      <w:r w:rsidR="008B07A4">
        <w:t>significantly differed by year (p=0.03)</w:t>
      </w:r>
      <w:r w:rsidR="00AF348D">
        <w:t xml:space="preserve"> with a mean of 2</w:t>
      </w:r>
      <w:r w:rsidR="008B07A4">
        <w:t>3</w:t>
      </w:r>
      <w:r w:rsidR="00AF348D">
        <w:t>% (SE:2%) soil exposure</w:t>
      </w:r>
      <w:r w:rsidR="008B07A4">
        <w:t xml:space="preserve"> in 2018 and 30% (SE:3%) in 2019</w:t>
      </w:r>
      <w:r>
        <w:t xml:space="preserve">. </w:t>
      </w:r>
      <w:r w:rsidR="00AF348D">
        <w:t xml:space="preserve">Overall, cover crop species contributed an average of 15% of the fall ground cover, </w:t>
      </w:r>
      <w:r w:rsidR="00763F20">
        <w:t xml:space="preserve">but this varied significantly by cover crop treatment (p&lt;0.001). </w:t>
      </w:r>
      <w:r w:rsidR="00EA5B2A">
        <w:t xml:space="preserve">Tillage, residue, nor their interactions had significant impacts on the coverage categories. The impact of cover crop treatment on </w:t>
      </w:r>
      <w:r w:rsidR="00CF32A9">
        <w:t xml:space="preserve">cover crop </w:t>
      </w:r>
      <w:r w:rsidR="00EA5B2A">
        <w:t>coverage depended on the year, an effect driven by MixE: in 2018 the cover crop</w:t>
      </w:r>
      <w:r w:rsidR="00CF32A9">
        <w:t>s</w:t>
      </w:r>
      <w:r w:rsidR="00EA5B2A">
        <w:t xml:space="preserve"> contributed an average of 21% (SE</w:t>
      </w:r>
      <w:r w:rsidR="00AF348D">
        <w:t xml:space="preserve">:5%) </w:t>
      </w:r>
      <w:r w:rsidR="00CF32A9">
        <w:t xml:space="preserve">coverage, </w:t>
      </w:r>
      <w:r w:rsidR="00AF348D">
        <w:t xml:space="preserve">while in 2019 </w:t>
      </w:r>
      <w:r w:rsidR="00226AAF">
        <w:t xml:space="preserve">they contributed an </w:t>
      </w:r>
      <w:r w:rsidR="00AF348D">
        <w:t xml:space="preserve">average of 58% (SE:6%). </w:t>
      </w:r>
      <w:r w:rsidR="00226AAF">
        <w:t>In the other cover crop treatments, t</w:t>
      </w:r>
      <w:r w:rsidR="00AF348D">
        <w:t xml:space="preserve">he contributions of the cover crop </w:t>
      </w:r>
      <w:r w:rsidR="00226AAF">
        <w:t xml:space="preserve">to coverage </w:t>
      </w:r>
      <w:r w:rsidR="00AF348D">
        <w:t>did not vary significantly by year</w:t>
      </w:r>
      <w:r w:rsidR="005C0BB4">
        <w:t>, with RadM having the highest cover crop coverage (50%, SE:4%), followed by RadL (25%, SE:4%), MixM (7%, SE:3%) and NoCC (&lt;1%, SE:3%)</w:t>
      </w:r>
      <w:r w:rsidR="00AF348D">
        <w:t>.</w:t>
      </w:r>
      <w:r w:rsidR="00F87470">
        <w:t xml:space="preserve"> Cover crop coverage and volunteer/weed coverage was inversely correlated (</w:t>
      </w:r>
      <w:r w:rsidR="009A7EA2">
        <w:t>ρ</w:t>
      </w:r>
      <w:r w:rsidR="00276F65">
        <w:t xml:space="preserve"> = -0.88</w:t>
      </w:r>
      <w:r w:rsidR="009A7EA2">
        <w:t>).</w:t>
      </w:r>
      <w:r w:rsidR="005C0BB4" w:rsidRPr="005C0BB4">
        <w:rPr>
          <w:lang w:val="en-US"/>
        </w:rPr>
        <w:t xml:space="preserve"> </w:t>
      </w:r>
    </w:p>
    <w:p w14:paraId="24FE91C1" w14:textId="77777777" w:rsidR="005C0BB4" w:rsidRPr="005C0BB4" w:rsidRDefault="005C0BB4" w:rsidP="00045088">
      <w:pPr>
        <w:spacing w:line="360" w:lineRule="auto"/>
        <w:rPr>
          <w:lang w:val="en-US"/>
        </w:rPr>
      </w:pPr>
    </w:p>
    <w:p w14:paraId="175BCC64" w14:textId="0CBE15D6" w:rsidR="005C0BB4" w:rsidRPr="005C0BB4" w:rsidRDefault="009A55B2" w:rsidP="00045088">
      <w:pPr>
        <w:spacing w:line="360" w:lineRule="auto"/>
        <w:rPr>
          <w:lang w:val="en-US"/>
        </w:rPr>
      </w:pPr>
      <w:r>
        <w:rPr>
          <w:lang w:val="en-US"/>
        </w:rPr>
        <w:t>STOPPED________________________________________</w:t>
      </w:r>
    </w:p>
    <w:p w14:paraId="5050B1A4" w14:textId="4C3D108B" w:rsidR="007D24BE" w:rsidRDefault="007D24BE" w:rsidP="00045088">
      <w:pPr>
        <w:spacing w:line="360" w:lineRule="auto"/>
      </w:pPr>
      <w:r>
        <w:t>3.2.3 Community</w:t>
      </w:r>
    </w:p>
    <w:p w14:paraId="25D8B1AB" w14:textId="3B42003A" w:rsidR="00EA65A3" w:rsidRDefault="008302FF" w:rsidP="00045088">
      <w:pPr>
        <w:spacing w:line="360" w:lineRule="auto"/>
      </w:pPr>
      <w:r>
        <w:t>Communities were most strongly dictated by year of measurement</w:t>
      </w:r>
      <w:r w:rsidR="00EA65A3">
        <w:t xml:space="preserve"> because the species of the crop volunteer varied by year. Model fit and convergence was improved when models were fit to years individually, so results are reported for those models. Within a year, cover crop treatment explained 65-70% of the variance and had a significant effect on community structure (p&lt;0.001), with tillage and straw removal treatments explaining less than 1% of the total variance each, respectively. </w:t>
      </w:r>
      <w:r w:rsidR="00041F28">
        <w:t xml:space="preserve">The two mix treatments (MixE and MixM) had communities distinct from the two radish treatments (RadM and RadL), with the NoCC communities being more </w:t>
      </w:r>
      <w:proofErr w:type="gramStart"/>
      <w:r w:rsidR="00041F28">
        <w:t>similar to</w:t>
      </w:r>
      <w:proofErr w:type="gramEnd"/>
      <w:r w:rsidR="00041F28">
        <w:t xml:space="preserve"> the mix treatments in both years (Figure 3). </w:t>
      </w:r>
    </w:p>
    <w:tbl>
      <w:tblPr>
        <w:tblStyle w:val="TableGrid"/>
        <w:tblW w:w="0" w:type="auto"/>
        <w:tblLook w:val="04A0" w:firstRow="1" w:lastRow="0" w:firstColumn="1" w:lastColumn="0" w:noHBand="0" w:noVBand="1"/>
      </w:tblPr>
      <w:tblGrid>
        <w:gridCol w:w="9016"/>
      </w:tblGrid>
      <w:tr w:rsidR="0038548F" w14:paraId="31900BDC" w14:textId="77777777" w:rsidTr="0038548F">
        <w:tc>
          <w:tcPr>
            <w:tcW w:w="9016" w:type="dxa"/>
          </w:tcPr>
          <w:p w14:paraId="21AB856E" w14:textId="668D0E16" w:rsidR="00602B25" w:rsidRPr="00602B25" w:rsidRDefault="00602B25" w:rsidP="00602B25">
            <w:pPr>
              <w:spacing w:line="360" w:lineRule="auto"/>
              <w:rPr>
                <w:lang w:val="da-DK"/>
              </w:rPr>
            </w:pPr>
            <w:r w:rsidRPr="00602B25">
              <w:rPr>
                <w:lang w:val="da-DK"/>
              </w:rPr>
              <w:lastRenderedPageBreak/>
              <w:drawing>
                <wp:inline distT="0" distB="0" distL="0" distR="0" wp14:anchorId="029ED059" wp14:editId="295D318A">
                  <wp:extent cx="5532120" cy="5532120"/>
                  <wp:effectExtent l="0" t="0" r="0" b="0"/>
                  <wp:docPr id="2034688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2120" cy="5532120"/>
                          </a:xfrm>
                          <a:prstGeom prst="rect">
                            <a:avLst/>
                          </a:prstGeom>
                          <a:noFill/>
                          <a:ln>
                            <a:noFill/>
                          </a:ln>
                        </pic:spPr>
                      </pic:pic>
                    </a:graphicData>
                  </a:graphic>
                </wp:inline>
              </w:drawing>
            </w:r>
          </w:p>
          <w:p w14:paraId="04F1211D" w14:textId="1D77427D" w:rsidR="0038548F" w:rsidRDefault="0038548F" w:rsidP="00045088">
            <w:pPr>
              <w:spacing w:line="360" w:lineRule="auto"/>
            </w:pPr>
          </w:p>
        </w:tc>
      </w:tr>
      <w:tr w:rsidR="0038548F" w14:paraId="3D438F13" w14:textId="77777777" w:rsidTr="0038548F">
        <w:tc>
          <w:tcPr>
            <w:tcW w:w="9016" w:type="dxa"/>
          </w:tcPr>
          <w:p w14:paraId="7E23C4D8" w14:textId="3346D217" w:rsidR="0038548F" w:rsidRDefault="0038548F" w:rsidP="00045088">
            <w:pPr>
              <w:spacing w:line="360" w:lineRule="auto"/>
            </w:pPr>
            <w:r w:rsidRPr="00D86704">
              <w:rPr>
                <w:b/>
                <w:bCs/>
              </w:rPr>
              <w:t>Figure 3</w:t>
            </w:r>
            <w:r w:rsidR="009133AC">
              <w:t xml:space="preserve"> </w:t>
            </w:r>
            <w:r w:rsidR="009133AC" w:rsidRPr="00D86704">
              <w:rPr>
                <w:i/>
                <w:iCs/>
              </w:rPr>
              <w:t>(Top)</w:t>
            </w:r>
            <w:r w:rsidR="009133AC">
              <w:t xml:space="preserve"> Cover crop system had the largest impact on fall vegetation communities, with a minor impact of tillage system </w:t>
            </w:r>
            <w:r w:rsidR="009133AC" w:rsidRPr="00D86704">
              <w:rPr>
                <w:i/>
                <w:iCs/>
              </w:rPr>
              <w:t>(Bottom)</w:t>
            </w:r>
            <w:r w:rsidR="009133AC">
              <w:t xml:space="preserve"> Radish cover crop systems (RadM, RadL) had the highest potential ecosystem value, with the mixes (MixE, MixM) and NoCC systems having similarly low ecosystem value, due to a high percent</w:t>
            </w:r>
            <w:r w:rsidR="00D86704">
              <w:t xml:space="preserve"> coverage</w:t>
            </w:r>
            <w:r w:rsidR="009133AC">
              <w:t xml:space="preserve"> of low value crop volunteers</w:t>
            </w:r>
            <w:r w:rsidR="00D86704">
              <w:t xml:space="preserve"> in the community (see Figure 2). </w:t>
            </w:r>
            <w:r w:rsidR="009133AC">
              <w:t xml:space="preserve"> </w:t>
            </w:r>
          </w:p>
        </w:tc>
      </w:tr>
    </w:tbl>
    <w:p w14:paraId="1FF9CD11" w14:textId="77777777" w:rsidR="0038548F" w:rsidRDefault="0038548F" w:rsidP="00045088">
      <w:pPr>
        <w:spacing w:line="360" w:lineRule="auto"/>
      </w:pPr>
    </w:p>
    <w:p w14:paraId="7815ADC7" w14:textId="3AA6F56F" w:rsidR="00041F28" w:rsidRDefault="00B83835" w:rsidP="00045088">
      <w:pPr>
        <w:spacing w:line="360" w:lineRule="auto"/>
      </w:pPr>
      <w:r>
        <w:t xml:space="preserve">Year and cover crop treatment had significant impacts on the number of species observed in a community (p&lt;0.001). </w:t>
      </w:r>
      <w:r w:rsidR="006D5A73">
        <w:t xml:space="preserve">The number of species observed ranged from one to eight, with a mode of two in 2018 and three in 2019. </w:t>
      </w:r>
      <w:r>
        <w:t>The MixE community had 1</w:t>
      </w:r>
      <w:r w:rsidR="006804BA">
        <w:t>.</w:t>
      </w:r>
      <w:r>
        <w:t>4 (SE:</w:t>
      </w:r>
      <w:r w:rsidR="006804BA">
        <w:t>0.</w:t>
      </w:r>
      <w:r w:rsidR="006D5A73">
        <w:t>2</w:t>
      </w:r>
      <w:r w:rsidR="006804BA">
        <w:t xml:space="preserve">, </w:t>
      </w:r>
      <w:r w:rsidR="006804BA">
        <w:t>p=0.02</w:t>
      </w:r>
      <w:r>
        <w:t>) and 1</w:t>
      </w:r>
      <w:r w:rsidR="006804BA">
        <w:t>.</w:t>
      </w:r>
      <w:r>
        <w:t>5</w:t>
      </w:r>
      <w:r w:rsidR="006804BA">
        <w:t xml:space="preserve"> (SE:0.</w:t>
      </w:r>
      <w:r w:rsidR="006D5A73">
        <w:t>2</w:t>
      </w:r>
      <w:r w:rsidR="006804BA">
        <w:t xml:space="preserve">, </w:t>
      </w:r>
      <w:r w:rsidR="006804BA">
        <w:t>p&lt;0.001</w:t>
      </w:r>
      <w:r w:rsidR="006804BA">
        <w:t xml:space="preserve">) </w:t>
      </w:r>
      <w:r w:rsidR="006D5A73">
        <w:t xml:space="preserve">times </w:t>
      </w:r>
      <w:r w:rsidR="006804BA">
        <w:t xml:space="preserve">more species compared to the RadL and RadM communities, respectively, but the number of species in all other cover crop treatment comparisons were </w:t>
      </w:r>
      <w:r w:rsidR="006804BA">
        <w:lastRenderedPageBreak/>
        <w:t xml:space="preserve">not significantly different. </w:t>
      </w:r>
      <w:r w:rsidR="00041F28">
        <w:t>Radish species were estimated to have the highest ecological value</w:t>
      </w:r>
      <w:r w:rsidR="00602B25">
        <w:t xml:space="preserve"> while spring barley and spring oat volunteers had no value (supplemental material), resulting in treatments with high percent RAPSR coverage having the highest potential ecosystem value (Figure 3). While the mixes</w:t>
      </w:r>
      <w:r w:rsidR="00EC5CCC">
        <w:t>’ communities</w:t>
      </w:r>
      <w:r w:rsidR="00602B25">
        <w:t xml:space="preserve"> contained species with high ecological value</w:t>
      </w:r>
      <w:r w:rsidR="00EC5CCC">
        <w:t xml:space="preserve"> (e.g.</w:t>
      </w:r>
      <w:r w:rsidR="00602B25">
        <w:t xml:space="preserve">, </w:t>
      </w:r>
      <w:r w:rsidR="00EC5CCC">
        <w:t>TAROF, LAMSS)</w:t>
      </w:r>
      <w:r w:rsidR="00EC5CCC">
        <w:t xml:space="preserve"> that were absent in the radish systems, </w:t>
      </w:r>
      <w:r w:rsidR="00602B25">
        <w:t>the</w:t>
      </w:r>
      <w:r w:rsidR="00EC5CCC">
        <w:t>se high-value species had</w:t>
      </w:r>
      <w:r w:rsidR="00602B25">
        <w:t xml:space="preserve"> small contributions to the percent </w:t>
      </w:r>
      <w:proofErr w:type="gramStart"/>
      <w:r w:rsidR="00602B25">
        <w:t>coverage, and</w:t>
      </w:r>
      <w:proofErr w:type="gramEnd"/>
      <w:r w:rsidR="00602B25">
        <w:t xml:space="preserve"> therefore did not result in high estimated </w:t>
      </w:r>
      <w:r w:rsidR="009133AC">
        <w:t xml:space="preserve">ecosystem potential. </w:t>
      </w:r>
    </w:p>
    <w:p w14:paraId="198DB993" w14:textId="0C1D1C38" w:rsidR="00041F28" w:rsidRDefault="006D5A73" w:rsidP="00045088">
      <w:pPr>
        <w:spacing w:line="360" w:lineRule="auto"/>
      </w:pPr>
      <w:r>
        <w:t>---stopped</w:t>
      </w:r>
      <w:r w:rsidR="00CA2FBE">
        <w:t>!!!!!!!!!!!!!!!!!!!!!!!!!!!!!!!!!!!!!1</w:t>
      </w:r>
    </w:p>
    <w:p w14:paraId="19BD8C5C" w14:textId="5D08A97E" w:rsidR="007D24BE" w:rsidRDefault="007D24BE" w:rsidP="00045088">
      <w:pPr>
        <w:spacing w:line="360" w:lineRule="auto"/>
      </w:pPr>
      <w:r>
        <w:t>3.3 Spring weed counts</w:t>
      </w:r>
    </w:p>
    <w:p w14:paraId="6065DDDF" w14:textId="77777777" w:rsidR="007D24BE" w:rsidRDefault="007D24BE" w:rsidP="00045088">
      <w:pPr>
        <w:spacing w:line="360" w:lineRule="auto"/>
      </w:pPr>
    </w:p>
    <w:p w14:paraId="67D1238F" w14:textId="77777777" w:rsidR="007D24BE" w:rsidRDefault="007D24BE" w:rsidP="00045088">
      <w:pPr>
        <w:spacing w:line="360" w:lineRule="auto"/>
      </w:pPr>
    </w:p>
    <w:p w14:paraId="655D6CC9" w14:textId="77777777" w:rsidR="007D24BE" w:rsidRPr="00045088" w:rsidRDefault="007D24BE" w:rsidP="00045088">
      <w:pPr>
        <w:spacing w:line="360" w:lineRule="auto"/>
      </w:pPr>
    </w:p>
    <w:p w14:paraId="59045747" w14:textId="77777777" w:rsidR="00E1366F" w:rsidRPr="00045088" w:rsidRDefault="00E1366F" w:rsidP="00045088">
      <w:pPr>
        <w:spacing w:line="360" w:lineRule="auto"/>
      </w:pPr>
      <w:r w:rsidRPr="00045088">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w:t>
      </w:r>
      <w:r w:rsidRPr="00045088">
        <w:lastRenderedPageBreak/>
        <w:t xml:space="preserve">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Analyses of the cover of the four plant species in the boundary, crop edge and crop centre showed there were significant effects of the presence of the 6 m strip on A. sterilis in all three locations (Table 3).  Galium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proofErr w:type="gramStart"/>
      <w:r w:rsidRPr="003C7F19">
        <w:rPr>
          <w:b/>
          <w:bCs/>
        </w:rPr>
        <w:t>4  DISCUSSION</w:t>
      </w:r>
      <w:proofErr w:type="gramEnd"/>
    </w:p>
    <w:p w14:paraId="2B7D00A7" w14:textId="0FF60912" w:rsidR="0053182E" w:rsidRDefault="000347C5" w:rsidP="00045088">
      <w:pPr>
        <w:spacing w:line="360" w:lineRule="auto"/>
      </w:pPr>
      <w:r w:rsidRPr="00A75203">
        <w:t xml:space="preserve">The average grain yields of the present study were lower than national averages for the same crops in the same years [4.28 Mg ha-1 spring barley, 4.94 oats, and 4.08 Mg ha-1 faba bean, respectively </w:t>
      </w:r>
      <w:r w:rsidRPr="00A75203">
        <w:fldChar w:fldCharType="begin"/>
      </w:r>
      <w:r w:rsidRPr="00A75203">
        <w:instrText xml:space="preserve"> ADDIN ZOTERO_ITEM CSL_CITATION {"citationID":"E6tVRQcl","properties":{"formattedCitation":"(FAO, 2023)","plainCitation":"(FAO, 2023)","noteIndex":0},"citationItems":[{"id":1012,"uris":["http://zotero.org/users/3599437/items/JXEWLHKI"],"itemData":{"id":1012,"type":"dataset","publisher":"Food and Agriculture Organization of the United Nations","title":"Crop and Livestock Products","URL":"https://www.fao.org/faostat/en/#data/QCL","author":[{"family":"FAO","given":""}],"issued":{"date-parts":[["2023"]]}}}],"schema":"https://github.com/citation-style-language/schema/raw/master/csl-citation.json"} </w:instrText>
      </w:r>
      <w:r w:rsidRPr="00A75203">
        <w:fldChar w:fldCharType="separate"/>
      </w:r>
      <w:r w:rsidRPr="00A75203">
        <w:t>(FAO, 2023)</w:t>
      </w:r>
      <w:r w:rsidRPr="00A75203">
        <w:fldChar w:fldCharType="end"/>
      </w:r>
      <w:r w:rsidRPr="00A75203">
        <w:t>], but the maximum grain yields observed each year exceeded the national averages.</w:t>
      </w:r>
    </w:p>
    <w:p w14:paraId="055086BC" w14:textId="77777777" w:rsidR="000347C5" w:rsidRDefault="000347C5" w:rsidP="00045088">
      <w:pPr>
        <w:spacing w:line="360" w:lineRule="auto"/>
      </w:pPr>
    </w:p>
    <w:p w14:paraId="6B271877" w14:textId="77777777" w:rsidR="000347C5" w:rsidRPr="00045088" w:rsidRDefault="000347C5" w:rsidP="00045088">
      <w:pPr>
        <w:spacing w:line="360" w:lineRule="auto"/>
      </w:pPr>
    </w:p>
    <w:p w14:paraId="758ECCF3" w14:textId="77777777" w:rsidR="0053182E" w:rsidRPr="00045088" w:rsidRDefault="00E1366F" w:rsidP="00045088">
      <w:pPr>
        <w:spacing w:line="360" w:lineRule="auto"/>
      </w:pPr>
      <w:r w:rsidRPr="00045088">
        <w:lastRenderedPageBreak/>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w:t>
      </w:r>
      <w:proofErr w:type="gramStart"/>
      <w:r w:rsidR="0053182E" w:rsidRPr="00045088">
        <w:t>is a reflection of</w:t>
      </w:r>
      <w:proofErr w:type="gramEnd"/>
      <w:r w:rsidR="0053182E" w:rsidRPr="00045088">
        <w:t xml:space="preserve">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proofErr w:type="gramStart"/>
      <w:r w:rsidRPr="003C7F19">
        <w:rPr>
          <w:b/>
          <w:bCs/>
        </w:rPr>
        <w:t xml:space="preserve">4.1  </w:t>
      </w:r>
      <w:r w:rsidR="0053182E" w:rsidRPr="003C7F19">
        <w:rPr>
          <w:b/>
          <w:bCs/>
        </w:rPr>
        <w:t>Landscape</w:t>
      </w:r>
      <w:proofErr w:type="gramEnd"/>
      <w:r w:rsidR="0053182E" w:rsidRPr="003C7F19">
        <w:rPr>
          <w:b/>
          <w:bCs/>
        </w:rPr>
        <w:t>,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w:t>
      </w:r>
      <w:proofErr w:type="gramStart"/>
      <w:r w:rsidRPr="00045088">
        <w:t>recorded</w:t>
      </w:r>
      <w:proofErr w:type="gramEnd"/>
      <w:r w:rsidRPr="00045088">
        <w:t xml:space="preserve">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w:t>
      </w:r>
      <w:r w:rsidRPr="00045088">
        <w:lastRenderedPageBreak/>
        <w:t xml:space="preserve">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proofErr w:type="gramStart"/>
      <w:r w:rsidRPr="003C7F19">
        <w:rPr>
          <w:b/>
          <w:bCs/>
        </w:rPr>
        <w:t>5  CONCLUSIONS</w:t>
      </w:r>
      <w:proofErr w:type="gramEnd"/>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species are known to occur in the seedbank at field edges.  Field size and 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 xml:space="preserve">Under </w:t>
      </w:r>
      <w:proofErr w:type="gramStart"/>
      <w:r w:rsidRPr="00045088">
        <w:t>Acknowledgements</w:t>
      </w:r>
      <w:proofErr w:type="gramEnd"/>
      <w:r w:rsidRPr="00045088">
        <w:t xml:space="preserve">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0" w:name="_Hlk35339040"/>
    </w:p>
    <w:p w14:paraId="6F70A4C5" w14:textId="0FD83ED7" w:rsidR="003C7F19" w:rsidRDefault="003C7F19" w:rsidP="003C7F19">
      <w:pPr>
        <w:spacing w:line="360" w:lineRule="auto"/>
      </w:pPr>
      <w:r>
        <w:t xml:space="preserve">The Journal follows the Harvard reference style. In the text, cite authors' names followed by the date of publication, e.g. in the text Author and Author (1994) or in parentheses (Author and Author, 1994). Where there are three or more authors, the first author's name followed by </w:t>
      </w:r>
      <w:r>
        <w:lastRenderedPageBreak/>
        <w:t xml:space="preserve">et al. will suffice. Where more than one reference is </w:t>
      </w:r>
      <w:proofErr w:type="gramStart"/>
      <w:r>
        <w:t>cited</w:t>
      </w:r>
      <w:proofErr w:type="gramEnd"/>
      <w:r>
        <w:t xml:space="preserve"> they should be listed in chronological order. References to unpublished work should be cited only in the text as 'A. Author pers. comm.' or 'A. Author unpubl.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1"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Place: 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1"/>
      <w:r w:rsidRPr="00045088">
        <w:br/>
      </w:r>
      <w:bookmarkEnd w:id="10"/>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5"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t xml:space="preserve">Reference Manager reference styles can be searched for here: </w:t>
      </w:r>
      <w:hyperlink r:id="rId16"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lastRenderedPageBreak/>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A. myosuroides</w:t>
      </w:r>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Radbrook (b) Haversham, (c) Harpenden, (d) Redbourn, (e) Ivinghoe, soil moisture is gravimetric in all cases except Radbrook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w:t>
      </w:r>
      <w:proofErr w:type="gramStart"/>
      <w:r w:rsidR="00E1366F" w:rsidRPr="00D00706">
        <w:rPr>
          <w:b/>
          <w:bCs/>
        </w:rPr>
        <w:t>1</w:t>
      </w:r>
      <w:r w:rsidR="00E1366F" w:rsidRPr="00045088">
        <w:t xml:space="preserve">  Canonical</w:t>
      </w:r>
      <w:proofErr w:type="gramEnd"/>
      <w:r w:rsidR="00E1366F" w:rsidRPr="00045088">
        <w:t xml:space="preserve">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7"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w:t>
      </w:r>
      <w:proofErr w:type="gramStart"/>
      <w:r w:rsidRPr="00045088">
        <w:t>to</w:t>
      </w:r>
      <w:proofErr w:type="gramEnd"/>
      <w:r w:rsidRPr="00045088">
        <w:t xml:space="preserve">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w:t>
      </w:r>
      <w:proofErr w:type="gramStart"/>
      <w:r w:rsidR="0053182E" w:rsidRPr="00D00706">
        <w:rPr>
          <w:b/>
          <w:bCs/>
        </w:rPr>
        <w:t>1</w:t>
      </w:r>
      <w:r w:rsidR="0053182E" w:rsidRPr="00045088">
        <w:t xml:space="preserve">  Mean</w:t>
      </w:r>
      <w:proofErr w:type="gramEnd"/>
      <w:r w:rsidR="0053182E" w:rsidRPr="00045088">
        <w:t xml:space="preserve">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 xml:space="preserve">No. pesticide (a.i.)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w:t>
      </w:r>
      <w:proofErr w:type="gramStart"/>
      <w:r w:rsidRPr="00D00706">
        <w:rPr>
          <w:b/>
          <w:bCs/>
        </w:rPr>
        <w:t>2</w:t>
      </w:r>
      <w:r w:rsidRPr="00045088">
        <w:t xml:space="preserve">  Plant</w:t>
      </w:r>
      <w:proofErr w:type="gramEnd"/>
      <w:r w:rsidRPr="00045088">
        <w:t xml:space="preserve">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proofErr w:type="gramStart"/>
      <w:r w:rsidRPr="00045088">
        <w:t>Overall</w:t>
      </w:r>
      <w:proofErr w:type="gramEnd"/>
      <w:r w:rsidRPr="00045088">
        <w:t xml:space="preserve">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19"/>
      <w:footerReference w:type="default" r:id="rId20"/>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10-09T11:17:00Z" w:initials="VN">
    <w:p w14:paraId="38CB2CE0" w14:textId="77777777" w:rsidR="000043B8" w:rsidRDefault="000043B8" w:rsidP="000043B8">
      <w:pPr>
        <w:pStyle w:val="CommentText"/>
      </w:pPr>
      <w:r>
        <w:rPr>
          <w:rStyle w:val="CommentReference"/>
        </w:rPr>
        <w:annotationRef/>
      </w:r>
      <w:r>
        <w:t>Can I condense this?</w:t>
      </w:r>
    </w:p>
  </w:comment>
  <w:comment w:id="2" w:author="Virginia Anne Nichols" w:date="2025-01-30T21:16:00Z" w:initials="VN">
    <w:p w14:paraId="03CF345F" w14:textId="4581225E"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3"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4"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5"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1D7A512E" w14:textId="77777777" w:rsidR="000043B8" w:rsidRDefault="001A455C" w:rsidP="000043B8">
      <w:pPr>
        <w:pStyle w:val="CommentText"/>
      </w:pPr>
      <w:r>
        <w:rPr>
          <w:rStyle w:val="CommentReference"/>
        </w:rPr>
        <w:annotationRef/>
      </w:r>
      <w:r w:rsidR="000043B8">
        <w:t>Were faba beans also planted in 17.5 row spacings in no-till/surface and 12.5 in the inv tillage?</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CB2CE0" w15:done="0"/>
  <w15:commentEx w15:paraId="03CF345F" w15:done="0"/>
  <w15:commentEx w15:paraId="078FEAD5" w15:done="0"/>
  <w15:commentEx w15:paraId="37309398" w15:done="0"/>
  <w15:commentEx w15:paraId="5D9AFA1F" w15:done="0"/>
  <w15:commentEx w15:paraId="1D7A512E"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EE959A8" w16cex:dateUtc="2025-10-09T09:17:00Z"/>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CB2CE0" w16cid:durableId="0EE959A8"/>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B52F4" w14:textId="77777777" w:rsidR="001E79BC" w:rsidRDefault="001E79BC">
      <w:r>
        <w:separator/>
      </w:r>
    </w:p>
  </w:endnote>
  <w:endnote w:type="continuationSeparator" w:id="0">
    <w:p w14:paraId="748B063C" w14:textId="77777777" w:rsidR="001E79BC" w:rsidRDefault="001E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1EF23" w14:textId="77777777" w:rsidR="001E79BC" w:rsidRDefault="001E79BC">
      <w:r>
        <w:separator/>
      </w:r>
    </w:p>
  </w:footnote>
  <w:footnote w:type="continuationSeparator" w:id="0">
    <w:p w14:paraId="41C66192" w14:textId="77777777" w:rsidR="001E79BC" w:rsidRDefault="001E7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043B8"/>
    <w:rsid w:val="000347C5"/>
    <w:rsid w:val="00041F28"/>
    <w:rsid w:val="00045088"/>
    <w:rsid w:val="00057203"/>
    <w:rsid w:val="000B7E46"/>
    <w:rsid w:val="000C25A5"/>
    <w:rsid w:val="00126F2F"/>
    <w:rsid w:val="00197824"/>
    <w:rsid w:val="001A00CE"/>
    <w:rsid w:val="001A1339"/>
    <w:rsid w:val="001A455C"/>
    <w:rsid w:val="001B5010"/>
    <w:rsid w:val="001C52EB"/>
    <w:rsid w:val="001C7E86"/>
    <w:rsid w:val="001C7F6C"/>
    <w:rsid w:val="001E79BC"/>
    <w:rsid w:val="001F07F6"/>
    <w:rsid w:val="0022360D"/>
    <w:rsid w:val="00226AAF"/>
    <w:rsid w:val="002314A6"/>
    <w:rsid w:val="00231E9B"/>
    <w:rsid w:val="00274552"/>
    <w:rsid w:val="00276F65"/>
    <w:rsid w:val="002A08AE"/>
    <w:rsid w:val="002A5F86"/>
    <w:rsid w:val="002B6F1A"/>
    <w:rsid w:val="002C160E"/>
    <w:rsid w:val="002F485B"/>
    <w:rsid w:val="003479FB"/>
    <w:rsid w:val="00381089"/>
    <w:rsid w:val="0038548F"/>
    <w:rsid w:val="003C7F19"/>
    <w:rsid w:val="003E7CBF"/>
    <w:rsid w:val="00402490"/>
    <w:rsid w:val="00434E4D"/>
    <w:rsid w:val="00462BFF"/>
    <w:rsid w:val="004C06F7"/>
    <w:rsid w:val="004E1E8C"/>
    <w:rsid w:val="004F47C3"/>
    <w:rsid w:val="0053182E"/>
    <w:rsid w:val="00583A92"/>
    <w:rsid w:val="005B774F"/>
    <w:rsid w:val="005C0BB4"/>
    <w:rsid w:val="005F1FF2"/>
    <w:rsid w:val="00602B25"/>
    <w:rsid w:val="00604776"/>
    <w:rsid w:val="006067D9"/>
    <w:rsid w:val="00614437"/>
    <w:rsid w:val="0062645F"/>
    <w:rsid w:val="006804BA"/>
    <w:rsid w:val="00680EF7"/>
    <w:rsid w:val="00686048"/>
    <w:rsid w:val="006B4AC3"/>
    <w:rsid w:val="006C04E3"/>
    <w:rsid w:val="006C3DC0"/>
    <w:rsid w:val="006D5A73"/>
    <w:rsid w:val="006E36A2"/>
    <w:rsid w:val="006F3CE0"/>
    <w:rsid w:val="006F54D7"/>
    <w:rsid w:val="00733FC7"/>
    <w:rsid w:val="00763F20"/>
    <w:rsid w:val="007B00DA"/>
    <w:rsid w:val="007B2BE5"/>
    <w:rsid w:val="007C2B45"/>
    <w:rsid w:val="007D24BE"/>
    <w:rsid w:val="00802EF3"/>
    <w:rsid w:val="008141BB"/>
    <w:rsid w:val="008302FF"/>
    <w:rsid w:val="00842881"/>
    <w:rsid w:val="008877EC"/>
    <w:rsid w:val="008A45D0"/>
    <w:rsid w:val="008B07A4"/>
    <w:rsid w:val="008C1C95"/>
    <w:rsid w:val="008D2724"/>
    <w:rsid w:val="008E0AD1"/>
    <w:rsid w:val="009133AC"/>
    <w:rsid w:val="009432A7"/>
    <w:rsid w:val="00950EEA"/>
    <w:rsid w:val="00953C94"/>
    <w:rsid w:val="009915C2"/>
    <w:rsid w:val="009A3A5B"/>
    <w:rsid w:val="009A55B2"/>
    <w:rsid w:val="009A7EA2"/>
    <w:rsid w:val="009D06A0"/>
    <w:rsid w:val="00A20044"/>
    <w:rsid w:val="00A20B07"/>
    <w:rsid w:val="00A31C4F"/>
    <w:rsid w:val="00A62539"/>
    <w:rsid w:val="00A75203"/>
    <w:rsid w:val="00A90095"/>
    <w:rsid w:val="00A935FC"/>
    <w:rsid w:val="00AA2DBB"/>
    <w:rsid w:val="00AC574D"/>
    <w:rsid w:val="00AC6691"/>
    <w:rsid w:val="00AD04C7"/>
    <w:rsid w:val="00AE1EFC"/>
    <w:rsid w:val="00AF348D"/>
    <w:rsid w:val="00AF5044"/>
    <w:rsid w:val="00B2115D"/>
    <w:rsid w:val="00B76139"/>
    <w:rsid w:val="00B83835"/>
    <w:rsid w:val="00BA7F3D"/>
    <w:rsid w:val="00BB220E"/>
    <w:rsid w:val="00BD2394"/>
    <w:rsid w:val="00BF3618"/>
    <w:rsid w:val="00C10FAD"/>
    <w:rsid w:val="00C16073"/>
    <w:rsid w:val="00C23509"/>
    <w:rsid w:val="00C33AD4"/>
    <w:rsid w:val="00CA2FBE"/>
    <w:rsid w:val="00CB1BFB"/>
    <w:rsid w:val="00CC097D"/>
    <w:rsid w:val="00CC1AAD"/>
    <w:rsid w:val="00CC6C30"/>
    <w:rsid w:val="00CD19F2"/>
    <w:rsid w:val="00CD7E08"/>
    <w:rsid w:val="00CF198B"/>
    <w:rsid w:val="00CF1E52"/>
    <w:rsid w:val="00CF32A9"/>
    <w:rsid w:val="00D00706"/>
    <w:rsid w:val="00D066A5"/>
    <w:rsid w:val="00D34E34"/>
    <w:rsid w:val="00D52562"/>
    <w:rsid w:val="00D86704"/>
    <w:rsid w:val="00DA570F"/>
    <w:rsid w:val="00DB07CC"/>
    <w:rsid w:val="00DC3E09"/>
    <w:rsid w:val="00DC7880"/>
    <w:rsid w:val="00DE4D97"/>
    <w:rsid w:val="00DF07E9"/>
    <w:rsid w:val="00E1366F"/>
    <w:rsid w:val="00E41219"/>
    <w:rsid w:val="00E75CD1"/>
    <w:rsid w:val="00EA5B2A"/>
    <w:rsid w:val="00EA65A3"/>
    <w:rsid w:val="00EC5CCC"/>
    <w:rsid w:val="00EE1254"/>
    <w:rsid w:val="00F07C2C"/>
    <w:rsid w:val="00F36B54"/>
    <w:rsid w:val="00F87470"/>
    <w:rsid w:val="00F949F1"/>
    <w:rsid w:val="00FC4A4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C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399720000">
      <w:bodyDiv w:val="1"/>
      <w:marLeft w:val="0"/>
      <w:marRight w:val="0"/>
      <w:marTop w:val="0"/>
      <w:marBottom w:val="0"/>
      <w:divBdr>
        <w:top w:val="none" w:sz="0" w:space="0" w:color="auto"/>
        <w:left w:val="none" w:sz="0" w:space="0" w:color="auto"/>
        <w:bottom w:val="none" w:sz="0" w:space="0" w:color="auto"/>
        <w:right w:val="none" w:sz="0" w:space="0" w:color="auto"/>
      </w:divBdr>
    </w:div>
    <w:div w:id="460850376">
      <w:bodyDiv w:val="1"/>
      <w:marLeft w:val="0"/>
      <w:marRight w:val="0"/>
      <w:marTop w:val="0"/>
      <w:marBottom w:val="0"/>
      <w:divBdr>
        <w:top w:val="none" w:sz="0" w:space="0" w:color="auto"/>
        <w:left w:val="none" w:sz="0" w:space="0" w:color="auto"/>
        <w:bottom w:val="none" w:sz="0" w:space="0" w:color="auto"/>
        <w:right w:val="none" w:sz="0" w:space="0" w:color="auto"/>
      </w:divBdr>
    </w:div>
    <w:div w:id="594561861">
      <w:bodyDiv w:val="1"/>
      <w:marLeft w:val="0"/>
      <w:marRight w:val="0"/>
      <w:marTop w:val="0"/>
      <w:marBottom w:val="0"/>
      <w:divBdr>
        <w:top w:val="none" w:sz="0" w:space="0" w:color="auto"/>
        <w:left w:val="none" w:sz="0" w:space="0" w:color="auto"/>
        <w:bottom w:val="none" w:sz="0" w:space="0" w:color="auto"/>
        <w:right w:val="none" w:sz="0" w:space="0" w:color="auto"/>
      </w:divBdr>
    </w:div>
    <w:div w:id="742219096">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na.nichols@agro.au.dk" TargetMode="External"/><Relationship Id="rId12" Type="http://schemas.openxmlformats.org/officeDocument/2006/relationships/image" Target="media/image1.png"/><Relationship Id="rId17" Type="http://schemas.openxmlformats.org/officeDocument/2006/relationships/hyperlink" Target="http://media.wiley.com/assets/7130/52/SN_Sub2000_X_CoW.pdf" TargetMode="External"/><Relationship Id="rId2" Type="http://schemas.openxmlformats.org/officeDocument/2006/relationships/styles" Target="styles.xml"/><Relationship Id="rId16" Type="http://schemas.openxmlformats.org/officeDocument/2006/relationships/hyperlink" Target="http://www.refman.com/support/rmstyles.as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www.endnote.com/support/enstyles.asp"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416</TotalTime>
  <Pages>23</Pages>
  <Words>11641</Words>
  <Characters>71017</Characters>
  <Application>Microsoft Office Word</Application>
  <DocSecurity>0</DocSecurity>
  <Lines>591</Lines>
  <Paragraphs>164</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82494</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15</cp:revision>
  <cp:lastPrinted>2020-05-11T07:49:00Z</cp:lastPrinted>
  <dcterms:created xsi:type="dcterms:W3CDTF">2025-08-28T09:09:00Z</dcterms:created>
  <dcterms:modified xsi:type="dcterms:W3CDTF">2025-10-09T11:29:00Z</dcterms:modified>
</cp:coreProperties>
</file>