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FBB95" w14:textId="28ED1B9A" w:rsidR="00871A14" w:rsidRDefault="00871A14" w:rsidP="00871A14">
      <w:pPr>
        <w:pStyle w:val="Heading1"/>
        <w:rPr>
          <w:lang w:val="en-US"/>
        </w:rPr>
      </w:pPr>
      <w:r>
        <w:rPr>
          <w:lang w:val="en-US"/>
        </w:rPr>
        <w:t>Materials and Methods</w:t>
      </w:r>
    </w:p>
    <w:p w14:paraId="57E2718D" w14:textId="6BE6690E" w:rsidR="00CA5A70" w:rsidRDefault="00CA5A70" w:rsidP="00871A14">
      <w:pPr>
        <w:pStyle w:val="Heading2"/>
        <w:rPr>
          <w:lang w:val="en-US"/>
        </w:rPr>
      </w:pPr>
      <w:r>
        <w:rPr>
          <w:lang w:val="en-US"/>
        </w:rPr>
        <w:t>Field management</w:t>
      </w:r>
    </w:p>
    <w:p w14:paraId="59775364" w14:textId="5FBFAA55" w:rsidR="001A50D8" w:rsidRDefault="00186B99" w:rsidP="00186B99">
      <w:pPr>
        <w:rPr>
          <w:lang w:val="en-US"/>
        </w:rPr>
      </w:pPr>
      <w:r w:rsidRPr="00186B99">
        <w:rPr>
          <w:lang w:val="en-US"/>
        </w:rPr>
        <w:t>Th</w:t>
      </w:r>
      <w:r w:rsidRPr="001A50D8">
        <w:rPr>
          <w:lang w:val="en-US"/>
        </w:rPr>
        <w:t xml:space="preserve">is study was conducted within a larger </w:t>
      </w:r>
      <w:r w:rsidR="001A50D8">
        <w:rPr>
          <w:lang w:val="en-US"/>
        </w:rPr>
        <w:t xml:space="preserve">experiment </w:t>
      </w:r>
      <w:r w:rsidR="004D04B2">
        <w:rPr>
          <w:lang w:val="en-US"/>
        </w:rPr>
        <w:t xml:space="preserve">which was established in 2002 on </w:t>
      </w:r>
      <w:r w:rsidR="00404FB1">
        <w:rPr>
          <w:lang w:val="en-US"/>
        </w:rPr>
        <w:t xml:space="preserve">a sandy loam </w:t>
      </w:r>
      <w:r w:rsidRPr="001A50D8">
        <w:rPr>
          <w:lang w:val="en-US"/>
        </w:rPr>
        <w:t>near Flakkebjerg</w:t>
      </w:r>
      <w:r w:rsidR="001A50D8" w:rsidRPr="001A50D8">
        <w:rPr>
          <w:lang w:val="en-US"/>
        </w:rPr>
        <w:t>, Denmark (</w:t>
      </w:r>
      <w:r w:rsidR="001A50D8" w:rsidRPr="001A50D8">
        <w:rPr>
          <w:lang w:val="en-US"/>
        </w:rPr>
        <w:t>55.317</w:t>
      </w:r>
      <w:r w:rsidR="001A50D8" w:rsidRPr="001A50D8">
        <w:rPr>
          <w:lang w:val="en-US"/>
        </w:rPr>
        <w:t xml:space="preserve">, </w:t>
      </w:r>
      <w:r w:rsidR="001A50D8" w:rsidRPr="001A50D8">
        <w:rPr>
          <w:lang w:val="en-US"/>
        </w:rPr>
        <w:t>11.400</w:t>
      </w:r>
      <w:r w:rsidR="001A50D8" w:rsidRPr="001A50D8">
        <w:rPr>
          <w:lang w:val="en-US"/>
        </w:rPr>
        <w:t>)</w:t>
      </w:r>
      <w:r w:rsidR="001A50D8">
        <w:rPr>
          <w:lang w:val="en-US"/>
        </w:rPr>
        <w:t xml:space="preserve">. </w:t>
      </w:r>
      <w:r w:rsidR="004D04B2" w:rsidRPr="004D04B2">
        <w:rPr>
          <w:color w:val="FF0000"/>
          <w:lang w:val="en-US"/>
        </w:rPr>
        <w:t>In total, the experimental footprint covered XX ha.</w:t>
      </w:r>
      <w:r w:rsidR="004D04B2">
        <w:rPr>
          <w:color w:val="FF0000"/>
          <w:lang w:val="en-US"/>
        </w:rPr>
        <w:t xml:space="preserve"> Averaged across the site</w:t>
      </w:r>
      <w:r w:rsidR="00404FB1">
        <w:rPr>
          <w:lang w:val="en-US"/>
        </w:rPr>
        <w:t xml:space="preserve">, </w:t>
      </w:r>
      <w:commentRangeStart w:id="0"/>
      <w:r w:rsidR="004D04B2">
        <w:rPr>
          <w:lang w:val="en-US"/>
        </w:rPr>
        <w:t>soil texture was</w:t>
      </w:r>
      <w:r w:rsidR="00404FB1">
        <w:rPr>
          <w:lang w:val="en-US"/>
        </w:rPr>
        <w:t xml:space="preserve"> </w:t>
      </w:r>
      <w:r w:rsidR="00507EFC">
        <w:rPr>
          <w:lang w:val="en-US"/>
        </w:rPr>
        <w:t>14.7% clay (&lt;2 mm), 13.7% silt (2-20 mm), 42.6% fine sand (20-200 mm), and 27% coarse sand (</w:t>
      </w:r>
      <w:r w:rsidR="00404FB1">
        <w:rPr>
          <w:lang w:val="en-US"/>
        </w:rPr>
        <w:t>200-2000 mm)</w:t>
      </w:r>
      <w:r w:rsidR="001A50D8">
        <w:rPr>
          <w:lang w:val="en-US"/>
        </w:rPr>
        <w:t xml:space="preserve">, with </w:t>
      </w:r>
      <w:r w:rsidR="00507EFC">
        <w:rPr>
          <w:lang w:val="en-US"/>
        </w:rPr>
        <w:t xml:space="preserve">1.2% </w:t>
      </w:r>
      <w:r w:rsidR="001A50D8">
        <w:rPr>
          <w:lang w:val="en-US"/>
        </w:rPr>
        <w:t>organic carbon content</w:t>
      </w:r>
      <w:r w:rsidR="00507EFC">
        <w:rPr>
          <w:lang w:val="en-US"/>
        </w:rPr>
        <w:t xml:space="preserve"> </w:t>
      </w:r>
      <w:r w:rsidR="001A50D8">
        <w:rPr>
          <w:lang w:val="en-US"/>
        </w:rPr>
        <w:t>(0-25 cm)</w:t>
      </w:r>
      <w:r w:rsidR="00404FB1">
        <w:rPr>
          <w:lang w:val="en-US"/>
        </w:rPr>
        <w:t>.</w:t>
      </w:r>
      <w:commentRangeEnd w:id="0"/>
      <w:r w:rsidR="00005CB2">
        <w:rPr>
          <w:rStyle w:val="CommentReference"/>
        </w:rPr>
        <w:commentReference w:id="0"/>
      </w:r>
      <w:r w:rsidR="00404FB1">
        <w:rPr>
          <w:lang w:val="en-US"/>
        </w:rPr>
        <w:t xml:space="preserve"> </w:t>
      </w:r>
    </w:p>
    <w:p w14:paraId="55EC0063" w14:textId="5637BB26" w:rsidR="00EA03AB" w:rsidRDefault="00EA03AB" w:rsidP="002722ED">
      <w:pPr>
        <w:rPr>
          <w:lang w:val="en-US"/>
        </w:rPr>
      </w:pPr>
      <w:r>
        <w:rPr>
          <w:lang w:val="en-US"/>
        </w:rPr>
        <w:t xml:space="preserve">Weather data </w:t>
      </w:r>
      <w:r w:rsidR="002722ED">
        <w:rPr>
          <w:lang w:val="en-US"/>
        </w:rPr>
        <w:t>was obtained from the</w:t>
      </w:r>
      <w:r>
        <w:rPr>
          <w:lang w:val="en-US"/>
        </w:rPr>
        <w:t xml:space="preserve"> </w:t>
      </w:r>
      <w:r w:rsidR="002722ED" w:rsidRPr="00EA03AB">
        <w:rPr>
          <w:lang w:val="en-US"/>
        </w:rPr>
        <w:t>Danish Meteorological Institute's (DMI) Open Data API</w:t>
      </w:r>
      <w:r w:rsidR="002722ED">
        <w:rPr>
          <w:lang w:val="en-US"/>
        </w:rPr>
        <w:t xml:space="preserve"> for the Flakkebjerg station (55.322, 11.388). The 30-year (1990-2020) mean annual temperature and precipitation </w:t>
      </w:r>
      <w:r w:rsidR="00FC4190">
        <w:rPr>
          <w:lang w:val="en-US"/>
        </w:rPr>
        <w:t xml:space="preserve">for the site are </w:t>
      </w:r>
      <w:r w:rsidR="002722ED">
        <w:rPr>
          <w:lang w:val="en-US"/>
        </w:rPr>
        <w:t xml:space="preserve">8.9 degrees </w:t>
      </w:r>
      <w:r w:rsidR="00FC4190">
        <w:rPr>
          <w:lang w:val="en-US"/>
        </w:rPr>
        <w:t>Celsius</w:t>
      </w:r>
      <w:r w:rsidR="002722ED">
        <w:rPr>
          <w:lang w:val="en-US"/>
        </w:rPr>
        <w:t xml:space="preserve"> and 589 mm, respectively. </w:t>
      </w:r>
    </w:p>
    <w:p w14:paraId="3FA0B56D" w14:textId="40F4C21F" w:rsidR="00D85055" w:rsidRDefault="00286562" w:rsidP="00D85055">
      <w:pPr>
        <w:rPr>
          <w:lang w:val="en-US"/>
        </w:rPr>
      </w:pPr>
      <w:r>
        <w:rPr>
          <w:lang w:val="en-US"/>
        </w:rPr>
        <w:t xml:space="preserve">The experimental design was a split-split plot with four replications. </w:t>
      </w:r>
      <w:r w:rsidR="00FC4190">
        <w:rPr>
          <w:lang w:val="en-US"/>
        </w:rPr>
        <w:t xml:space="preserve">The main plot factor was </w:t>
      </w:r>
      <w:r>
        <w:rPr>
          <w:lang w:val="en-US"/>
        </w:rPr>
        <w:t xml:space="preserve">straw management (remove or retain). </w:t>
      </w:r>
      <w:r w:rsidR="00ED4D4D">
        <w:rPr>
          <w:lang w:val="en-US"/>
        </w:rPr>
        <w:t xml:space="preserve">Subplots consisted of three randomly assigned tillage treatments within each main plot. </w:t>
      </w:r>
      <w:proofErr w:type="gramStart"/>
      <w:r w:rsidR="00ED4D4D">
        <w:rPr>
          <w:lang w:val="en-US"/>
        </w:rPr>
        <w:t>Subplots</w:t>
      </w:r>
      <w:proofErr w:type="gramEnd"/>
      <w:r w:rsidR="00ED4D4D">
        <w:rPr>
          <w:lang w:val="en-US"/>
        </w:rPr>
        <w:t xml:space="preserve"> were 5 meters wide and 40 m long</w:t>
      </w:r>
      <w:r w:rsidR="00DE3BD7">
        <w:rPr>
          <w:lang w:val="en-US"/>
        </w:rPr>
        <w:t xml:space="preserve">. </w:t>
      </w:r>
      <w:r w:rsidR="00ED4D4D">
        <w:rPr>
          <w:lang w:val="en-US"/>
        </w:rPr>
        <w:t xml:space="preserve">Each tillage sub-plot was divided into two columns with three sub-subplots </w:t>
      </w:r>
      <w:r w:rsidR="004F4555">
        <w:rPr>
          <w:lang w:val="en-US"/>
        </w:rPr>
        <w:t xml:space="preserve">arranged within each column for a total of six sub-subplots that were </w:t>
      </w:r>
      <w:r w:rsidR="00DE3BD7">
        <w:rPr>
          <w:lang w:val="en-US"/>
        </w:rPr>
        <w:t>2.5 m wide and 12.5 m</w:t>
      </w:r>
      <w:r w:rsidR="004F4555">
        <w:rPr>
          <w:lang w:val="en-US"/>
        </w:rPr>
        <w:t xml:space="preserve"> long. </w:t>
      </w:r>
      <w:r w:rsidR="00EB1201">
        <w:rPr>
          <w:lang w:val="en-US"/>
        </w:rPr>
        <w:t xml:space="preserve">One sub-subplot was reserved, resulting in two straw treatments, three tillage treatments, and five cover crop treatments for a total of 30 treatments. </w:t>
      </w:r>
      <w:r w:rsidR="00D85055">
        <w:rPr>
          <w:lang w:val="en-US"/>
        </w:rPr>
        <w:t xml:space="preserve">A visual aid representing the experiment is available in supplemental material. </w:t>
      </w:r>
    </w:p>
    <w:p w14:paraId="30BFAAB5" w14:textId="7EDD3B31" w:rsidR="00325130" w:rsidRDefault="00EB1201" w:rsidP="00325130">
      <w:pPr>
        <w:rPr>
          <w:lang w:val="en-US"/>
        </w:rPr>
      </w:pPr>
      <w:r>
        <w:rPr>
          <w:lang w:val="en-US"/>
        </w:rPr>
        <w:t xml:space="preserve">The same straw managements and categorical </w:t>
      </w:r>
      <w:r w:rsidR="00325130">
        <w:rPr>
          <w:lang w:val="en-US"/>
        </w:rPr>
        <w:t xml:space="preserve">tillage treatments </w:t>
      </w:r>
      <w:r>
        <w:rPr>
          <w:lang w:val="en-US"/>
        </w:rPr>
        <w:t>(</w:t>
      </w:r>
      <w:r w:rsidR="00D85055">
        <w:rPr>
          <w:lang w:val="en-US"/>
        </w:rPr>
        <w:t xml:space="preserve">no </w:t>
      </w:r>
      <w:r w:rsidR="00325130">
        <w:rPr>
          <w:lang w:val="en-US"/>
        </w:rPr>
        <w:t>tillage, non-inversion tillage, and inversion tillage</w:t>
      </w:r>
      <w:r>
        <w:rPr>
          <w:lang w:val="en-US"/>
        </w:rPr>
        <w:t>)</w:t>
      </w:r>
      <w:r w:rsidR="00325130">
        <w:rPr>
          <w:lang w:val="en-US"/>
        </w:rPr>
        <w:t xml:space="preserve"> have been in</w:t>
      </w:r>
      <w:r>
        <w:rPr>
          <w:lang w:val="en-US"/>
        </w:rPr>
        <w:t xml:space="preserve"> the same sub-plots</w:t>
      </w:r>
      <w:r w:rsidR="00325130">
        <w:rPr>
          <w:lang w:val="en-US"/>
        </w:rPr>
        <w:t xml:space="preserve"> since 2002, but the exact machinery used to achieve each tillage treatment has varied</w:t>
      </w:r>
      <w:r>
        <w:rPr>
          <w:lang w:val="en-US"/>
        </w:rPr>
        <w:t xml:space="preserve"> over the years</w:t>
      </w:r>
      <w:r w:rsidR="00325130">
        <w:rPr>
          <w:lang w:val="en-US"/>
        </w:rPr>
        <w:t xml:space="preserve">. </w:t>
      </w:r>
      <w:commentRangeStart w:id="1"/>
      <w:r w:rsidR="00325130">
        <w:rPr>
          <w:lang w:val="en-US"/>
        </w:rPr>
        <w:t>For the timeframe of th</w:t>
      </w:r>
      <w:r w:rsidR="00005CB2">
        <w:rPr>
          <w:lang w:val="en-US"/>
        </w:rPr>
        <w:t>e present</w:t>
      </w:r>
      <w:r w:rsidR="00325130">
        <w:rPr>
          <w:lang w:val="en-US"/>
        </w:rPr>
        <w:t xml:space="preserve"> experiment</w:t>
      </w:r>
      <w:r w:rsidR="00005CB2">
        <w:rPr>
          <w:lang w:val="en-US"/>
        </w:rPr>
        <w:t xml:space="preserve"> (2018-2020)</w:t>
      </w:r>
      <w:r w:rsidR="00325130">
        <w:rPr>
          <w:lang w:val="en-US"/>
        </w:rPr>
        <w:t>, non-inversion tillage con</w:t>
      </w:r>
      <w:r w:rsidR="00325130" w:rsidRPr="00325130">
        <w:rPr>
          <w:lang w:val="en-US"/>
        </w:rPr>
        <w:t xml:space="preserve">sisted of one pass of a </w:t>
      </w:r>
      <w:r w:rsidR="00325130" w:rsidRPr="00186B99">
        <w:rPr>
          <w:lang w:val="en-US"/>
        </w:rPr>
        <w:t>rotary harrow (Bomford Dyna</w:t>
      </w:r>
      <w:r w:rsidR="00325130" w:rsidRPr="00325130">
        <w:rPr>
          <w:lang w:val="en-US"/>
        </w:rPr>
        <w:t xml:space="preserve"> </w:t>
      </w:r>
      <w:r w:rsidR="00325130" w:rsidRPr="00186B99">
        <w:rPr>
          <w:lang w:val="en-US"/>
        </w:rPr>
        <w:t>Drive</w:t>
      </w:r>
      <w:r w:rsidR="00325130">
        <w:rPr>
          <w:lang w:val="en-US"/>
        </w:rPr>
        <w:t>??</w:t>
      </w:r>
      <w:r w:rsidR="00325130" w:rsidRPr="00186B99">
        <w:rPr>
          <w:lang w:val="en-US"/>
        </w:rPr>
        <w:t xml:space="preserve">) </w:t>
      </w:r>
      <w:r w:rsidR="00325130" w:rsidRPr="00325130">
        <w:rPr>
          <w:lang w:val="en-US"/>
        </w:rPr>
        <w:t xml:space="preserve">before </w:t>
      </w:r>
      <w:r w:rsidR="00325130">
        <w:rPr>
          <w:lang w:val="en-US"/>
        </w:rPr>
        <w:t xml:space="preserve">cash </w:t>
      </w:r>
      <w:r w:rsidR="00325130" w:rsidRPr="00325130">
        <w:rPr>
          <w:lang w:val="en-US"/>
        </w:rPr>
        <w:t xml:space="preserve">crop sowing to </w:t>
      </w:r>
      <w:r w:rsidR="00325130" w:rsidRPr="00186B99">
        <w:rPr>
          <w:lang w:val="en-US"/>
        </w:rPr>
        <w:t>8–10 cm depth</w:t>
      </w:r>
      <w:r w:rsidR="00325130">
        <w:rPr>
          <w:lang w:val="en-US"/>
        </w:rPr>
        <w:t xml:space="preserve">. The inversion tillage treatment consisted of a </w:t>
      </w:r>
      <w:proofErr w:type="gramStart"/>
      <w:r w:rsidR="00325130">
        <w:rPr>
          <w:lang w:val="en-US"/>
        </w:rPr>
        <w:t>mold-board</w:t>
      </w:r>
      <w:proofErr w:type="gramEnd"/>
      <w:r w:rsidR="00325130">
        <w:rPr>
          <w:lang w:val="en-US"/>
        </w:rPr>
        <w:t xml:space="preserve"> plowing to a depth of 20 cm </w:t>
      </w:r>
      <w:r w:rsidR="00D85055">
        <w:rPr>
          <w:lang w:val="en-US"/>
        </w:rPr>
        <w:t xml:space="preserve">in the late fall, </w:t>
      </w:r>
      <w:r w:rsidR="00D85055" w:rsidRPr="00D85055">
        <w:rPr>
          <w:color w:val="FF0000"/>
          <w:lang w:val="en-US"/>
        </w:rPr>
        <w:t>and harrow</w:t>
      </w:r>
      <w:r>
        <w:rPr>
          <w:color w:val="FF0000"/>
          <w:lang w:val="en-US"/>
        </w:rPr>
        <w:t>ing</w:t>
      </w:r>
      <w:r w:rsidR="00D85055" w:rsidRPr="00D85055">
        <w:rPr>
          <w:color w:val="FF0000"/>
          <w:lang w:val="en-US"/>
        </w:rPr>
        <w:t xml:space="preserve"> to a depth of 3-4 cm before cash crop sowing</w:t>
      </w:r>
      <w:r>
        <w:rPr>
          <w:color w:val="FF0000"/>
          <w:lang w:val="en-US"/>
        </w:rPr>
        <w:t xml:space="preserve"> (ANOTHER paper from CENTS says the inversion plots were harrowed, but that is not included in the management data I received)</w:t>
      </w:r>
      <w:r w:rsidR="00D85055">
        <w:rPr>
          <w:lang w:val="en-US"/>
        </w:rPr>
        <w:t xml:space="preserve">. </w:t>
      </w:r>
      <w:commentRangeEnd w:id="1"/>
      <w:r w:rsidR="00005CB2">
        <w:rPr>
          <w:rStyle w:val="CommentReference"/>
        </w:rPr>
        <w:commentReference w:id="1"/>
      </w:r>
    </w:p>
    <w:p w14:paraId="46B68847" w14:textId="3A1D9143" w:rsidR="00D85055" w:rsidRDefault="00D85055" w:rsidP="00D85055">
      <w:pPr>
        <w:rPr>
          <w:lang w:val="en-US"/>
        </w:rPr>
      </w:pPr>
      <w:r>
        <w:rPr>
          <w:lang w:val="en-US"/>
        </w:rPr>
        <w:t>Starting in 2018, five cover crop treatments were randomly applied to the sub-subplots</w:t>
      </w:r>
      <w:r>
        <w:rPr>
          <w:lang w:val="en-US"/>
        </w:rPr>
        <w:t xml:space="preserve"> (</w:t>
      </w:r>
      <w:r w:rsidRPr="00871A14">
        <w:rPr>
          <w:b/>
          <w:bCs/>
          <w:highlight w:val="yellow"/>
          <w:lang w:val="en-US"/>
        </w:rPr>
        <w:t>Table x</w:t>
      </w:r>
      <w:r w:rsidRPr="00871A14">
        <w:rPr>
          <w:b/>
          <w:bCs/>
          <w:lang w:val="en-US"/>
        </w:rPr>
        <w:t>)</w:t>
      </w:r>
      <w:r w:rsidRPr="00871A14">
        <w:rPr>
          <w:b/>
          <w:bCs/>
          <w:lang w:val="en-US"/>
        </w:rPr>
        <w:t>.</w:t>
      </w:r>
      <w:r>
        <w:rPr>
          <w:lang w:val="en-US"/>
        </w:rPr>
        <w:t xml:space="preserve"> The same sub-subplot treatments were maintained for 2018 and 2019. During th</w:t>
      </w:r>
      <w:r w:rsidR="00EB1201">
        <w:rPr>
          <w:lang w:val="en-US"/>
        </w:rPr>
        <w:t>o</w:t>
      </w:r>
      <w:r>
        <w:rPr>
          <w:lang w:val="en-US"/>
        </w:rPr>
        <w:t xml:space="preserve">se years, the sampling area </w:t>
      </w:r>
      <w:proofErr w:type="gramStart"/>
      <w:r>
        <w:rPr>
          <w:lang w:val="en-US"/>
        </w:rPr>
        <w:t>was located in</w:t>
      </w:r>
      <w:proofErr w:type="gramEnd"/>
      <w:r>
        <w:rPr>
          <w:lang w:val="en-US"/>
        </w:rPr>
        <w:t xml:space="preserve"> the inner 1.5 m x 10 m area of the sub-subplots. </w:t>
      </w:r>
    </w:p>
    <w:p w14:paraId="03CE8B84" w14:textId="662BCFA0" w:rsidR="00493002" w:rsidRDefault="00493002" w:rsidP="00871A14">
      <w:pPr>
        <w:pStyle w:val="Subtitle"/>
        <w:rPr>
          <w:lang w:val="en-US"/>
        </w:rPr>
      </w:pPr>
      <w:r>
        <w:rPr>
          <w:lang w:val="en-US"/>
        </w:rPr>
        <w:t>Table X. Summary of the five cover crop treatments applied in this experiment</w:t>
      </w:r>
    </w:p>
    <w:tbl>
      <w:tblPr>
        <w:tblStyle w:val="TableGrid"/>
        <w:tblW w:w="0" w:type="auto"/>
        <w:tblLook w:val="04A0" w:firstRow="1" w:lastRow="0" w:firstColumn="1" w:lastColumn="0" w:noHBand="0" w:noVBand="1"/>
      </w:tblPr>
      <w:tblGrid>
        <w:gridCol w:w="1936"/>
        <w:gridCol w:w="1745"/>
        <w:gridCol w:w="1843"/>
        <w:gridCol w:w="2976"/>
      </w:tblGrid>
      <w:tr w:rsidR="00493002" w:rsidRPr="00E02EB6" w14:paraId="1F61442C" w14:textId="77777777" w:rsidTr="00FA1327">
        <w:tc>
          <w:tcPr>
            <w:tcW w:w="1936" w:type="dxa"/>
          </w:tcPr>
          <w:p w14:paraId="10D947C9" w14:textId="0C928D01" w:rsidR="00493002" w:rsidRDefault="00493002" w:rsidP="00FA1327">
            <w:pPr>
              <w:rPr>
                <w:lang w:val="en-US"/>
              </w:rPr>
            </w:pPr>
            <w:r>
              <w:rPr>
                <w:lang w:val="en-US"/>
              </w:rPr>
              <w:t>Treatment</w:t>
            </w:r>
            <w:r>
              <w:rPr>
                <w:lang w:val="en-US"/>
              </w:rPr>
              <w:t xml:space="preserve"> name</w:t>
            </w:r>
          </w:p>
        </w:tc>
        <w:tc>
          <w:tcPr>
            <w:tcW w:w="1745" w:type="dxa"/>
          </w:tcPr>
          <w:p w14:paraId="7AA39686" w14:textId="77777777" w:rsidR="00493002" w:rsidRDefault="00493002" w:rsidP="00FA1327">
            <w:pPr>
              <w:rPr>
                <w:lang w:val="en-US"/>
              </w:rPr>
            </w:pPr>
            <w:r>
              <w:rPr>
                <w:lang w:val="en-US"/>
              </w:rPr>
              <w:t>Cover crop</w:t>
            </w:r>
          </w:p>
        </w:tc>
        <w:tc>
          <w:tcPr>
            <w:tcW w:w="1843" w:type="dxa"/>
          </w:tcPr>
          <w:p w14:paraId="70D28ED5" w14:textId="77777777" w:rsidR="00493002" w:rsidRDefault="00493002" w:rsidP="00FA1327">
            <w:pPr>
              <w:rPr>
                <w:lang w:val="en-US"/>
              </w:rPr>
            </w:pPr>
            <w:r>
              <w:rPr>
                <w:lang w:val="en-US"/>
              </w:rPr>
              <w:t>Seeding rate</w:t>
            </w:r>
          </w:p>
        </w:tc>
        <w:tc>
          <w:tcPr>
            <w:tcW w:w="2976" w:type="dxa"/>
          </w:tcPr>
          <w:p w14:paraId="58BE80D5" w14:textId="77777777" w:rsidR="00493002" w:rsidRDefault="00493002" w:rsidP="00FA1327">
            <w:pPr>
              <w:rPr>
                <w:lang w:val="en-US"/>
              </w:rPr>
            </w:pPr>
            <w:r>
              <w:rPr>
                <w:lang w:val="en-US"/>
              </w:rPr>
              <w:t>Seeding method</w:t>
            </w:r>
          </w:p>
        </w:tc>
      </w:tr>
      <w:tr w:rsidR="00493002" w:rsidRPr="001D2342" w14:paraId="15FFCAFF" w14:textId="77777777" w:rsidTr="00FA1327">
        <w:tc>
          <w:tcPr>
            <w:tcW w:w="1936" w:type="dxa"/>
          </w:tcPr>
          <w:p w14:paraId="718108D3" w14:textId="77777777" w:rsidR="00493002" w:rsidRDefault="00493002" w:rsidP="00FA1327">
            <w:pPr>
              <w:rPr>
                <w:lang w:val="en-US"/>
              </w:rPr>
            </w:pPr>
            <w:r>
              <w:rPr>
                <w:lang w:val="en-US"/>
              </w:rPr>
              <w:t>Mix-early</w:t>
            </w:r>
          </w:p>
        </w:tc>
        <w:tc>
          <w:tcPr>
            <w:tcW w:w="1745" w:type="dxa"/>
          </w:tcPr>
          <w:p w14:paraId="7E3C735F" w14:textId="77777777" w:rsidR="00493002" w:rsidRPr="001D2342" w:rsidRDefault="00493002" w:rsidP="00FA1327">
            <w:pPr>
              <w:rPr>
                <w:lang w:val="en-US"/>
              </w:rPr>
            </w:pPr>
            <w:r>
              <w:rPr>
                <w:lang w:val="en-US"/>
              </w:rPr>
              <w:t xml:space="preserve">Grass </w:t>
            </w:r>
            <w:r w:rsidRPr="001D2342">
              <w:rPr>
                <w:i/>
                <w:iCs/>
                <w:lang w:val="en-US"/>
              </w:rPr>
              <w:t xml:space="preserve">(Lolium </w:t>
            </w:r>
            <w:proofErr w:type="spellStart"/>
            <w:r w:rsidRPr="001D2342">
              <w:rPr>
                <w:i/>
                <w:iCs/>
                <w:lang w:val="en-US"/>
              </w:rPr>
              <w:t>perenne</w:t>
            </w:r>
            <w:proofErr w:type="spellEnd"/>
            <w:r w:rsidRPr="001D2342">
              <w:rPr>
                <w:i/>
                <w:iCs/>
                <w:lang w:val="en-US"/>
              </w:rPr>
              <w:t>)</w:t>
            </w:r>
            <w:r>
              <w:rPr>
                <w:lang w:val="en-US"/>
              </w:rPr>
              <w:t xml:space="preserve"> and clover </w:t>
            </w:r>
            <w:r w:rsidRPr="001D2342">
              <w:rPr>
                <w:i/>
                <w:iCs/>
                <w:lang w:val="en-US"/>
              </w:rPr>
              <w:t>(Trifolium repens)</w:t>
            </w:r>
            <w:r>
              <w:rPr>
                <w:i/>
                <w:iCs/>
                <w:lang w:val="en-US"/>
              </w:rPr>
              <w:t xml:space="preserve"> </w:t>
            </w:r>
            <w:r>
              <w:rPr>
                <w:lang w:val="en-US"/>
              </w:rPr>
              <w:t>mix</w:t>
            </w:r>
          </w:p>
        </w:tc>
        <w:tc>
          <w:tcPr>
            <w:tcW w:w="1843" w:type="dxa"/>
          </w:tcPr>
          <w:p w14:paraId="7022F2ED" w14:textId="77777777" w:rsidR="00493002" w:rsidRDefault="00493002" w:rsidP="00FA1327">
            <w:pPr>
              <w:rPr>
                <w:lang w:val="en-US"/>
              </w:rPr>
            </w:pPr>
            <w:r>
              <w:rPr>
                <w:lang w:val="en-US"/>
              </w:rPr>
              <w:t>3 kg ha-1 grass + 8 kg clover ha-1</w:t>
            </w:r>
          </w:p>
        </w:tc>
        <w:tc>
          <w:tcPr>
            <w:tcW w:w="2976" w:type="dxa"/>
          </w:tcPr>
          <w:p w14:paraId="07CE7233" w14:textId="77777777" w:rsidR="00493002" w:rsidRDefault="00493002" w:rsidP="00FA1327">
            <w:pPr>
              <w:rPr>
                <w:lang w:val="en-US"/>
              </w:rPr>
            </w:pPr>
            <w:r>
              <w:rPr>
                <w:lang w:val="en-US"/>
              </w:rPr>
              <w:t>Sown in 12.5 cm rows at 1 cm depth shortly after cash crop planting</w:t>
            </w:r>
          </w:p>
        </w:tc>
      </w:tr>
      <w:tr w:rsidR="00493002" w:rsidRPr="00E02EB6" w14:paraId="1B38A8B5" w14:textId="77777777" w:rsidTr="00FA1327">
        <w:tc>
          <w:tcPr>
            <w:tcW w:w="1936" w:type="dxa"/>
          </w:tcPr>
          <w:p w14:paraId="111B6285" w14:textId="77777777" w:rsidR="00493002" w:rsidRDefault="00493002" w:rsidP="00FA1327">
            <w:pPr>
              <w:rPr>
                <w:lang w:val="en-US"/>
              </w:rPr>
            </w:pPr>
            <w:r>
              <w:rPr>
                <w:lang w:val="en-US"/>
              </w:rPr>
              <w:t>Mix-mid</w:t>
            </w:r>
          </w:p>
        </w:tc>
        <w:tc>
          <w:tcPr>
            <w:tcW w:w="1745" w:type="dxa"/>
          </w:tcPr>
          <w:p w14:paraId="629F3F89" w14:textId="77777777" w:rsidR="00493002" w:rsidRDefault="00493002" w:rsidP="00FA1327">
            <w:pPr>
              <w:rPr>
                <w:lang w:val="en-US"/>
              </w:rPr>
            </w:pPr>
            <w:r>
              <w:rPr>
                <w:lang w:val="en-US"/>
              </w:rPr>
              <w:t>Grass and clover mix</w:t>
            </w:r>
          </w:p>
        </w:tc>
        <w:tc>
          <w:tcPr>
            <w:tcW w:w="1843" w:type="dxa"/>
          </w:tcPr>
          <w:p w14:paraId="125565F4" w14:textId="77777777" w:rsidR="00493002" w:rsidRDefault="00493002" w:rsidP="00FA1327">
            <w:pPr>
              <w:rPr>
                <w:lang w:val="en-US"/>
              </w:rPr>
            </w:pPr>
            <w:r>
              <w:rPr>
                <w:lang w:val="en-US"/>
              </w:rPr>
              <w:t>3 kg ha-1 grass + 8 kg clover ha-1</w:t>
            </w:r>
          </w:p>
        </w:tc>
        <w:tc>
          <w:tcPr>
            <w:tcW w:w="2976" w:type="dxa"/>
          </w:tcPr>
          <w:p w14:paraId="71350CCB" w14:textId="619AAFC4" w:rsidR="00493002" w:rsidRDefault="00005CB2" w:rsidP="00FA1327">
            <w:pPr>
              <w:rPr>
                <w:lang w:val="en-US"/>
              </w:rPr>
            </w:pPr>
            <w:r>
              <w:rPr>
                <w:color w:val="FF0000"/>
                <w:lang w:val="en-US"/>
              </w:rPr>
              <w:t>How was this planted</w:t>
            </w:r>
            <w:r w:rsidR="00493002" w:rsidRPr="001D2342">
              <w:rPr>
                <w:color w:val="FF0000"/>
                <w:lang w:val="en-US"/>
              </w:rPr>
              <w:t>?</w:t>
            </w:r>
          </w:p>
        </w:tc>
      </w:tr>
      <w:tr w:rsidR="00493002" w:rsidRPr="00E02EB6" w14:paraId="7C9F1797" w14:textId="77777777" w:rsidTr="00FA1327">
        <w:tc>
          <w:tcPr>
            <w:tcW w:w="1936" w:type="dxa"/>
          </w:tcPr>
          <w:p w14:paraId="67ACDD07" w14:textId="77777777" w:rsidR="00493002" w:rsidRDefault="00493002" w:rsidP="00FA1327">
            <w:pPr>
              <w:rPr>
                <w:lang w:val="en-US"/>
              </w:rPr>
            </w:pPr>
            <w:r>
              <w:rPr>
                <w:lang w:val="en-US"/>
              </w:rPr>
              <w:t>Radish-mid</w:t>
            </w:r>
          </w:p>
        </w:tc>
        <w:tc>
          <w:tcPr>
            <w:tcW w:w="1745" w:type="dxa"/>
          </w:tcPr>
          <w:p w14:paraId="6DA83500" w14:textId="77777777" w:rsidR="00493002" w:rsidRDefault="00493002" w:rsidP="00FA1327">
            <w:pPr>
              <w:rPr>
                <w:lang w:val="en-US"/>
              </w:rPr>
            </w:pPr>
            <w:r>
              <w:rPr>
                <w:lang w:val="en-US"/>
              </w:rPr>
              <w:t xml:space="preserve">Fodder radish </w:t>
            </w:r>
            <w:r w:rsidRPr="001D2342">
              <w:rPr>
                <w:i/>
                <w:iCs/>
                <w:lang w:val="en-US"/>
              </w:rPr>
              <w:t>(Raphanus sativus)</w:t>
            </w:r>
          </w:p>
        </w:tc>
        <w:tc>
          <w:tcPr>
            <w:tcW w:w="1843" w:type="dxa"/>
          </w:tcPr>
          <w:p w14:paraId="69062A92" w14:textId="77777777" w:rsidR="00493002" w:rsidRDefault="00493002" w:rsidP="00FA1327">
            <w:pPr>
              <w:rPr>
                <w:lang w:val="en-US"/>
              </w:rPr>
            </w:pPr>
            <w:r>
              <w:rPr>
                <w:lang w:val="en-US"/>
              </w:rPr>
              <w:t>14 kg ha-1</w:t>
            </w:r>
          </w:p>
        </w:tc>
        <w:tc>
          <w:tcPr>
            <w:tcW w:w="2976" w:type="dxa"/>
          </w:tcPr>
          <w:p w14:paraId="2C9C20B2" w14:textId="77777777" w:rsidR="00493002" w:rsidRDefault="00493002" w:rsidP="00FA1327">
            <w:pPr>
              <w:rPr>
                <w:lang w:val="en-US"/>
              </w:rPr>
            </w:pPr>
            <w:r>
              <w:rPr>
                <w:lang w:val="en-US"/>
              </w:rPr>
              <w:t>Broadcast into standing crop</w:t>
            </w:r>
          </w:p>
        </w:tc>
      </w:tr>
      <w:tr w:rsidR="00493002" w:rsidRPr="001D2342" w14:paraId="33BC0E25" w14:textId="77777777" w:rsidTr="00FA1327">
        <w:tc>
          <w:tcPr>
            <w:tcW w:w="1936" w:type="dxa"/>
          </w:tcPr>
          <w:p w14:paraId="7E58EE44" w14:textId="77777777" w:rsidR="00493002" w:rsidRDefault="00493002" w:rsidP="00FA1327">
            <w:pPr>
              <w:rPr>
                <w:lang w:val="en-US"/>
              </w:rPr>
            </w:pPr>
            <w:r>
              <w:rPr>
                <w:lang w:val="en-US"/>
              </w:rPr>
              <w:lastRenderedPageBreak/>
              <w:t>Radish-late</w:t>
            </w:r>
          </w:p>
        </w:tc>
        <w:tc>
          <w:tcPr>
            <w:tcW w:w="1745" w:type="dxa"/>
          </w:tcPr>
          <w:p w14:paraId="34B9B4FE" w14:textId="77777777" w:rsidR="00493002" w:rsidRDefault="00493002" w:rsidP="00FA1327">
            <w:pPr>
              <w:rPr>
                <w:lang w:val="en-US"/>
              </w:rPr>
            </w:pPr>
            <w:r>
              <w:rPr>
                <w:lang w:val="en-US"/>
              </w:rPr>
              <w:t>Fodder radish</w:t>
            </w:r>
          </w:p>
        </w:tc>
        <w:tc>
          <w:tcPr>
            <w:tcW w:w="1843" w:type="dxa"/>
          </w:tcPr>
          <w:p w14:paraId="53614BB7" w14:textId="77777777" w:rsidR="00493002" w:rsidRDefault="00493002" w:rsidP="00FA1327">
            <w:pPr>
              <w:rPr>
                <w:lang w:val="en-US"/>
              </w:rPr>
            </w:pPr>
            <w:r>
              <w:rPr>
                <w:lang w:val="en-US"/>
              </w:rPr>
              <w:t>14 kg ha-1</w:t>
            </w:r>
          </w:p>
        </w:tc>
        <w:tc>
          <w:tcPr>
            <w:tcW w:w="2976" w:type="dxa"/>
          </w:tcPr>
          <w:p w14:paraId="56A28458" w14:textId="77777777" w:rsidR="00493002" w:rsidRDefault="00493002" w:rsidP="00FA1327">
            <w:pPr>
              <w:rPr>
                <w:lang w:val="en-US"/>
              </w:rPr>
            </w:pPr>
            <w:r>
              <w:rPr>
                <w:lang w:val="en-US"/>
              </w:rPr>
              <w:t>Broadcast into harvested crop stubble</w:t>
            </w:r>
          </w:p>
        </w:tc>
      </w:tr>
      <w:tr w:rsidR="00493002" w:rsidRPr="001D2342" w14:paraId="0990EB53" w14:textId="77777777" w:rsidTr="00FA1327">
        <w:tc>
          <w:tcPr>
            <w:tcW w:w="1936" w:type="dxa"/>
          </w:tcPr>
          <w:p w14:paraId="507763AD" w14:textId="77777777" w:rsidR="00493002" w:rsidRDefault="00493002" w:rsidP="00FA1327">
            <w:pPr>
              <w:rPr>
                <w:lang w:val="en-US"/>
              </w:rPr>
            </w:pPr>
            <w:r>
              <w:rPr>
                <w:lang w:val="en-US"/>
              </w:rPr>
              <w:t>No CC</w:t>
            </w:r>
          </w:p>
        </w:tc>
        <w:tc>
          <w:tcPr>
            <w:tcW w:w="1745" w:type="dxa"/>
          </w:tcPr>
          <w:p w14:paraId="0F37D392" w14:textId="77777777" w:rsidR="00493002" w:rsidRDefault="00493002" w:rsidP="00FA1327">
            <w:pPr>
              <w:rPr>
                <w:lang w:val="en-US"/>
              </w:rPr>
            </w:pPr>
            <w:r>
              <w:rPr>
                <w:lang w:val="en-US"/>
              </w:rPr>
              <w:t>-</w:t>
            </w:r>
          </w:p>
        </w:tc>
        <w:tc>
          <w:tcPr>
            <w:tcW w:w="1843" w:type="dxa"/>
          </w:tcPr>
          <w:p w14:paraId="6BBC34D8" w14:textId="77777777" w:rsidR="00493002" w:rsidRDefault="00493002" w:rsidP="00FA1327">
            <w:pPr>
              <w:rPr>
                <w:lang w:val="en-US"/>
              </w:rPr>
            </w:pPr>
            <w:r>
              <w:rPr>
                <w:lang w:val="en-US"/>
              </w:rPr>
              <w:t>-</w:t>
            </w:r>
          </w:p>
        </w:tc>
        <w:tc>
          <w:tcPr>
            <w:tcW w:w="2976" w:type="dxa"/>
          </w:tcPr>
          <w:p w14:paraId="2E443423" w14:textId="77777777" w:rsidR="00493002" w:rsidRDefault="00493002" w:rsidP="00FA1327">
            <w:pPr>
              <w:rPr>
                <w:lang w:val="en-US"/>
              </w:rPr>
            </w:pPr>
            <w:r>
              <w:rPr>
                <w:lang w:val="en-US"/>
              </w:rPr>
              <w:t>-</w:t>
            </w:r>
          </w:p>
        </w:tc>
      </w:tr>
    </w:tbl>
    <w:p w14:paraId="2DFE5395" w14:textId="77777777" w:rsidR="00493002" w:rsidRDefault="00493002" w:rsidP="00D85055">
      <w:pPr>
        <w:rPr>
          <w:lang w:val="en-US"/>
        </w:rPr>
      </w:pPr>
    </w:p>
    <w:p w14:paraId="40B07198" w14:textId="7376011A" w:rsidR="00493002" w:rsidRDefault="00D85055" w:rsidP="00493002">
      <w:pPr>
        <w:rPr>
          <w:lang w:val="en-US"/>
        </w:rPr>
      </w:pPr>
      <w:r>
        <w:rPr>
          <w:lang w:val="en-US"/>
        </w:rPr>
        <w:t xml:space="preserve">The </w:t>
      </w:r>
      <w:r w:rsidR="00EB1201">
        <w:rPr>
          <w:lang w:val="en-US"/>
        </w:rPr>
        <w:t xml:space="preserve">entire </w:t>
      </w:r>
      <w:r>
        <w:rPr>
          <w:lang w:val="en-US"/>
        </w:rPr>
        <w:t>experiment was planted to the same crop in each year: barley (Hordeum xx) in 2018, oats (Avena sativa) in 2019, and faba bean (XX) in 2020.</w:t>
      </w:r>
      <w:r w:rsidR="00493002">
        <w:rPr>
          <w:lang w:val="en-US"/>
        </w:rPr>
        <w:t xml:space="preserve"> </w:t>
      </w:r>
      <w:commentRangeStart w:id="2"/>
      <w:r w:rsidR="00493002">
        <w:rPr>
          <w:lang w:val="en-US"/>
        </w:rPr>
        <w:t>In the no till and non-inversion tillage treatments, crops were sown with a single-disc drill (Gaspardo Scan-Seeder DP300). In the inversion-tillage treatments, crops were sown with a traditional seed drill (Nordsten Lift-</w:t>
      </w:r>
      <w:proofErr w:type="spellStart"/>
      <w:r w:rsidR="00493002">
        <w:rPr>
          <w:lang w:val="en-US"/>
        </w:rPr>
        <w:t>omatic</w:t>
      </w:r>
      <w:proofErr w:type="spellEnd"/>
      <w:r w:rsidR="00493002">
        <w:rPr>
          <w:lang w:val="en-US"/>
        </w:rPr>
        <w:t xml:space="preserve"> CLH300). </w:t>
      </w:r>
      <w:commentRangeEnd w:id="2"/>
      <w:r w:rsidR="00005CB2">
        <w:rPr>
          <w:rStyle w:val="CommentReference"/>
        </w:rPr>
        <w:commentReference w:id="2"/>
      </w:r>
      <w:r w:rsidR="00493002" w:rsidRPr="00493002">
        <w:rPr>
          <w:lang w:val="en-US"/>
        </w:rPr>
        <w:t xml:space="preserve">Barley and oats were sown in 17.5 cm spaced rows, and faba beans in 35 cm spaced rows. </w:t>
      </w:r>
      <w:commentRangeStart w:id="3"/>
      <w:r w:rsidR="00EB1201" w:rsidRPr="00EB1201">
        <w:rPr>
          <w:color w:val="FF0000"/>
          <w:lang w:val="en-US"/>
        </w:rPr>
        <w:t xml:space="preserve">All treatments received XX fertilizer according to best management practices (I don’t know what happened with N application). </w:t>
      </w:r>
      <w:commentRangeEnd w:id="3"/>
      <w:r w:rsidR="00005CB2">
        <w:rPr>
          <w:rStyle w:val="CommentReference"/>
        </w:rPr>
        <w:commentReference w:id="3"/>
      </w:r>
      <w:r w:rsidR="00493002">
        <w:rPr>
          <w:lang w:val="en-US"/>
        </w:rPr>
        <w:t xml:space="preserve">Herbicide treatments varied by tillage and cover crop treatment. </w:t>
      </w:r>
    </w:p>
    <w:p w14:paraId="764EDBC6" w14:textId="105D557A" w:rsidR="00EB1201" w:rsidRDefault="00EB1201" w:rsidP="00493002">
      <w:pPr>
        <w:rPr>
          <w:i/>
          <w:iCs/>
          <w:lang w:val="en-US"/>
        </w:rPr>
      </w:pPr>
      <w:r>
        <w:rPr>
          <w:lang w:val="en-US"/>
        </w:rPr>
        <w:t>The site is non-irrigated, but in 2018 all plots were irrigated with 25 mm of water on XX due to severe drought</w:t>
      </w:r>
      <w:r w:rsidR="00871A14">
        <w:rPr>
          <w:lang w:val="en-US"/>
        </w:rPr>
        <w:t xml:space="preserve">, which compromised the integrity of the long-term experiment. </w:t>
      </w:r>
      <w:commentRangeStart w:id="4"/>
      <w:r w:rsidR="00871A14" w:rsidRPr="00871A14">
        <w:rPr>
          <w:color w:val="FF0000"/>
          <w:lang w:val="en-US"/>
        </w:rPr>
        <w:t xml:space="preserve">How was it irrigated, what date. </w:t>
      </w:r>
      <w:commentRangeEnd w:id="4"/>
      <w:r w:rsidR="00005CB2">
        <w:rPr>
          <w:rStyle w:val="CommentReference"/>
        </w:rPr>
        <w:commentReference w:id="4"/>
      </w:r>
    </w:p>
    <w:p w14:paraId="3D972EAD" w14:textId="7011C4B1" w:rsidR="00871A14" w:rsidRDefault="00871A14" w:rsidP="00871A14">
      <w:pPr>
        <w:pStyle w:val="Heading2"/>
        <w:rPr>
          <w:lang w:val="en-US"/>
        </w:rPr>
      </w:pPr>
      <w:r>
        <w:rPr>
          <w:lang w:val="en-US"/>
        </w:rPr>
        <w:t>Measurements</w:t>
      </w:r>
    </w:p>
    <w:p w14:paraId="089B0EF8" w14:textId="67A4EFFA" w:rsidR="00CE16B2" w:rsidRDefault="00CE16B2" w:rsidP="00871A14">
      <w:pPr>
        <w:pStyle w:val="Heading3"/>
        <w:rPr>
          <w:lang w:val="en-US"/>
        </w:rPr>
      </w:pPr>
      <w:r>
        <w:rPr>
          <w:lang w:val="en-US"/>
        </w:rPr>
        <w:t>Crop yields</w:t>
      </w:r>
    </w:p>
    <w:p w14:paraId="77F79B63" w14:textId="574FE37E" w:rsidR="00A11E01" w:rsidRDefault="0029022B" w:rsidP="00CE16B2">
      <w:pPr>
        <w:rPr>
          <w:color w:val="FF0000"/>
          <w:lang w:val="en-US"/>
        </w:rPr>
      </w:pPr>
      <w:r w:rsidRPr="0029022B">
        <w:rPr>
          <w:color w:val="FF0000"/>
          <w:lang w:val="en-US"/>
        </w:rPr>
        <w:t>Need Bo to fill this out</w:t>
      </w:r>
      <w:r w:rsidR="00005CB2">
        <w:rPr>
          <w:color w:val="FF0000"/>
          <w:lang w:val="en-US"/>
        </w:rPr>
        <w:t>, don’t know how yields were measured (by hand? Using a combine? What area was harvested?)</w:t>
      </w:r>
    </w:p>
    <w:p w14:paraId="7699D6AE" w14:textId="77777777" w:rsidR="0029022B" w:rsidRDefault="0029022B" w:rsidP="00CE16B2">
      <w:pPr>
        <w:rPr>
          <w:b/>
          <w:bCs/>
          <w:lang w:val="en-US"/>
        </w:rPr>
      </w:pPr>
    </w:p>
    <w:p w14:paraId="080B8DA5" w14:textId="20DF0192" w:rsidR="0029022B" w:rsidRDefault="0029022B" w:rsidP="00871A14">
      <w:pPr>
        <w:pStyle w:val="Heading3"/>
        <w:rPr>
          <w:lang w:val="en-US"/>
        </w:rPr>
      </w:pPr>
      <w:r w:rsidRPr="0029022B">
        <w:rPr>
          <w:lang w:val="en-US"/>
        </w:rPr>
        <w:t xml:space="preserve">Vegetation </w:t>
      </w:r>
      <w:r>
        <w:rPr>
          <w:lang w:val="en-US"/>
        </w:rPr>
        <w:t>me</w:t>
      </w:r>
      <w:r w:rsidRPr="0029022B">
        <w:rPr>
          <w:lang w:val="en-US"/>
        </w:rPr>
        <w:t>asurements</w:t>
      </w:r>
    </w:p>
    <w:p w14:paraId="406CB50B" w14:textId="41905CF5" w:rsidR="0029022B" w:rsidRDefault="0029022B" w:rsidP="00CE16B2">
      <w:pPr>
        <w:rPr>
          <w:lang w:val="en-US"/>
        </w:rPr>
      </w:pPr>
      <w:r>
        <w:rPr>
          <w:lang w:val="en-US"/>
        </w:rPr>
        <w:t>Three vegetation measurements were associated with each cover cropping phase</w:t>
      </w:r>
      <w:r w:rsidR="004D04B2">
        <w:rPr>
          <w:lang w:val="en-US"/>
        </w:rPr>
        <w:t xml:space="preserve"> (</w:t>
      </w:r>
      <w:r w:rsidR="004D04B2" w:rsidRPr="004D04B2">
        <w:rPr>
          <w:b/>
          <w:bCs/>
          <w:highlight w:val="yellow"/>
          <w:lang w:val="en-US"/>
        </w:rPr>
        <w:t>Table X</w:t>
      </w:r>
      <w:r w:rsidR="004D04B2">
        <w:rPr>
          <w:lang w:val="en-US"/>
        </w:rPr>
        <w:t>)</w:t>
      </w:r>
      <w:r>
        <w:rPr>
          <w:lang w:val="en-US"/>
        </w:rPr>
        <w:t xml:space="preserve">. Following the cash crop harvest fall ground cover, fall biomass, and spring weed counts were measured and associated with the 2018 and 2019 cover cropping seasons, respectively.  </w:t>
      </w:r>
    </w:p>
    <w:p w14:paraId="1A16F022" w14:textId="46641831" w:rsidR="00871A14" w:rsidRPr="0029022B" w:rsidRDefault="00871A14" w:rsidP="00871A14">
      <w:pPr>
        <w:pStyle w:val="Subtitle"/>
        <w:rPr>
          <w:lang w:val="en-US"/>
        </w:rPr>
      </w:pPr>
      <w:r>
        <w:rPr>
          <w:lang w:val="en-US"/>
        </w:rPr>
        <w:t>Table X. Summary of vegetation measurements</w:t>
      </w:r>
    </w:p>
    <w:tbl>
      <w:tblPr>
        <w:tblStyle w:val="TableGrid"/>
        <w:tblW w:w="0" w:type="auto"/>
        <w:tblLook w:val="04A0" w:firstRow="1" w:lastRow="0" w:firstColumn="1" w:lastColumn="0" w:noHBand="0" w:noVBand="1"/>
      </w:tblPr>
      <w:tblGrid>
        <w:gridCol w:w="3539"/>
        <w:gridCol w:w="5477"/>
      </w:tblGrid>
      <w:tr w:rsidR="00A11E01" w14:paraId="61DF8BD7" w14:textId="77777777" w:rsidTr="00FF03B7">
        <w:tc>
          <w:tcPr>
            <w:tcW w:w="3539" w:type="dxa"/>
          </w:tcPr>
          <w:p w14:paraId="7C8DA20D" w14:textId="006883F7" w:rsidR="00A11E01" w:rsidRDefault="00A11E01" w:rsidP="000369BB">
            <w:pPr>
              <w:rPr>
                <w:b/>
                <w:bCs/>
                <w:lang w:val="en-US"/>
              </w:rPr>
            </w:pPr>
            <w:r>
              <w:rPr>
                <w:b/>
                <w:bCs/>
                <w:lang w:val="en-US"/>
              </w:rPr>
              <w:t>Measurement</w:t>
            </w:r>
          </w:p>
        </w:tc>
        <w:tc>
          <w:tcPr>
            <w:tcW w:w="5477" w:type="dxa"/>
          </w:tcPr>
          <w:p w14:paraId="608ED072" w14:textId="78BE1381" w:rsidR="00A11E01" w:rsidRDefault="00A11E01" w:rsidP="000369BB">
            <w:pPr>
              <w:rPr>
                <w:b/>
                <w:bCs/>
                <w:lang w:val="en-US"/>
              </w:rPr>
            </w:pPr>
            <w:r>
              <w:rPr>
                <w:b/>
                <w:bCs/>
                <w:lang w:val="en-US"/>
              </w:rPr>
              <w:t>Unit</w:t>
            </w:r>
            <w:r w:rsidR="00871A14">
              <w:rPr>
                <w:b/>
                <w:bCs/>
                <w:lang w:val="en-US"/>
              </w:rPr>
              <w:t>s</w:t>
            </w:r>
            <w:r>
              <w:rPr>
                <w:b/>
                <w:bCs/>
                <w:lang w:val="en-US"/>
              </w:rPr>
              <w:t xml:space="preserve"> of identification</w:t>
            </w:r>
          </w:p>
        </w:tc>
      </w:tr>
      <w:tr w:rsidR="00A11E01" w:rsidRPr="001D2342" w14:paraId="739D21EE" w14:textId="77777777" w:rsidTr="00FF03B7">
        <w:tc>
          <w:tcPr>
            <w:tcW w:w="3539" w:type="dxa"/>
          </w:tcPr>
          <w:p w14:paraId="58049C8F" w14:textId="7510EA95" w:rsidR="00A11E01" w:rsidRPr="00A11E01" w:rsidRDefault="00A11E01" w:rsidP="00FF03B7">
            <w:pPr>
              <w:rPr>
                <w:lang w:val="en-US"/>
              </w:rPr>
            </w:pPr>
            <w:r w:rsidRPr="00A11E01">
              <w:rPr>
                <w:lang w:val="en-US"/>
              </w:rPr>
              <w:t>Fall ground cover</w:t>
            </w:r>
            <w:r w:rsidR="0029022B">
              <w:rPr>
                <w:lang w:val="en-US"/>
              </w:rPr>
              <w:t xml:space="preserve"> (%)</w:t>
            </w:r>
          </w:p>
        </w:tc>
        <w:tc>
          <w:tcPr>
            <w:tcW w:w="5477" w:type="dxa"/>
          </w:tcPr>
          <w:p w14:paraId="5C715899" w14:textId="77777777" w:rsidR="00A11E01" w:rsidRDefault="00A11E01" w:rsidP="000369BB">
            <w:pPr>
              <w:rPr>
                <w:lang w:val="en-US"/>
              </w:rPr>
            </w:pPr>
            <w:r>
              <w:rPr>
                <w:lang w:val="en-US"/>
              </w:rPr>
              <w:t>Soil</w:t>
            </w:r>
          </w:p>
          <w:p w14:paraId="60E669AB" w14:textId="520A2481" w:rsidR="00A11E01" w:rsidRDefault="00A11E01" w:rsidP="000369BB">
            <w:pPr>
              <w:rPr>
                <w:lang w:val="en-US"/>
              </w:rPr>
            </w:pPr>
            <w:r>
              <w:rPr>
                <w:lang w:val="en-US"/>
              </w:rPr>
              <w:t>Cover crop</w:t>
            </w:r>
            <w:r w:rsidR="004D04B2">
              <w:rPr>
                <w:lang w:val="en-US"/>
              </w:rPr>
              <w:t>/</w:t>
            </w:r>
            <w:r>
              <w:rPr>
                <w:lang w:val="en-US"/>
              </w:rPr>
              <w:t>species (according to treatment)</w:t>
            </w:r>
          </w:p>
          <w:p w14:paraId="43F6F18A" w14:textId="798674FD" w:rsidR="00A11E01" w:rsidRPr="00A11E01" w:rsidRDefault="00A11E01" w:rsidP="000369BB">
            <w:pPr>
              <w:rPr>
                <w:lang w:val="en-US"/>
              </w:rPr>
            </w:pPr>
            <w:r>
              <w:rPr>
                <w:lang w:val="en-US"/>
              </w:rPr>
              <w:t>Other</w:t>
            </w:r>
            <w:r w:rsidR="004D04B2">
              <w:rPr>
                <w:lang w:val="en-US"/>
              </w:rPr>
              <w:t>/</w:t>
            </w:r>
            <w:r>
              <w:rPr>
                <w:lang w:val="en-US"/>
              </w:rPr>
              <w:t>species or genus</w:t>
            </w:r>
            <w:r w:rsidR="00871A14">
              <w:rPr>
                <w:lang w:val="en-US"/>
              </w:rPr>
              <w:t xml:space="preserve"> (</w:t>
            </w:r>
            <w:r>
              <w:rPr>
                <w:lang w:val="en-US"/>
              </w:rPr>
              <w:t>see supplementary material</w:t>
            </w:r>
            <w:r w:rsidR="00FF03B7">
              <w:rPr>
                <w:lang w:val="en-US"/>
              </w:rPr>
              <w:t>)</w:t>
            </w:r>
            <w:r w:rsidR="00C13F5B">
              <w:rPr>
                <w:lang w:val="en-US"/>
              </w:rPr>
              <w:t xml:space="preserve"> </w:t>
            </w:r>
            <w:r w:rsidR="00C13F5B" w:rsidRPr="00C13F5B">
              <w:rPr>
                <w:color w:val="FF0000"/>
                <w:lang w:val="en-US"/>
              </w:rPr>
              <w:t xml:space="preserve">why are these to </w:t>
            </w:r>
            <w:r w:rsidR="00FF03B7" w:rsidRPr="00C13F5B">
              <w:rPr>
                <w:color w:val="FF0000"/>
                <w:lang w:val="en-US"/>
              </w:rPr>
              <w:t>Cirsium</w:t>
            </w:r>
            <w:r w:rsidR="00C13F5B" w:rsidRPr="00C13F5B">
              <w:rPr>
                <w:color w:val="FF0000"/>
                <w:lang w:val="en-US"/>
              </w:rPr>
              <w:t xml:space="preserve"> species, and spring weed counts are only </w:t>
            </w:r>
            <w:r w:rsidR="00FF03B7" w:rsidRPr="00C13F5B">
              <w:rPr>
                <w:color w:val="FF0000"/>
                <w:lang w:val="en-US"/>
              </w:rPr>
              <w:t>Cirsium</w:t>
            </w:r>
            <w:r w:rsidR="00C13F5B" w:rsidRPr="00C13F5B">
              <w:rPr>
                <w:color w:val="FF0000"/>
                <w:lang w:val="en-US"/>
              </w:rPr>
              <w:t xml:space="preserve"> arvense?</w:t>
            </w:r>
          </w:p>
        </w:tc>
      </w:tr>
      <w:tr w:rsidR="00A11E01" w14:paraId="139D7195" w14:textId="77777777" w:rsidTr="00FF03B7">
        <w:tc>
          <w:tcPr>
            <w:tcW w:w="3539" w:type="dxa"/>
          </w:tcPr>
          <w:p w14:paraId="6E2BAFC1" w14:textId="25044553" w:rsidR="00A11E01" w:rsidRPr="00A11E01" w:rsidRDefault="00A11E01" w:rsidP="00FF03B7">
            <w:pPr>
              <w:rPr>
                <w:lang w:val="en-US"/>
              </w:rPr>
            </w:pPr>
            <w:r w:rsidRPr="00A11E01">
              <w:rPr>
                <w:lang w:val="en-US"/>
              </w:rPr>
              <w:t>Fall biomass</w:t>
            </w:r>
            <w:r w:rsidR="0029022B">
              <w:rPr>
                <w:lang w:val="en-US"/>
              </w:rPr>
              <w:t xml:space="preserve"> (g m-2)</w:t>
            </w:r>
          </w:p>
        </w:tc>
        <w:tc>
          <w:tcPr>
            <w:tcW w:w="5477" w:type="dxa"/>
          </w:tcPr>
          <w:p w14:paraId="2F9588C3" w14:textId="70C32433" w:rsidR="00FF03B7" w:rsidRDefault="00A11E01" w:rsidP="000369BB">
            <w:pPr>
              <w:rPr>
                <w:lang w:val="en-US"/>
              </w:rPr>
            </w:pPr>
            <w:r w:rsidRPr="00A11E01">
              <w:rPr>
                <w:lang w:val="en-US"/>
              </w:rPr>
              <w:t>Cover crop (according to treatment)</w:t>
            </w:r>
          </w:p>
          <w:p w14:paraId="7BF4938F" w14:textId="4BCDC1ED" w:rsidR="00A11E01" w:rsidRDefault="00A11E01" w:rsidP="000369BB">
            <w:pPr>
              <w:rPr>
                <w:lang w:val="en-US"/>
              </w:rPr>
            </w:pPr>
            <w:r w:rsidRPr="00A11E01">
              <w:rPr>
                <w:lang w:val="en-US"/>
              </w:rPr>
              <w:t>Volunteer (according to previous crop)</w:t>
            </w:r>
          </w:p>
          <w:p w14:paraId="00713F7E" w14:textId="49DFBFD4" w:rsidR="00A11E01" w:rsidRPr="00A11E01" w:rsidRDefault="00A11E01" w:rsidP="000369BB">
            <w:pPr>
              <w:rPr>
                <w:lang w:val="en-US"/>
              </w:rPr>
            </w:pPr>
            <w:r>
              <w:rPr>
                <w:lang w:val="en-US"/>
              </w:rPr>
              <w:t>Other (all other biomass)</w:t>
            </w:r>
          </w:p>
        </w:tc>
      </w:tr>
      <w:tr w:rsidR="00A11E01" w:rsidRPr="001D2342" w14:paraId="3723EEF4" w14:textId="77777777" w:rsidTr="00FF03B7">
        <w:tc>
          <w:tcPr>
            <w:tcW w:w="3539" w:type="dxa"/>
          </w:tcPr>
          <w:p w14:paraId="1A1B2C70" w14:textId="2FE449E9" w:rsidR="00A11E01" w:rsidRPr="00A11E01" w:rsidRDefault="00A11E01" w:rsidP="00FF03B7">
            <w:pPr>
              <w:rPr>
                <w:lang w:val="en-US"/>
              </w:rPr>
            </w:pPr>
            <w:r w:rsidRPr="00A11E01">
              <w:rPr>
                <w:lang w:val="en-US"/>
              </w:rPr>
              <w:t>Spring weed counts</w:t>
            </w:r>
            <w:r w:rsidR="0029022B">
              <w:rPr>
                <w:lang w:val="en-US"/>
              </w:rPr>
              <w:t xml:space="preserve"> (number m-2)</w:t>
            </w:r>
          </w:p>
        </w:tc>
        <w:tc>
          <w:tcPr>
            <w:tcW w:w="5477" w:type="dxa"/>
          </w:tcPr>
          <w:p w14:paraId="67E192BA" w14:textId="036B632E" w:rsidR="00C13F5B" w:rsidRPr="00C13F5B" w:rsidRDefault="00FF03B7" w:rsidP="000369BB">
            <w:pPr>
              <w:rPr>
                <w:lang w:val="en-US"/>
              </w:rPr>
            </w:pPr>
            <w:r w:rsidRPr="00C13F5B">
              <w:rPr>
                <w:lang w:val="en-US"/>
              </w:rPr>
              <w:t>Cirsium</w:t>
            </w:r>
            <w:r w:rsidR="00C13F5B" w:rsidRPr="00C13F5B">
              <w:rPr>
                <w:lang w:val="en-US"/>
              </w:rPr>
              <w:t xml:space="preserve"> arvense</w:t>
            </w:r>
          </w:p>
          <w:p w14:paraId="30B69A65" w14:textId="6D65B009" w:rsidR="00C13F5B" w:rsidRPr="00C13F5B" w:rsidRDefault="00C13F5B" w:rsidP="00C13F5B">
            <w:pPr>
              <w:rPr>
                <w:lang w:val="en-US"/>
              </w:rPr>
            </w:pPr>
            <w:r w:rsidRPr="00C13F5B">
              <w:rPr>
                <w:lang w:val="en-US"/>
              </w:rPr>
              <w:t>Equisetum arvense</w:t>
            </w:r>
          </w:p>
          <w:p w14:paraId="4F6ED6B8" w14:textId="680A22AF" w:rsidR="00A11E01" w:rsidRPr="00C13F5B" w:rsidRDefault="00C13F5B" w:rsidP="000369BB">
            <w:pPr>
              <w:rPr>
                <w:lang w:val="en-US"/>
              </w:rPr>
            </w:pPr>
            <w:r w:rsidRPr="00C13F5B">
              <w:rPr>
                <w:lang w:val="en-US"/>
              </w:rPr>
              <w:t>Dicot</w:t>
            </w:r>
          </w:p>
          <w:p w14:paraId="1F84725C" w14:textId="0F61AC01" w:rsidR="00C13F5B" w:rsidRDefault="00C13F5B" w:rsidP="00246C32">
            <w:pPr>
              <w:rPr>
                <w:b/>
                <w:bCs/>
                <w:lang w:val="en-US"/>
              </w:rPr>
            </w:pPr>
            <w:r w:rsidRPr="00C13F5B">
              <w:rPr>
                <w:lang w:val="en-US"/>
              </w:rPr>
              <w:t>Monocot</w:t>
            </w:r>
          </w:p>
        </w:tc>
      </w:tr>
    </w:tbl>
    <w:p w14:paraId="37FCE944" w14:textId="77777777" w:rsidR="00A11E01" w:rsidRDefault="00A11E01" w:rsidP="00CE16B2">
      <w:pPr>
        <w:rPr>
          <w:b/>
          <w:bCs/>
          <w:lang w:val="en-US"/>
        </w:rPr>
      </w:pPr>
    </w:p>
    <w:p w14:paraId="6955F742" w14:textId="77777777" w:rsidR="00FF03B7" w:rsidRDefault="00FF03B7" w:rsidP="00CE16B2">
      <w:pPr>
        <w:rPr>
          <w:lang w:val="en-US"/>
        </w:rPr>
      </w:pPr>
      <w:r w:rsidRPr="00FF03B7">
        <w:rPr>
          <w:lang w:val="en-US"/>
        </w:rPr>
        <w:t xml:space="preserve">Timing </w:t>
      </w:r>
      <w:r>
        <w:rPr>
          <w:lang w:val="en-US"/>
        </w:rPr>
        <w:t xml:space="preserve">of measurements relative to other field activities is presented in </w:t>
      </w:r>
      <w:r w:rsidRPr="004D04B2">
        <w:rPr>
          <w:b/>
          <w:bCs/>
          <w:highlight w:val="yellow"/>
          <w:lang w:val="en-US"/>
        </w:rPr>
        <w:t>Figure X1</w:t>
      </w:r>
      <w:r>
        <w:rPr>
          <w:lang w:val="en-US"/>
        </w:rPr>
        <w:t>.</w:t>
      </w:r>
    </w:p>
    <w:p w14:paraId="49EEBDB9" w14:textId="5D15B66D" w:rsidR="00FF03B7" w:rsidRDefault="00114216" w:rsidP="00CE16B2">
      <w:pPr>
        <w:rPr>
          <w:lang w:val="en-US"/>
        </w:rPr>
      </w:pPr>
      <w:r>
        <w:rPr>
          <w:noProof/>
          <w:lang w:val="en-US"/>
        </w:rPr>
        <w:lastRenderedPageBreak/>
        <w:drawing>
          <wp:inline distT="0" distB="0" distL="0" distR="0" wp14:anchorId="2504547B" wp14:editId="6EF19670">
            <wp:extent cx="5731510" cy="2251710"/>
            <wp:effectExtent l="0" t="0" r="0" b="0"/>
            <wp:docPr id="2125853703"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853703" name="Picture 2"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251710"/>
                    </a:xfrm>
                    <a:prstGeom prst="rect">
                      <a:avLst/>
                    </a:prstGeom>
                  </pic:spPr>
                </pic:pic>
              </a:graphicData>
            </a:graphic>
          </wp:inline>
        </w:drawing>
      </w:r>
    </w:p>
    <w:p w14:paraId="6AFFA442" w14:textId="4CA8BC1E" w:rsidR="00FF03B7" w:rsidRPr="00FF03B7" w:rsidRDefault="00FF03B7" w:rsidP="00871A14">
      <w:pPr>
        <w:pStyle w:val="Subtitle"/>
        <w:rPr>
          <w:lang w:val="en-US"/>
        </w:rPr>
      </w:pPr>
      <w:r>
        <w:rPr>
          <w:lang w:val="en-US"/>
        </w:rPr>
        <w:t xml:space="preserve">Figure X1. </w:t>
      </w:r>
      <w:r w:rsidR="007A7509">
        <w:rPr>
          <w:lang w:val="en-US"/>
        </w:rPr>
        <w:t>Timeline of field activities and sampling events. Non-inversion tillage consisted of</w:t>
      </w:r>
      <w:proofErr w:type="gramStart"/>
      <w:r w:rsidR="004D04B2" w:rsidRPr="004D04B2">
        <w:rPr>
          <w:color w:val="FF0000"/>
          <w:lang w:val="en-US"/>
        </w:rPr>
        <w:t>…(</w:t>
      </w:r>
      <w:proofErr w:type="gramEnd"/>
      <w:r w:rsidR="004D04B2" w:rsidRPr="004D04B2">
        <w:rPr>
          <w:color w:val="FF0000"/>
          <w:lang w:val="en-US"/>
        </w:rPr>
        <w:t xml:space="preserve">I’m not sure) </w:t>
      </w:r>
      <w:r w:rsidR="007A7509" w:rsidRPr="004D04B2">
        <w:rPr>
          <w:color w:val="FF0000"/>
          <w:lang w:val="en-US"/>
        </w:rPr>
        <w:t xml:space="preserve">early spring harrowing and chisel plowing, inversion tillage of mold-board plow  </w:t>
      </w:r>
      <w:r w:rsidRPr="004D04B2">
        <w:rPr>
          <w:color w:val="FF0000"/>
          <w:lang w:val="en-US"/>
        </w:rPr>
        <w:t xml:space="preserve"> </w:t>
      </w:r>
    </w:p>
    <w:p w14:paraId="4C5A1A8C" w14:textId="14F06F39" w:rsidR="00CE16B2" w:rsidRPr="00CE16B2" w:rsidRDefault="00CE16B2" w:rsidP="00871A14">
      <w:pPr>
        <w:pStyle w:val="Heading4"/>
        <w:rPr>
          <w:lang w:val="en-US"/>
        </w:rPr>
      </w:pPr>
      <w:r w:rsidRPr="00CE16B2">
        <w:rPr>
          <w:lang w:val="en-US"/>
        </w:rPr>
        <w:t>Fall ground cover composition</w:t>
      </w:r>
    </w:p>
    <w:p w14:paraId="0A69A547" w14:textId="6E567365" w:rsidR="00F53926" w:rsidRDefault="00E02EB6" w:rsidP="00F42513">
      <w:pPr>
        <w:rPr>
          <w:lang w:val="en-US"/>
        </w:rPr>
      </w:pPr>
      <w:r w:rsidRPr="00E02EB6">
        <w:rPr>
          <w:lang w:val="en-US"/>
        </w:rPr>
        <w:t xml:space="preserve">Ground cover </w:t>
      </w:r>
      <w:r>
        <w:rPr>
          <w:lang w:val="en-US"/>
        </w:rPr>
        <w:t xml:space="preserve">composition </w:t>
      </w:r>
      <w:r w:rsidRPr="00E02EB6">
        <w:rPr>
          <w:lang w:val="en-US"/>
        </w:rPr>
        <w:t>was estimated from digital images taken </w:t>
      </w:r>
      <w:r>
        <w:rPr>
          <w:lang w:val="en-US"/>
        </w:rPr>
        <w:t>in the fall (9 November 20</w:t>
      </w:r>
      <w:r w:rsidR="002B1E54">
        <w:rPr>
          <w:lang w:val="en-US"/>
        </w:rPr>
        <w:t>18 and 1 November 2019)</w:t>
      </w:r>
      <w:r w:rsidR="00F53926">
        <w:rPr>
          <w:lang w:val="en-US"/>
        </w:rPr>
        <w:t xml:space="preserve"> as done in Melander et al. (2013)</w:t>
      </w:r>
      <w:r w:rsidR="002B1E54">
        <w:rPr>
          <w:lang w:val="en-US"/>
        </w:rPr>
        <w:t>.</w:t>
      </w:r>
      <w:r w:rsidRPr="00E02EB6">
        <w:rPr>
          <w:lang w:val="en-US"/>
        </w:rPr>
        <w:t xml:space="preserve"> </w:t>
      </w:r>
      <w:r w:rsidR="002B1E54">
        <w:rPr>
          <w:lang w:val="en-US"/>
        </w:rPr>
        <w:t xml:space="preserve">A </w:t>
      </w:r>
      <w:r w:rsidRPr="00E02EB6">
        <w:rPr>
          <w:lang w:val="en-US"/>
        </w:rPr>
        <w:t>0.5 m</w:t>
      </w:r>
      <w:r w:rsidRPr="00E02EB6">
        <w:rPr>
          <w:vertAlign w:val="superscript"/>
          <w:lang w:val="en-US"/>
        </w:rPr>
        <w:t>2</w:t>
      </w:r>
      <w:r w:rsidRPr="00E02EB6">
        <w:rPr>
          <w:lang w:val="en-US"/>
        </w:rPr>
        <w:t xml:space="preserve"> quadrat </w:t>
      </w:r>
      <w:r w:rsidR="002B1E54">
        <w:rPr>
          <w:lang w:val="en-US"/>
        </w:rPr>
        <w:t xml:space="preserve">was placed in the plot, and an image was taken from a height of </w:t>
      </w:r>
      <w:commentRangeStart w:id="5"/>
      <w:r w:rsidR="002B1E54" w:rsidRPr="00A22561">
        <w:rPr>
          <w:color w:val="FF0000"/>
          <w:lang w:val="en-US"/>
        </w:rPr>
        <w:t>XX</w:t>
      </w:r>
      <w:commentRangeEnd w:id="5"/>
      <w:r w:rsidR="00005CB2">
        <w:rPr>
          <w:rStyle w:val="CommentReference"/>
        </w:rPr>
        <w:commentReference w:id="5"/>
      </w:r>
      <w:r w:rsidR="002B1E54">
        <w:rPr>
          <w:lang w:val="en-US"/>
        </w:rPr>
        <w:t xml:space="preserve"> </w:t>
      </w:r>
      <w:r w:rsidRPr="00E02EB6">
        <w:rPr>
          <w:lang w:val="en-US"/>
        </w:rPr>
        <w:t>above the cent</w:t>
      </w:r>
      <w:r w:rsidR="002B1E54">
        <w:rPr>
          <w:lang w:val="en-US"/>
        </w:rPr>
        <w:t>er</w:t>
      </w:r>
      <w:r w:rsidRPr="00E02EB6">
        <w:rPr>
          <w:lang w:val="en-US"/>
        </w:rPr>
        <w:t xml:space="preserve"> of the quadrat. </w:t>
      </w:r>
      <w:r w:rsidR="00A22561">
        <w:rPr>
          <w:lang w:val="en-US"/>
        </w:rPr>
        <w:t>Three</w:t>
      </w:r>
      <w:r w:rsidR="002B1E54">
        <w:rPr>
          <w:lang w:val="en-US"/>
        </w:rPr>
        <w:t xml:space="preserve"> images were taken in each plot. </w:t>
      </w:r>
      <w:r w:rsidRPr="00E02EB6">
        <w:rPr>
          <w:lang w:val="en-US"/>
        </w:rPr>
        <w:t xml:space="preserve">Each image was subsequently </w:t>
      </w:r>
      <w:r w:rsidR="002B1E54">
        <w:rPr>
          <w:lang w:val="en-US"/>
        </w:rPr>
        <w:t xml:space="preserve">overlaid with a grid consisting of </w:t>
      </w:r>
      <w:r w:rsidRPr="00E02EB6">
        <w:rPr>
          <w:lang w:val="en-US"/>
        </w:rPr>
        <w:t>17 vertical and 17 horizontal lines</w:t>
      </w:r>
      <w:r w:rsidR="002B1E54">
        <w:rPr>
          <w:lang w:val="en-US"/>
        </w:rPr>
        <w:t xml:space="preserve">, resulting in </w:t>
      </w:r>
      <w:r w:rsidRPr="00E02EB6">
        <w:rPr>
          <w:lang w:val="en-US"/>
        </w:rPr>
        <w:t>289 intersections</w:t>
      </w:r>
      <w:r w:rsidR="002B1E54">
        <w:rPr>
          <w:lang w:val="en-US"/>
        </w:rPr>
        <w:t xml:space="preserve"> per image. Each intersection was</w:t>
      </w:r>
      <w:r w:rsidR="00E04EF8">
        <w:rPr>
          <w:lang w:val="en-US"/>
        </w:rPr>
        <w:t xml:space="preserve"> classified as a soil or plant. Plant intersections were identified to the genus or species level</w:t>
      </w:r>
      <w:r w:rsidR="00A22561">
        <w:rPr>
          <w:lang w:val="en-US"/>
        </w:rPr>
        <w:t xml:space="preserve"> (Table X</w:t>
      </w:r>
      <w:proofErr w:type="gramStart"/>
      <w:r w:rsidR="00A22561">
        <w:rPr>
          <w:lang w:val="en-US"/>
        </w:rPr>
        <w:t>)</w:t>
      </w:r>
      <w:r w:rsidR="00E04EF8">
        <w:rPr>
          <w:lang w:val="en-US"/>
        </w:rPr>
        <w:t>, and</w:t>
      </w:r>
      <w:proofErr w:type="gramEnd"/>
      <w:r w:rsidR="00E04EF8">
        <w:rPr>
          <w:lang w:val="en-US"/>
        </w:rPr>
        <w:t xml:space="preserve"> classified as ‘cover crop’ or ‘other’, depending on the plot treatment. For example, a </w:t>
      </w:r>
      <w:r w:rsidR="00A22561">
        <w:rPr>
          <w:i/>
          <w:iCs/>
          <w:lang w:val="en-US"/>
        </w:rPr>
        <w:t>L</w:t>
      </w:r>
      <w:r w:rsidR="00E04EF8" w:rsidRPr="00A22561">
        <w:rPr>
          <w:i/>
          <w:iCs/>
          <w:lang w:val="en-US"/>
        </w:rPr>
        <w:t>olium</w:t>
      </w:r>
      <w:r w:rsidR="00A22561" w:rsidRPr="00A22561">
        <w:rPr>
          <w:i/>
          <w:iCs/>
          <w:lang w:val="en-US"/>
        </w:rPr>
        <w:t xml:space="preserve"> </w:t>
      </w:r>
      <w:proofErr w:type="spellStart"/>
      <w:r w:rsidR="00A22561" w:rsidRPr="00A22561">
        <w:rPr>
          <w:i/>
          <w:iCs/>
          <w:lang w:val="en-US"/>
        </w:rPr>
        <w:t>perenne</w:t>
      </w:r>
      <w:proofErr w:type="spellEnd"/>
      <w:r w:rsidR="00A22561">
        <w:rPr>
          <w:lang w:val="en-US"/>
        </w:rPr>
        <w:t xml:space="preserve"> intersection was classified as ‘cover crop’ in plots with an </w:t>
      </w:r>
      <w:r w:rsidR="00A22561" w:rsidRPr="00A22561">
        <w:rPr>
          <w:i/>
          <w:iCs/>
          <w:lang w:val="en-US"/>
        </w:rPr>
        <w:t xml:space="preserve">L. </w:t>
      </w:r>
      <w:proofErr w:type="spellStart"/>
      <w:r w:rsidR="00A22561" w:rsidRPr="00A22561">
        <w:rPr>
          <w:i/>
          <w:iCs/>
          <w:lang w:val="en-US"/>
        </w:rPr>
        <w:t>perenne</w:t>
      </w:r>
      <w:proofErr w:type="spellEnd"/>
      <w:r w:rsidR="00A22561">
        <w:rPr>
          <w:lang w:val="en-US"/>
        </w:rPr>
        <w:t>-</w:t>
      </w:r>
      <w:r w:rsidR="00A22561" w:rsidRPr="00A22561">
        <w:rPr>
          <w:i/>
          <w:iCs/>
          <w:lang w:val="en-US"/>
        </w:rPr>
        <w:t>Trifolium repens</w:t>
      </w:r>
      <w:r w:rsidR="00A22561">
        <w:rPr>
          <w:i/>
          <w:iCs/>
          <w:lang w:val="en-US"/>
        </w:rPr>
        <w:t xml:space="preserve"> </w:t>
      </w:r>
      <w:r w:rsidR="00A22561">
        <w:rPr>
          <w:lang w:val="en-US"/>
        </w:rPr>
        <w:t xml:space="preserve">cover crop mixture, but as ‘other’ in all other plots. </w:t>
      </w:r>
      <w:r w:rsidRPr="00E02EB6">
        <w:rPr>
          <w:lang w:val="en-US"/>
        </w:rPr>
        <w:t>Percen</w:t>
      </w:r>
      <w:r w:rsidR="002B1E54">
        <w:rPr>
          <w:lang w:val="en-US"/>
        </w:rPr>
        <w:t xml:space="preserve">t </w:t>
      </w:r>
      <w:r w:rsidRPr="00E02EB6">
        <w:rPr>
          <w:lang w:val="en-US"/>
        </w:rPr>
        <w:t xml:space="preserve">coverage </w:t>
      </w:r>
      <w:r w:rsidR="002B1E54">
        <w:rPr>
          <w:lang w:val="en-US"/>
        </w:rPr>
        <w:t xml:space="preserve">of each category </w:t>
      </w:r>
      <w:r w:rsidRPr="00E02EB6">
        <w:rPr>
          <w:lang w:val="en-US"/>
        </w:rPr>
        <w:t>in the quadrat was then calculated by dividing the number of touched intersections</w:t>
      </w:r>
      <w:r w:rsidR="002B1E54">
        <w:rPr>
          <w:lang w:val="en-US"/>
        </w:rPr>
        <w:t xml:space="preserve"> in that category by </w:t>
      </w:r>
      <w:r w:rsidRPr="00E02EB6">
        <w:rPr>
          <w:lang w:val="en-US"/>
        </w:rPr>
        <w:t xml:space="preserve">289 intersections. </w:t>
      </w:r>
    </w:p>
    <w:p w14:paraId="4531A680" w14:textId="77777777" w:rsidR="00A11E01" w:rsidRDefault="00A11E01" w:rsidP="00871A14">
      <w:pPr>
        <w:pStyle w:val="Heading4"/>
        <w:rPr>
          <w:lang w:val="en-US"/>
        </w:rPr>
      </w:pPr>
      <w:r>
        <w:rPr>
          <w:lang w:val="en-US"/>
        </w:rPr>
        <w:t>Fall biomass</w:t>
      </w:r>
    </w:p>
    <w:p w14:paraId="1CCD5777" w14:textId="77777777" w:rsidR="00A11E01" w:rsidRPr="00CE16B2" w:rsidRDefault="00A11E01" w:rsidP="00A11E01">
      <w:pPr>
        <w:rPr>
          <w:b/>
          <w:bCs/>
          <w:lang w:val="en-US"/>
        </w:rPr>
      </w:pPr>
      <w:r>
        <w:rPr>
          <w:b/>
          <w:bCs/>
          <w:lang w:val="en-US"/>
        </w:rPr>
        <w:t xml:space="preserve">Need details from Bo. </w:t>
      </w:r>
    </w:p>
    <w:p w14:paraId="25FBE565" w14:textId="3040BC19" w:rsidR="00CE16B2" w:rsidRPr="00CE16B2" w:rsidRDefault="00CE16B2" w:rsidP="00871A14">
      <w:pPr>
        <w:pStyle w:val="Heading4"/>
        <w:rPr>
          <w:lang w:val="en-US"/>
        </w:rPr>
      </w:pPr>
      <w:r w:rsidRPr="00CE16B2">
        <w:rPr>
          <w:lang w:val="en-US"/>
        </w:rPr>
        <w:t>Spring weed counts</w:t>
      </w:r>
    </w:p>
    <w:p w14:paraId="0BF8AAE3" w14:textId="77777777" w:rsidR="004D04B2" w:rsidRPr="00CE16B2" w:rsidRDefault="004D04B2" w:rsidP="004D04B2">
      <w:pPr>
        <w:rPr>
          <w:b/>
          <w:bCs/>
          <w:lang w:val="en-US"/>
        </w:rPr>
      </w:pPr>
      <w:r>
        <w:rPr>
          <w:b/>
          <w:bCs/>
          <w:lang w:val="en-US"/>
        </w:rPr>
        <w:t xml:space="preserve">Need details from Bo. </w:t>
      </w:r>
    </w:p>
    <w:p w14:paraId="45B6CFFF" w14:textId="77777777" w:rsidR="00213D4F" w:rsidRDefault="00213D4F" w:rsidP="00F42513">
      <w:pPr>
        <w:rPr>
          <w:lang w:val="en-US"/>
        </w:rPr>
      </w:pPr>
    </w:p>
    <w:p w14:paraId="4758AF0F" w14:textId="77777777" w:rsidR="00CE16B2" w:rsidRDefault="00CE16B2" w:rsidP="00F42513">
      <w:pPr>
        <w:rPr>
          <w:lang w:val="en-US"/>
        </w:rPr>
      </w:pPr>
    </w:p>
    <w:p w14:paraId="0D7318B8" w14:textId="77777777" w:rsidR="00CB729C" w:rsidRDefault="00CB729C" w:rsidP="00F42513">
      <w:pPr>
        <w:rPr>
          <w:lang w:val="en-US"/>
        </w:rPr>
      </w:pPr>
    </w:p>
    <w:p w14:paraId="681C48B3" w14:textId="77777777" w:rsidR="00F42513" w:rsidRPr="00491D4B" w:rsidRDefault="00F42513">
      <w:pPr>
        <w:rPr>
          <w:lang w:val="en-US"/>
        </w:rPr>
      </w:pPr>
    </w:p>
    <w:sectPr w:rsidR="00F42513" w:rsidRPr="00491D4B">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Virginia Anne Nichols" w:date="2025-01-30T21:16:00Z" w:initials="VN">
    <w:p w14:paraId="709C76C0" w14:textId="77777777" w:rsidR="00005CB2" w:rsidRDefault="00005CB2" w:rsidP="00005CB2">
      <w:pPr>
        <w:pStyle w:val="CommentText"/>
      </w:pPr>
      <w:r>
        <w:rPr>
          <w:rStyle w:val="CommentReference"/>
        </w:rPr>
        <w:annotationRef/>
      </w:r>
      <w:r>
        <w:t>I don’t know how these values were determined. They were reported in Scherner et al. 2016</w:t>
      </w:r>
    </w:p>
  </w:comment>
  <w:comment w:id="1" w:author="Virginia Anne Nichols" w:date="2025-01-30T21:18:00Z" w:initials="VN">
    <w:p w14:paraId="6346D4E2" w14:textId="77777777" w:rsidR="00005CB2" w:rsidRDefault="00005CB2" w:rsidP="00005CB2">
      <w:pPr>
        <w:pStyle w:val="CommentText"/>
      </w:pPr>
      <w:r>
        <w:rPr>
          <w:rStyle w:val="CommentReference"/>
        </w:rPr>
        <w:annotationRef/>
      </w:r>
      <w:r>
        <w:t>I just need you to write this. I’ve been back and forth many times and it is still unclear to me, so it would be much much easier if you wrote what happened in 2018-2020.</w:t>
      </w:r>
    </w:p>
  </w:comment>
  <w:comment w:id="2" w:author="Virginia Anne Nichols" w:date="2025-01-30T21:20:00Z" w:initials="VN">
    <w:p w14:paraId="0655DD6E" w14:textId="77777777" w:rsidR="00005CB2" w:rsidRDefault="00005CB2" w:rsidP="00005CB2">
      <w:pPr>
        <w:pStyle w:val="CommentText"/>
      </w:pPr>
      <w:r>
        <w:rPr>
          <w:rStyle w:val="CommentReference"/>
        </w:rPr>
        <w:annotationRef/>
      </w:r>
      <w:r>
        <w:t>Copied from Scherner et al., please check</w:t>
      </w:r>
    </w:p>
  </w:comment>
  <w:comment w:id="3" w:author="Virginia Anne Nichols" w:date="2025-01-30T21:20:00Z" w:initials="VN">
    <w:p w14:paraId="55B7239F" w14:textId="77777777" w:rsidR="00005CB2" w:rsidRDefault="00005CB2" w:rsidP="00005CB2">
      <w:pPr>
        <w:pStyle w:val="CommentText"/>
      </w:pPr>
      <w:r>
        <w:rPr>
          <w:rStyle w:val="CommentReference"/>
        </w:rPr>
        <w:annotationRef/>
      </w:r>
      <w:r>
        <w:t>Can you fill this in?</w:t>
      </w:r>
    </w:p>
  </w:comment>
  <w:comment w:id="4" w:author="Virginia Anne Nichols" w:date="2025-01-30T21:20:00Z" w:initials="VN">
    <w:p w14:paraId="305C2D7F" w14:textId="77777777" w:rsidR="00005CB2" w:rsidRDefault="00005CB2" w:rsidP="00005CB2">
      <w:pPr>
        <w:pStyle w:val="CommentText"/>
      </w:pPr>
      <w:r>
        <w:rPr>
          <w:rStyle w:val="CommentReference"/>
        </w:rPr>
        <w:annotationRef/>
      </w:r>
      <w:r>
        <w:t>Please fill in</w:t>
      </w:r>
    </w:p>
  </w:comment>
  <w:comment w:id="5" w:author="Virginia Anne Nichols" w:date="2025-01-30T21:21:00Z" w:initials="VN">
    <w:p w14:paraId="2ED74400" w14:textId="77777777" w:rsidR="00005CB2" w:rsidRDefault="00005CB2" w:rsidP="00005CB2">
      <w:pPr>
        <w:pStyle w:val="CommentText"/>
      </w:pPr>
      <w:r>
        <w:rPr>
          <w:rStyle w:val="CommentReference"/>
        </w:rPr>
        <w:annotationRef/>
      </w:r>
      <w:r>
        <w:t>Bo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09C76C0" w15:done="0"/>
  <w15:commentEx w15:paraId="6346D4E2" w15:done="0"/>
  <w15:commentEx w15:paraId="0655DD6E" w15:done="0"/>
  <w15:commentEx w15:paraId="55B7239F" w15:done="0"/>
  <w15:commentEx w15:paraId="305C2D7F" w15:done="0"/>
  <w15:commentEx w15:paraId="2ED7440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142ABC2" w16cex:dateUtc="2025-01-30T20:16:00Z"/>
  <w16cex:commentExtensible w16cex:durableId="304F63AF" w16cex:dateUtc="2025-01-30T20:18:00Z"/>
  <w16cex:commentExtensible w16cex:durableId="02D8631F" w16cex:dateUtc="2025-01-30T20:20:00Z"/>
  <w16cex:commentExtensible w16cex:durableId="464F3E83" w16cex:dateUtc="2025-01-30T20:20:00Z"/>
  <w16cex:commentExtensible w16cex:durableId="0E1ED170" w16cex:dateUtc="2025-01-30T20:20:00Z"/>
  <w16cex:commentExtensible w16cex:durableId="06455F93" w16cex:dateUtc="2025-01-30T20: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09C76C0" w16cid:durableId="6142ABC2"/>
  <w16cid:commentId w16cid:paraId="6346D4E2" w16cid:durableId="304F63AF"/>
  <w16cid:commentId w16cid:paraId="0655DD6E" w16cid:durableId="02D8631F"/>
  <w16cid:commentId w16cid:paraId="55B7239F" w16cid:durableId="464F3E83"/>
  <w16cid:commentId w16cid:paraId="305C2D7F" w16cid:durableId="0E1ED170"/>
  <w16cid:commentId w16cid:paraId="2ED74400" w16cid:durableId="06455F9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370450"/>
    <w:multiLevelType w:val="hybridMultilevel"/>
    <w:tmpl w:val="CB82DDCC"/>
    <w:lvl w:ilvl="0" w:tplc="DC0A1A7E">
      <w:start w:val="3"/>
      <w:numFmt w:val="bullet"/>
      <w:lvlText w:val="-"/>
      <w:lvlJc w:val="left"/>
      <w:pPr>
        <w:ind w:left="720" w:hanging="360"/>
      </w:pPr>
      <w:rPr>
        <w:rFonts w:ascii="Aptos" w:eastAsiaTheme="minorHAnsi" w:hAnsi="Aptos"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159601474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Virginia Anne Nichols">
    <w15:presenceInfo w15:providerId="AD" w15:userId="S::au757887@uni.au.dk::1e8bc941-3906-405c-be8c-f2e8d9cc7a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D4B"/>
    <w:rsid w:val="00005CB2"/>
    <w:rsid w:val="00015B25"/>
    <w:rsid w:val="000572BC"/>
    <w:rsid w:val="000E0AFB"/>
    <w:rsid w:val="000E51DB"/>
    <w:rsid w:val="00114216"/>
    <w:rsid w:val="00186B99"/>
    <w:rsid w:val="001A50D8"/>
    <w:rsid w:val="001D2342"/>
    <w:rsid w:val="001E65CE"/>
    <w:rsid w:val="00203B35"/>
    <w:rsid w:val="00213D4F"/>
    <w:rsid w:val="00246C32"/>
    <w:rsid w:val="0027200C"/>
    <w:rsid w:val="002722ED"/>
    <w:rsid w:val="00286562"/>
    <w:rsid w:val="0029022B"/>
    <w:rsid w:val="002B1E54"/>
    <w:rsid w:val="003208C8"/>
    <w:rsid w:val="00325130"/>
    <w:rsid w:val="00404FB1"/>
    <w:rsid w:val="00432D6D"/>
    <w:rsid w:val="00491D4B"/>
    <w:rsid w:val="00493002"/>
    <w:rsid w:val="004D04B2"/>
    <w:rsid w:val="004F4555"/>
    <w:rsid w:val="00507EFC"/>
    <w:rsid w:val="005E3F4C"/>
    <w:rsid w:val="00722B44"/>
    <w:rsid w:val="00791AD3"/>
    <w:rsid w:val="007A7509"/>
    <w:rsid w:val="007C2F67"/>
    <w:rsid w:val="007C72D4"/>
    <w:rsid w:val="00871A14"/>
    <w:rsid w:val="00A11E01"/>
    <w:rsid w:val="00A22561"/>
    <w:rsid w:val="00AE0E94"/>
    <w:rsid w:val="00B067E5"/>
    <w:rsid w:val="00B97172"/>
    <w:rsid w:val="00C13F5B"/>
    <w:rsid w:val="00C269A9"/>
    <w:rsid w:val="00CA5A70"/>
    <w:rsid w:val="00CB729C"/>
    <w:rsid w:val="00CE16B2"/>
    <w:rsid w:val="00D35E4F"/>
    <w:rsid w:val="00D85055"/>
    <w:rsid w:val="00DE3BD7"/>
    <w:rsid w:val="00E02EB6"/>
    <w:rsid w:val="00E04EF8"/>
    <w:rsid w:val="00EA03AB"/>
    <w:rsid w:val="00EB1201"/>
    <w:rsid w:val="00ED4D4D"/>
    <w:rsid w:val="00EE34C4"/>
    <w:rsid w:val="00F42513"/>
    <w:rsid w:val="00F47A3A"/>
    <w:rsid w:val="00F53926"/>
    <w:rsid w:val="00F903D1"/>
    <w:rsid w:val="00FC4190"/>
    <w:rsid w:val="00FF03B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932C8"/>
  <w15:docId w15:val="{4EEDBFA0-E41E-4745-9D60-E843FA41A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1D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91D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91D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91D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1D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1D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1D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1D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1D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1D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91D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91D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91D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1D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1D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1D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1D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1D4B"/>
    <w:rPr>
      <w:rFonts w:eastAsiaTheme="majorEastAsia" w:cstheme="majorBidi"/>
      <w:color w:val="272727" w:themeColor="text1" w:themeTint="D8"/>
    </w:rPr>
  </w:style>
  <w:style w:type="paragraph" w:styleId="Title">
    <w:name w:val="Title"/>
    <w:basedOn w:val="Normal"/>
    <w:next w:val="Normal"/>
    <w:link w:val="TitleChar"/>
    <w:uiPriority w:val="10"/>
    <w:qFormat/>
    <w:rsid w:val="00491D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1D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1D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1D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1D4B"/>
    <w:pPr>
      <w:spacing w:before="160"/>
      <w:jc w:val="center"/>
    </w:pPr>
    <w:rPr>
      <w:i/>
      <w:iCs/>
      <w:color w:val="404040" w:themeColor="text1" w:themeTint="BF"/>
    </w:rPr>
  </w:style>
  <w:style w:type="character" w:customStyle="1" w:styleId="QuoteChar">
    <w:name w:val="Quote Char"/>
    <w:basedOn w:val="DefaultParagraphFont"/>
    <w:link w:val="Quote"/>
    <w:uiPriority w:val="29"/>
    <w:rsid w:val="00491D4B"/>
    <w:rPr>
      <w:i/>
      <w:iCs/>
      <w:color w:val="404040" w:themeColor="text1" w:themeTint="BF"/>
    </w:rPr>
  </w:style>
  <w:style w:type="paragraph" w:styleId="ListParagraph">
    <w:name w:val="List Paragraph"/>
    <w:basedOn w:val="Normal"/>
    <w:uiPriority w:val="34"/>
    <w:qFormat/>
    <w:rsid w:val="00491D4B"/>
    <w:pPr>
      <w:ind w:left="720"/>
      <w:contextualSpacing/>
    </w:pPr>
  </w:style>
  <w:style w:type="character" w:styleId="IntenseEmphasis">
    <w:name w:val="Intense Emphasis"/>
    <w:basedOn w:val="DefaultParagraphFont"/>
    <w:uiPriority w:val="21"/>
    <w:qFormat/>
    <w:rsid w:val="00491D4B"/>
    <w:rPr>
      <w:i/>
      <w:iCs/>
      <w:color w:val="0F4761" w:themeColor="accent1" w:themeShade="BF"/>
    </w:rPr>
  </w:style>
  <w:style w:type="paragraph" w:styleId="IntenseQuote">
    <w:name w:val="Intense Quote"/>
    <w:basedOn w:val="Normal"/>
    <w:next w:val="Normal"/>
    <w:link w:val="IntenseQuoteChar"/>
    <w:uiPriority w:val="30"/>
    <w:qFormat/>
    <w:rsid w:val="00491D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1D4B"/>
    <w:rPr>
      <w:i/>
      <w:iCs/>
      <w:color w:val="0F4761" w:themeColor="accent1" w:themeShade="BF"/>
    </w:rPr>
  </w:style>
  <w:style w:type="character" w:styleId="IntenseReference">
    <w:name w:val="Intense Reference"/>
    <w:basedOn w:val="DefaultParagraphFont"/>
    <w:uiPriority w:val="32"/>
    <w:qFormat/>
    <w:rsid w:val="00491D4B"/>
    <w:rPr>
      <w:b/>
      <w:bCs/>
      <w:smallCaps/>
      <w:color w:val="0F4761" w:themeColor="accent1" w:themeShade="BF"/>
      <w:spacing w:val="5"/>
    </w:rPr>
  </w:style>
  <w:style w:type="table" w:styleId="TableGrid">
    <w:name w:val="Table Grid"/>
    <w:basedOn w:val="TableNormal"/>
    <w:uiPriority w:val="39"/>
    <w:rsid w:val="00CB72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02EB6"/>
    <w:rPr>
      <w:color w:val="467886" w:themeColor="hyperlink"/>
      <w:u w:val="single"/>
    </w:rPr>
  </w:style>
  <w:style w:type="character" w:styleId="UnresolvedMention">
    <w:name w:val="Unresolved Mention"/>
    <w:basedOn w:val="DefaultParagraphFont"/>
    <w:uiPriority w:val="99"/>
    <w:semiHidden/>
    <w:unhideWhenUsed/>
    <w:rsid w:val="00E02EB6"/>
    <w:rPr>
      <w:color w:val="605E5C"/>
      <w:shd w:val="clear" w:color="auto" w:fill="E1DFDD"/>
    </w:rPr>
  </w:style>
  <w:style w:type="character" w:styleId="CommentReference">
    <w:name w:val="annotation reference"/>
    <w:basedOn w:val="DefaultParagraphFont"/>
    <w:uiPriority w:val="99"/>
    <w:semiHidden/>
    <w:unhideWhenUsed/>
    <w:rsid w:val="00005CB2"/>
    <w:rPr>
      <w:sz w:val="16"/>
      <w:szCs w:val="16"/>
    </w:rPr>
  </w:style>
  <w:style w:type="paragraph" w:styleId="CommentText">
    <w:name w:val="annotation text"/>
    <w:basedOn w:val="Normal"/>
    <w:link w:val="CommentTextChar"/>
    <w:uiPriority w:val="99"/>
    <w:unhideWhenUsed/>
    <w:rsid w:val="00005CB2"/>
    <w:pPr>
      <w:spacing w:line="240" w:lineRule="auto"/>
    </w:pPr>
    <w:rPr>
      <w:sz w:val="20"/>
      <w:szCs w:val="20"/>
    </w:rPr>
  </w:style>
  <w:style w:type="character" w:customStyle="1" w:styleId="CommentTextChar">
    <w:name w:val="Comment Text Char"/>
    <w:basedOn w:val="DefaultParagraphFont"/>
    <w:link w:val="CommentText"/>
    <w:uiPriority w:val="99"/>
    <w:rsid w:val="00005CB2"/>
    <w:rPr>
      <w:sz w:val="20"/>
      <w:szCs w:val="20"/>
    </w:rPr>
  </w:style>
  <w:style w:type="paragraph" w:styleId="CommentSubject">
    <w:name w:val="annotation subject"/>
    <w:basedOn w:val="CommentText"/>
    <w:next w:val="CommentText"/>
    <w:link w:val="CommentSubjectChar"/>
    <w:uiPriority w:val="99"/>
    <w:semiHidden/>
    <w:unhideWhenUsed/>
    <w:rsid w:val="00005CB2"/>
    <w:rPr>
      <w:b/>
      <w:bCs/>
    </w:rPr>
  </w:style>
  <w:style w:type="character" w:customStyle="1" w:styleId="CommentSubjectChar">
    <w:name w:val="Comment Subject Char"/>
    <w:basedOn w:val="CommentTextChar"/>
    <w:link w:val="CommentSubject"/>
    <w:uiPriority w:val="99"/>
    <w:semiHidden/>
    <w:rsid w:val="00005CB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7203081">
      <w:bodyDiv w:val="1"/>
      <w:marLeft w:val="0"/>
      <w:marRight w:val="0"/>
      <w:marTop w:val="0"/>
      <w:marBottom w:val="0"/>
      <w:divBdr>
        <w:top w:val="none" w:sz="0" w:space="0" w:color="auto"/>
        <w:left w:val="none" w:sz="0" w:space="0" w:color="auto"/>
        <w:bottom w:val="none" w:sz="0" w:space="0" w:color="auto"/>
        <w:right w:val="none" w:sz="0" w:space="0" w:color="auto"/>
      </w:divBdr>
    </w:div>
    <w:div w:id="892085828">
      <w:bodyDiv w:val="1"/>
      <w:marLeft w:val="0"/>
      <w:marRight w:val="0"/>
      <w:marTop w:val="0"/>
      <w:marBottom w:val="0"/>
      <w:divBdr>
        <w:top w:val="none" w:sz="0" w:space="0" w:color="auto"/>
        <w:left w:val="none" w:sz="0" w:space="0" w:color="auto"/>
        <w:bottom w:val="none" w:sz="0" w:space="0" w:color="auto"/>
        <w:right w:val="none" w:sz="0" w:space="0" w:color="auto"/>
      </w:divBdr>
    </w:div>
    <w:div w:id="1087579512">
      <w:bodyDiv w:val="1"/>
      <w:marLeft w:val="0"/>
      <w:marRight w:val="0"/>
      <w:marTop w:val="0"/>
      <w:marBottom w:val="0"/>
      <w:divBdr>
        <w:top w:val="none" w:sz="0" w:space="0" w:color="auto"/>
        <w:left w:val="none" w:sz="0" w:space="0" w:color="auto"/>
        <w:bottom w:val="none" w:sz="0" w:space="0" w:color="auto"/>
        <w:right w:val="none" w:sz="0" w:space="0" w:color="auto"/>
      </w:divBdr>
    </w:div>
    <w:div w:id="1606384394">
      <w:bodyDiv w:val="1"/>
      <w:marLeft w:val="0"/>
      <w:marRight w:val="0"/>
      <w:marTop w:val="0"/>
      <w:marBottom w:val="0"/>
      <w:divBdr>
        <w:top w:val="none" w:sz="0" w:space="0" w:color="auto"/>
        <w:left w:val="none" w:sz="0" w:space="0" w:color="auto"/>
        <w:bottom w:val="none" w:sz="0" w:space="0" w:color="auto"/>
        <w:right w:val="none" w:sz="0" w:space="0" w:color="auto"/>
      </w:divBdr>
    </w:div>
    <w:div w:id="1617132423">
      <w:bodyDiv w:val="1"/>
      <w:marLeft w:val="0"/>
      <w:marRight w:val="0"/>
      <w:marTop w:val="0"/>
      <w:marBottom w:val="0"/>
      <w:divBdr>
        <w:top w:val="none" w:sz="0" w:space="0" w:color="auto"/>
        <w:left w:val="none" w:sz="0" w:space="0" w:color="auto"/>
        <w:bottom w:val="none" w:sz="0" w:space="0" w:color="auto"/>
        <w:right w:val="none" w:sz="0" w:space="0" w:color="auto"/>
      </w:divBdr>
    </w:div>
    <w:div w:id="1621910128">
      <w:bodyDiv w:val="1"/>
      <w:marLeft w:val="0"/>
      <w:marRight w:val="0"/>
      <w:marTop w:val="0"/>
      <w:marBottom w:val="0"/>
      <w:divBdr>
        <w:top w:val="none" w:sz="0" w:space="0" w:color="auto"/>
        <w:left w:val="none" w:sz="0" w:space="0" w:color="auto"/>
        <w:bottom w:val="none" w:sz="0" w:space="0" w:color="auto"/>
        <w:right w:val="none" w:sz="0" w:space="0" w:color="auto"/>
      </w:divBdr>
    </w:div>
    <w:div w:id="1703246002">
      <w:bodyDiv w:val="1"/>
      <w:marLeft w:val="0"/>
      <w:marRight w:val="0"/>
      <w:marTop w:val="0"/>
      <w:marBottom w:val="0"/>
      <w:divBdr>
        <w:top w:val="none" w:sz="0" w:space="0" w:color="auto"/>
        <w:left w:val="none" w:sz="0" w:space="0" w:color="auto"/>
        <w:bottom w:val="none" w:sz="0" w:space="0" w:color="auto"/>
        <w:right w:val="none" w:sz="0" w:space="0" w:color="auto"/>
      </w:divBdr>
    </w:div>
    <w:div w:id="18166013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A11FE4-AA19-44D2-994D-0A14926519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503</TotalTime>
  <Pages>3</Pages>
  <Words>860</Words>
  <Characters>5252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Aarhus University</Company>
  <LinksUpToDate>false</LinksUpToDate>
  <CharactersWithSpaces>6100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Virginia Anne Nichols</dc:creator>
  <cp:keywords/>
  <dc:description/>
  <cp:lastModifiedBy>Virginia Anne Nichols</cp:lastModifiedBy>
  <cp:revision>8</cp:revision>
  <dcterms:created xsi:type="dcterms:W3CDTF">2024-12-09T14:03:00Z</dcterms:created>
  <dcterms:modified xsi:type="dcterms:W3CDTF">2025-01-30T20:21:00Z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id="j7GkKtLR"/&gt;&lt;style id="http://www.zotero.org/styles/elsevier-harvard" hasBibliography="1" bibliographyStyleHasBeenSet="0"/&gt;&lt;prefs&gt;&lt;pref name="fieldType" value="Field"/&gt;&lt;/prefs&gt;&lt;/data&gt;</vt:lpwstr>
  </property>
</Properties>
</file>