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046D1" w14:textId="4B4B76C0" w:rsidR="00B730C3" w:rsidRPr="00B730C3" w:rsidRDefault="00B730C3" w:rsidP="00B730C3">
      <w:pPr>
        <w:autoSpaceDE w:val="0"/>
        <w:autoSpaceDN w:val="0"/>
        <w:adjustRightInd w:val="0"/>
        <w:spacing w:after="0" w:line="240" w:lineRule="auto"/>
        <w:jc w:val="center"/>
        <w:rPr>
          <w:rFonts w:ascii="Calibri" w:hAnsi="Calibri" w:cs="Calibri"/>
          <w:b/>
          <w:bCs/>
          <w:sz w:val="24"/>
          <w:szCs w:val="24"/>
          <w:lang w:val="fr-CA"/>
        </w:rPr>
      </w:pPr>
      <w:r w:rsidRPr="00B730C3">
        <w:rPr>
          <w:rFonts w:ascii="Calibri" w:hAnsi="Calibri" w:cs="Calibri"/>
          <w:b/>
          <w:bCs/>
          <w:sz w:val="24"/>
          <w:szCs w:val="24"/>
          <w:lang w:val="en-US"/>
        </w:rPr>
        <w:t>A</w:t>
      </w:r>
      <w:r w:rsidR="00663D56">
        <w:rPr>
          <w:rFonts w:ascii="Calibri" w:hAnsi="Calibri" w:cs="Calibri"/>
          <w:b/>
          <w:bCs/>
          <w:sz w:val="24"/>
          <w:szCs w:val="24"/>
          <w:lang w:val="en-US"/>
        </w:rPr>
        <w:t xml:space="preserve"> multi-criteria </w:t>
      </w:r>
      <w:r w:rsidRPr="00B730C3">
        <w:rPr>
          <w:rFonts w:ascii="Calibri" w:hAnsi="Calibri" w:cs="Calibri"/>
          <w:b/>
          <w:bCs/>
          <w:sz w:val="24"/>
          <w:szCs w:val="24"/>
          <w:lang w:val="en-US"/>
        </w:rPr>
        <w:t>evaluat</w:t>
      </w:r>
      <w:r w:rsidR="00663D56">
        <w:rPr>
          <w:rFonts w:ascii="Calibri" w:hAnsi="Calibri" w:cs="Calibri"/>
          <w:b/>
          <w:bCs/>
          <w:sz w:val="24"/>
          <w:szCs w:val="24"/>
          <w:lang w:val="en-US"/>
        </w:rPr>
        <w:t>ion of</w:t>
      </w:r>
      <w:r w:rsidRPr="00B730C3">
        <w:rPr>
          <w:rFonts w:ascii="Calibri" w:hAnsi="Calibri" w:cs="Calibri"/>
          <w:b/>
          <w:bCs/>
          <w:sz w:val="24"/>
          <w:szCs w:val="24"/>
          <w:lang w:val="en-US"/>
        </w:rPr>
        <w:t xml:space="preserve"> </w:t>
      </w:r>
      <w:r w:rsidR="00663D56">
        <w:rPr>
          <w:rFonts w:ascii="Calibri" w:hAnsi="Calibri" w:cs="Calibri"/>
          <w:b/>
          <w:bCs/>
          <w:sz w:val="24"/>
          <w:szCs w:val="24"/>
          <w:lang w:val="en-US"/>
        </w:rPr>
        <w:t xml:space="preserve">fall vegetation </w:t>
      </w:r>
      <w:r w:rsidRPr="00B730C3">
        <w:rPr>
          <w:rFonts w:ascii="Calibri" w:hAnsi="Calibri" w:cs="Calibri"/>
          <w:b/>
          <w:bCs/>
          <w:sz w:val="24"/>
          <w:szCs w:val="24"/>
          <w:lang w:val="en-US"/>
        </w:rPr>
        <w:t xml:space="preserve">services and dis-services in 30 cropping systems varying in </w:t>
      </w:r>
      <w:r w:rsidR="000A3A67">
        <w:rPr>
          <w:rFonts w:ascii="Calibri" w:hAnsi="Calibri" w:cs="Calibri"/>
          <w:b/>
          <w:bCs/>
          <w:sz w:val="24"/>
          <w:szCs w:val="24"/>
          <w:lang w:val="en-US"/>
        </w:rPr>
        <w:t xml:space="preserve">cover crop system, </w:t>
      </w:r>
      <w:r w:rsidRPr="00B730C3">
        <w:rPr>
          <w:rFonts w:ascii="Calibri" w:hAnsi="Calibri" w:cs="Calibri"/>
          <w:b/>
          <w:bCs/>
          <w:sz w:val="24"/>
          <w:szCs w:val="24"/>
          <w:lang w:val="en-US"/>
        </w:rPr>
        <w:t>tillage</w:t>
      </w:r>
      <w:r w:rsidR="000A3A67">
        <w:rPr>
          <w:rFonts w:ascii="Calibri" w:hAnsi="Calibri" w:cs="Calibri"/>
          <w:b/>
          <w:bCs/>
          <w:sz w:val="24"/>
          <w:szCs w:val="24"/>
          <w:lang w:val="en-US"/>
        </w:rPr>
        <w:t xml:space="preserve"> and</w:t>
      </w:r>
      <w:r w:rsidRPr="00B730C3">
        <w:rPr>
          <w:rFonts w:ascii="Calibri" w:hAnsi="Calibri" w:cs="Calibri"/>
          <w:b/>
          <w:bCs/>
          <w:sz w:val="24"/>
          <w:szCs w:val="24"/>
          <w:lang w:val="en-US"/>
        </w:rPr>
        <w:t xml:space="preserve"> </w:t>
      </w:r>
      <w:r w:rsidR="00663D56">
        <w:rPr>
          <w:rFonts w:ascii="Calibri" w:hAnsi="Calibri" w:cs="Calibri"/>
          <w:b/>
          <w:bCs/>
          <w:sz w:val="24"/>
          <w:szCs w:val="24"/>
          <w:lang w:val="en-US"/>
        </w:rPr>
        <w:t>residue</w:t>
      </w:r>
      <w:r w:rsidRPr="00B730C3">
        <w:rPr>
          <w:rFonts w:ascii="Calibri" w:hAnsi="Calibri" w:cs="Calibri"/>
          <w:b/>
          <w:bCs/>
          <w:sz w:val="24"/>
          <w:szCs w:val="24"/>
          <w:lang w:val="en-US"/>
        </w:rPr>
        <w:t xml:space="preserve"> management</w:t>
      </w:r>
    </w:p>
    <w:p w14:paraId="3D898BD4"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fr-CA"/>
        </w:rPr>
      </w:pPr>
    </w:p>
    <w:p w14:paraId="60C61DEE"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en-US"/>
        </w:rPr>
      </w:pPr>
      <w:r w:rsidRPr="00B730C3">
        <w:rPr>
          <w:rFonts w:ascii="Calibri" w:hAnsi="Calibri" w:cs="Calibri"/>
          <w:sz w:val="24"/>
          <w:szCs w:val="24"/>
          <w:lang w:val="fr-CA"/>
        </w:rPr>
        <w:t>Virginia Nichols</w:t>
      </w:r>
      <w:r w:rsidRPr="00B730C3">
        <w:rPr>
          <w:rFonts w:ascii="Calibri" w:hAnsi="Calibri" w:cs="Calibri"/>
          <w:sz w:val="24"/>
          <w:szCs w:val="24"/>
          <w:vertAlign w:val="superscript"/>
          <w:lang w:val="fr-CA"/>
        </w:rPr>
        <w:t>1</w:t>
      </w:r>
      <w:r w:rsidRPr="00B730C3">
        <w:rPr>
          <w:rFonts w:ascii="Calibri" w:hAnsi="Calibri" w:cs="Calibri"/>
          <w:sz w:val="24"/>
          <w:szCs w:val="24"/>
          <w:lang w:val="fr-CA"/>
        </w:rPr>
        <w:t>, Emma Randhal-Beltran</w:t>
      </w:r>
      <w:r w:rsidRPr="00B730C3">
        <w:rPr>
          <w:rFonts w:ascii="Calibri" w:hAnsi="Calibri" w:cs="Calibri"/>
          <w:sz w:val="24"/>
          <w:szCs w:val="24"/>
          <w:vertAlign w:val="superscript"/>
          <w:lang w:val="fr-CA"/>
        </w:rPr>
        <w:t>1</w:t>
      </w:r>
      <w:r w:rsidRPr="00B730C3">
        <w:rPr>
          <w:rFonts w:ascii="Calibri" w:hAnsi="Calibri" w:cs="Calibri"/>
          <w:sz w:val="24"/>
          <w:szCs w:val="24"/>
          <w:lang w:val="fr-CA"/>
        </w:rPr>
        <w:t>, Marco Gentili</w:t>
      </w:r>
      <w:r w:rsidRPr="00B730C3">
        <w:rPr>
          <w:rFonts w:ascii="Calibri" w:hAnsi="Calibri" w:cs="Calibri"/>
          <w:sz w:val="24"/>
          <w:szCs w:val="24"/>
          <w:vertAlign w:val="superscript"/>
          <w:lang w:val="fr-CA"/>
        </w:rPr>
        <w:t>1</w:t>
      </w:r>
      <w:r w:rsidRPr="00B730C3">
        <w:rPr>
          <w:rFonts w:ascii="Calibri" w:hAnsi="Calibri" w:cs="Calibri"/>
          <w:sz w:val="24"/>
          <w:szCs w:val="24"/>
          <w:lang w:val="fr-CA"/>
        </w:rPr>
        <w:t>, Mette Sonderskov</w:t>
      </w:r>
      <w:r w:rsidRPr="00B730C3">
        <w:rPr>
          <w:rFonts w:ascii="Calibri" w:hAnsi="Calibri" w:cs="Calibri"/>
          <w:sz w:val="24"/>
          <w:szCs w:val="24"/>
          <w:vertAlign w:val="superscript"/>
          <w:lang w:val="fr-CA"/>
        </w:rPr>
        <w:t>1</w:t>
      </w:r>
      <w:r w:rsidRPr="00B730C3">
        <w:rPr>
          <w:rFonts w:ascii="Calibri" w:hAnsi="Calibri" w:cs="Calibri"/>
          <w:sz w:val="24"/>
          <w:szCs w:val="24"/>
          <w:lang w:val="fr-CA"/>
        </w:rPr>
        <w:t>, Bo Melander</w:t>
      </w:r>
      <w:r w:rsidRPr="00B730C3">
        <w:rPr>
          <w:rFonts w:ascii="Calibri" w:hAnsi="Calibri" w:cs="Calibri"/>
          <w:sz w:val="24"/>
          <w:szCs w:val="24"/>
          <w:vertAlign w:val="superscript"/>
          <w:lang w:val="fr-CA"/>
        </w:rPr>
        <w:t>3</w:t>
      </w:r>
    </w:p>
    <w:p w14:paraId="2B770C1A"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lang w:val="en-US"/>
        </w:rPr>
      </w:pPr>
      <w:r w:rsidRPr="00B730C3">
        <w:rPr>
          <w:rFonts w:ascii="Calibri" w:hAnsi="Calibri" w:cs="Calibri"/>
          <w:i/>
          <w:iCs/>
          <w:sz w:val="24"/>
          <w:szCs w:val="24"/>
          <w:vertAlign w:val="superscript"/>
          <w:lang w:val="en-US"/>
        </w:rPr>
        <w:t>1</w:t>
      </w:r>
      <w:r w:rsidRPr="00B730C3">
        <w:rPr>
          <w:rFonts w:ascii="Calibri" w:hAnsi="Calibri" w:cs="Calibri"/>
          <w:i/>
          <w:iCs/>
          <w:sz w:val="24"/>
          <w:szCs w:val="24"/>
          <w:lang w:val="en-US"/>
        </w:rPr>
        <w:t>Aarhus University, Department of Agroecology, Crop Health Section,</w:t>
      </w:r>
    </w:p>
    <w:p w14:paraId="111816B8"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r w:rsidRPr="00B730C3">
        <w:rPr>
          <w:rFonts w:ascii="Calibri" w:hAnsi="Calibri" w:cs="Calibri"/>
          <w:i/>
          <w:iCs/>
          <w:sz w:val="24"/>
          <w:szCs w:val="24"/>
        </w:rPr>
        <w:t>Forsøgsvej 1, 4200 Slagelse, Denmark</w:t>
      </w:r>
    </w:p>
    <w:p w14:paraId="642C3914"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hyperlink r:id="rId6" w:history="1">
        <w:r w:rsidRPr="00B730C3">
          <w:rPr>
            <w:rStyle w:val="Hyperlink"/>
            <w:rFonts w:ascii="Calibri" w:hAnsi="Calibri" w:cs="Calibri"/>
            <w:i/>
            <w:iCs/>
            <w:sz w:val="24"/>
            <w:szCs w:val="24"/>
          </w:rPr>
          <w:t>gina.nichols@</w:t>
        </w:r>
      </w:hyperlink>
      <w:r w:rsidRPr="00B730C3">
        <w:rPr>
          <w:rStyle w:val="Hyperlink"/>
          <w:rFonts w:ascii="Calibri" w:hAnsi="Calibri" w:cs="Calibri"/>
          <w:i/>
          <w:iCs/>
          <w:sz w:val="24"/>
          <w:szCs w:val="24"/>
        </w:rPr>
        <w:t>agro.au.dk</w:t>
      </w:r>
      <w:r w:rsidRPr="00B730C3">
        <w:rPr>
          <w:rFonts w:ascii="Calibri" w:hAnsi="Calibri" w:cs="Calibri"/>
          <w:i/>
          <w:iCs/>
          <w:sz w:val="24"/>
          <w:szCs w:val="24"/>
        </w:rPr>
        <w:t xml:space="preserve"> </w:t>
      </w:r>
    </w:p>
    <w:p w14:paraId="0F96A2DD" w14:textId="77777777" w:rsidR="00B730C3" w:rsidRDefault="00B730C3" w:rsidP="00B730C3">
      <w:pPr>
        <w:autoSpaceDE w:val="0"/>
        <w:autoSpaceDN w:val="0"/>
        <w:adjustRightInd w:val="0"/>
        <w:spacing w:after="0" w:line="240" w:lineRule="auto"/>
        <w:rPr>
          <w:rFonts w:ascii="Calibri" w:hAnsi="Calibri" w:cs="Calibri"/>
          <w:i/>
          <w:iCs/>
          <w:sz w:val="24"/>
          <w:szCs w:val="24"/>
        </w:rPr>
      </w:pPr>
    </w:p>
    <w:p w14:paraId="5CC57B6C" w14:textId="4EF7C8E5" w:rsidR="00A70C8E" w:rsidRPr="00175629" w:rsidRDefault="00A70C8E" w:rsidP="00A70C8E">
      <w:pPr>
        <w:pStyle w:val="Heading1"/>
        <w:rPr>
          <w:lang w:val="en-US"/>
        </w:rPr>
      </w:pPr>
      <w:r w:rsidRPr="00175629">
        <w:rPr>
          <w:lang w:val="en-US"/>
        </w:rPr>
        <w:t>Abstract</w:t>
      </w:r>
    </w:p>
    <w:p w14:paraId="607FA917" w14:textId="77777777" w:rsidR="00EB5C1D" w:rsidRDefault="00B730C3" w:rsidP="00B730C3">
      <w:pPr>
        <w:autoSpaceDE w:val="0"/>
        <w:autoSpaceDN w:val="0"/>
        <w:adjustRightInd w:val="0"/>
        <w:spacing w:after="0" w:line="240" w:lineRule="auto"/>
        <w:jc w:val="both"/>
        <w:rPr>
          <w:rFonts w:ascii="Calibri" w:hAnsi="Calibri" w:cs="Calibri"/>
          <w:sz w:val="24"/>
          <w:szCs w:val="24"/>
          <w:lang w:val="en-US"/>
        </w:rPr>
      </w:pPr>
      <w:r w:rsidRPr="00B730C3">
        <w:rPr>
          <w:rFonts w:ascii="Calibri" w:hAnsi="Calibri" w:cs="Calibri"/>
          <w:sz w:val="24"/>
          <w:szCs w:val="24"/>
          <w:lang w:val="en-US"/>
        </w:rPr>
        <w:t xml:space="preserve">With increasing </w:t>
      </w:r>
      <w:r w:rsidR="00663D56">
        <w:rPr>
          <w:rFonts w:ascii="Calibri" w:hAnsi="Calibri" w:cs="Calibri"/>
          <w:sz w:val="24"/>
          <w:szCs w:val="24"/>
          <w:lang w:val="en-US"/>
        </w:rPr>
        <w:t xml:space="preserve">environmental </w:t>
      </w:r>
      <w:r w:rsidRPr="00B730C3">
        <w:rPr>
          <w:rFonts w:ascii="Calibri" w:hAnsi="Calibri" w:cs="Calibri"/>
          <w:sz w:val="24"/>
          <w:szCs w:val="24"/>
          <w:lang w:val="en-US"/>
        </w:rPr>
        <w:t xml:space="preserve">pressures from population growth and climate change, there is growing interest in assessing both the potential benefits and drawbacks of in-field, non-crop vegetation. This study evaluated fall </w:t>
      </w:r>
      <w:r w:rsidR="00663D56">
        <w:rPr>
          <w:rFonts w:ascii="Calibri" w:hAnsi="Calibri" w:cs="Calibri"/>
          <w:sz w:val="24"/>
          <w:szCs w:val="24"/>
          <w:lang w:val="en-US"/>
        </w:rPr>
        <w:t>vegetation</w:t>
      </w:r>
      <w:r w:rsidRPr="00B730C3">
        <w:rPr>
          <w:rFonts w:ascii="Calibri" w:hAnsi="Calibri" w:cs="Calibri"/>
          <w:sz w:val="24"/>
          <w:szCs w:val="24"/>
          <w:lang w:val="en-US"/>
        </w:rPr>
        <w:t xml:space="preserve"> communities</w:t>
      </w:r>
      <w:r w:rsidR="00CB0057">
        <w:rPr>
          <w:rFonts w:ascii="Calibri" w:hAnsi="Calibri" w:cs="Calibri"/>
          <w:sz w:val="24"/>
          <w:szCs w:val="24"/>
          <w:lang w:val="en-US"/>
        </w:rPr>
        <w:t xml:space="preserve"> and attendant agronomic metrics</w:t>
      </w:r>
      <w:r w:rsidRPr="00B730C3">
        <w:rPr>
          <w:rFonts w:ascii="Calibri" w:hAnsi="Calibri" w:cs="Calibri"/>
          <w:sz w:val="24"/>
          <w:szCs w:val="24"/>
          <w:lang w:val="en-US"/>
        </w:rPr>
        <w:t xml:space="preserve"> in 30 replicated cropping systems over two consecutive years in Zealand, Denmark. Treatments included five cover crop systems (</w:t>
      </w:r>
      <w:r w:rsidR="006B0948" w:rsidRPr="00B730C3">
        <w:rPr>
          <w:rFonts w:ascii="Calibri" w:hAnsi="Calibri" w:cs="Calibri"/>
          <w:sz w:val="24"/>
          <w:szCs w:val="24"/>
          <w:lang w:val="en-US"/>
        </w:rPr>
        <w:t>Lolium perenne and Trifolium repens mixture sown early- and mid-season</w:t>
      </w:r>
      <w:r w:rsidR="006B0948">
        <w:rPr>
          <w:rFonts w:ascii="Calibri" w:hAnsi="Calibri" w:cs="Calibri"/>
          <w:sz w:val="24"/>
          <w:szCs w:val="24"/>
          <w:lang w:val="en-US"/>
        </w:rPr>
        <w:t xml:space="preserve">, </w:t>
      </w:r>
      <w:r w:rsidR="00663D56" w:rsidRPr="00B730C3">
        <w:rPr>
          <w:rFonts w:ascii="Calibri" w:hAnsi="Calibri" w:cs="Calibri"/>
          <w:sz w:val="24"/>
          <w:szCs w:val="24"/>
          <w:lang w:val="en-US"/>
        </w:rPr>
        <w:t>Raphanus sativus (radish) sown mid-season and post-harvest</w:t>
      </w:r>
      <w:r w:rsidR="00663D56">
        <w:rPr>
          <w:rFonts w:ascii="Calibri" w:hAnsi="Calibri" w:cs="Calibri"/>
          <w:sz w:val="24"/>
          <w:szCs w:val="24"/>
          <w:lang w:val="en-US"/>
        </w:rPr>
        <w:t xml:space="preserve"> </w:t>
      </w:r>
      <w:r w:rsidRPr="00B730C3">
        <w:rPr>
          <w:rFonts w:ascii="Calibri" w:hAnsi="Calibri" w:cs="Calibri"/>
          <w:sz w:val="24"/>
          <w:szCs w:val="24"/>
          <w:lang w:val="en-US"/>
        </w:rPr>
        <w:t>and a no cover crop control)</w:t>
      </w:r>
      <w:r w:rsidR="00CB0057">
        <w:rPr>
          <w:rFonts w:ascii="Calibri" w:hAnsi="Calibri" w:cs="Calibri"/>
          <w:sz w:val="24"/>
          <w:szCs w:val="24"/>
          <w:lang w:val="en-US"/>
        </w:rPr>
        <w:t xml:space="preserve"> embedded within </w:t>
      </w:r>
      <w:r w:rsidR="00CB0057" w:rsidRPr="00B730C3">
        <w:rPr>
          <w:rFonts w:ascii="Calibri" w:hAnsi="Calibri" w:cs="Calibri"/>
          <w:sz w:val="24"/>
          <w:szCs w:val="24"/>
          <w:lang w:val="en-US"/>
        </w:rPr>
        <w:t xml:space="preserve">every combination of three tillage </w:t>
      </w:r>
      <w:r w:rsidR="00CB0057">
        <w:rPr>
          <w:rFonts w:ascii="Calibri" w:hAnsi="Calibri" w:cs="Calibri"/>
          <w:sz w:val="24"/>
          <w:szCs w:val="24"/>
          <w:lang w:val="en-US"/>
        </w:rPr>
        <w:t>approaches</w:t>
      </w:r>
      <w:r w:rsidR="00CB0057" w:rsidRPr="00B730C3">
        <w:rPr>
          <w:rFonts w:ascii="Calibri" w:hAnsi="Calibri" w:cs="Calibri"/>
          <w:sz w:val="24"/>
          <w:szCs w:val="24"/>
          <w:lang w:val="en-US"/>
        </w:rPr>
        <w:t xml:space="preserve"> (</w:t>
      </w:r>
      <w:r w:rsidR="000A3A67">
        <w:rPr>
          <w:rFonts w:ascii="Calibri" w:hAnsi="Calibri" w:cs="Calibri"/>
          <w:sz w:val="24"/>
          <w:szCs w:val="24"/>
          <w:lang w:val="en-US"/>
        </w:rPr>
        <w:t>no-till</w:t>
      </w:r>
      <w:r w:rsidR="00CB0057" w:rsidRPr="00B730C3">
        <w:rPr>
          <w:rFonts w:ascii="Calibri" w:hAnsi="Calibri" w:cs="Calibri"/>
          <w:sz w:val="24"/>
          <w:szCs w:val="24"/>
          <w:lang w:val="en-US"/>
        </w:rPr>
        <w:t>, surface, inversion)</w:t>
      </w:r>
      <w:r w:rsidR="00CB0057">
        <w:rPr>
          <w:rFonts w:ascii="Calibri" w:hAnsi="Calibri" w:cs="Calibri"/>
          <w:sz w:val="24"/>
          <w:szCs w:val="24"/>
          <w:lang w:val="en-US"/>
        </w:rPr>
        <w:t xml:space="preserve"> and</w:t>
      </w:r>
      <w:r w:rsidR="00CB0057" w:rsidRPr="00B730C3">
        <w:rPr>
          <w:rFonts w:ascii="Calibri" w:hAnsi="Calibri" w:cs="Calibri"/>
          <w:sz w:val="24"/>
          <w:szCs w:val="24"/>
          <w:lang w:val="en-US"/>
        </w:rPr>
        <w:t xml:space="preserve"> two residue management</w:t>
      </w:r>
      <w:r w:rsidR="00CB0057">
        <w:rPr>
          <w:rFonts w:ascii="Calibri" w:hAnsi="Calibri" w:cs="Calibri"/>
          <w:sz w:val="24"/>
          <w:szCs w:val="24"/>
          <w:lang w:val="en-US"/>
        </w:rPr>
        <w:t>s</w:t>
      </w:r>
      <w:r w:rsidR="00CB0057" w:rsidRPr="00B730C3">
        <w:rPr>
          <w:rFonts w:ascii="Calibri" w:hAnsi="Calibri" w:cs="Calibri"/>
          <w:sz w:val="24"/>
          <w:szCs w:val="24"/>
          <w:lang w:val="en-US"/>
        </w:rPr>
        <w:t xml:space="preserve"> (retained, removed)</w:t>
      </w:r>
      <w:r w:rsidRPr="00B730C3">
        <w:rPr>
          <w:rFonts w:ascii="Calibri" w:hAnsi="Calibri" w:cs="Calibri"/>
          <w:sz w:val="24"/>
          <w:szCs w:val="24"/>
          <w:lang w:val="en-US"/>
        </w:rPr>
        <w:t xml:space="preserve">. </w:t>
      </w:r>
    </w:p>
    <w:p w14:paraId="78C99FFE" w14:textId="77777777" w:rsidR="00EB5C1D" w:rsidRDefault="00EB5C1D" w:rsidP="00B730C3">
      <w:pPr>
        <w:autoSpaceDE w:val="0"/>
        <w:autoSpaceDN w:val="0"/>
        <w:adjustRightInd w:val="0"/>
        <w:spacing w:after="0" w:line="240" w:lineRule="auto"/>
        <w:jc w:val="both"/>
        <w:rPr>
          <w:rFonts w:ascii="Calibri" w:hAnsi="Calibri" w:cs="Calibri"/>
          <w:sz w:val="24"/>
          <w:szCs w:val="24"/>
          <w:lang w:val="en-US"/>
        </w:rPr>
      </w:pPr>
    </w:p>
    <w:p w14:paraId="632732D9" w14:textId="09985D38" w:rsidR="005D1C4B" w:rsidRDefault="005D1C4B" w:rsidP="00B730C3">
      <w:pPr>
        <w:autoSpaceDE w:val="0"/>
        <w:autoSpaceDN w:val="0"/>
        <w:adjustRightInd w:val="0"/>
        <w:spacing w:after="0" w:line="240" w:lineRule="auto"/>
        <w:jc w:val="both"/>
        <w:rPr>
          <w:rFonts w:ascii="Calibri" w:hAnsi="Calibri" w:cs="Calibri"/>
          <w:sz w:val="24"/>
          <w:szCs w:val="24"/>
          <w:lang w:val="en-US"/>
        </w:rPr>
      </w:pPr>
      <w:r>
        <w:rPr>
          <w:rFonts w:ascii="Calibri" w:hAnsi="Calibri" w:cs="Calibri"/>
          <w:sz w:val="24"/>
          <w:szCs w:val="24"/>
          <w:lang w:val="en-US"/>
        </w:rPr>
        <w:t xml:space="preserve">X indices were used to capture biophysical, ecological and agronomic services and dis-services. </w:t>
      </w:r>
    </w:p>
    <w:p w14:paraId="5273500C" w14:textId="77777777" w:rsidR="005D1C4B" w:rsidRDefault="005D1C4B" w:rsidP="00B730C3">
      <w:pPr>
        <w:autoSpaceDE w:val="0"/>
        <w:autoSpaceDN w:val="0"/>
        <w:adjustRightInd w:val="0"/>
        <w:spacing w:after="0" w:line="240" w:lineRule="auto"/>
        <w:jc w:val="both"/>
        <w:rPr>
          <w:rFonts w:ascii="Calibri" w:hAnsi="Calibri" w:cs="Calibri"/>
          <w:sz w:val="24"/>
          <w:szCs w:val="24"/>
          <w:lang w:val="en-US"/>
        </w:rPr>
      </w:pPr>
    </w:p>
    <w:p w14:paraId="62ED9ECB" w14:textId="77777777" w:rsidR="00EB5C1D" w:rsidRDefault="00B730C3" w:rsidP="00B730C3">
      <w:pPr>
        <w:autoSpaceDE w:val="0"/>
        <w:autoSpaceDN w:val="0"/>
        <w:adjustRightInd w:val="0"/>
        <w:spacing w:after="0" w:line="240" w:lineRule="auto"/>
        <w:jc w:val="both"/>
        <w:rPr>
          <w:rFonts w:ascii="Calibri" w:hAnsi="Calibri" w:cs="Calibri"/>
          <w:sz w:val="24"/>
          <w:szCs w:val="24"/>
          <w:lang w:val="en-US"/>
        </w:rPr>
      </w:pPr>
      <w:r w:rsidRPr="00B730C3">
        <w:rPr>
          <w:rFonts w:ascii="Calibri" w:hAnsi="Calibri" w:cs="Calibri"/>
          <w:sz w:val="24"/>
          <w:szCs w:val="24"/>
          <w:lang w:val="en-US"/>
        </w:rPr>
        <w:t xml:space="preserve">Four metrics were used to capture vegetation potential services and harms: (1) percent soil cover (soil protection), (2) total aboveground biomass (potential soil carbon input and nitrate leaching mitigation), </w:t>
      </w:r>
      <w:r w:rsidR="00663D56">
        <w:rPr>
          <w:rFonts w:ascii="Calibri" w:hAnsi="Calibri" w:cs="Calibri"/>
          <w:sz w:val="24"/>
          <w:szCs w:val="24"/>
          <w:lang w:val="en-US"/>
        </w:rPr>
        <w:t>(3) species-</w:t>
      </w:r>
      <w:r w:rsidR="00FF440C">
        <w:rPr>
          <w:rFonts w:ascii="Calibri" w:hAnsi="Calibri" w:cs="Calibri"/>
          <w:sz w:val="24"/>
          <w:szCs w:val="24"/>
          <w:lang w:val="en-US"/>
        </w:rPr>
        <w:t>based</w:t>
      </w:r>
      <w:r w:rsidR="00663D56">
        <w:rPr>
          <w:rFonts w:ascii="Calibri" w:hAnsi="Calibri" w:cs="Calibri"/>
          <w:sz w:val="24"/>
          <w:szCs w:val="24"/>
          <w:lang w:val="en-US"/>
        </w:rPr>
        <w:t xml:space="preserve"> po</w:t>
      </w:r>
      <w:r w:rsidRPr="00B730C3">
        <w:rPr>
          <w:rFonts w:ascii="Calibri" w:hAnsi="Calibri" w:cs="Calibri"/>
          <w:sz w:val="24"/>
          <w:szCs w:val="24"/>
          <w:lang w:val="en-US"/>
        </w:rPr>
        <w:t xml:space="preserve">tential ecological benefits </w:t>
      </w:r>
      <w:r w:rsidR="00FF440C">
        <w:rPr>
          <w:rFonts w:ascii="Calibri" w:hAnsi="Calibri" w:cs="Calibri"/>
          <w:sz w:val="24"/>
          <w:szCs w:val="24"/>
          <w:lang w:val="en-US"/>
        </w:rPr>
        <w:t>(six indices)</w:t>
      </w:r>
      <w:r w:rsidR="00CB0057">
        <w:rPr>
          <w:rFonts w:ascii="Calibri" w:hAnsi="Calibri" w:cs="Calibri"/>
          <w:sz w:val="24"/>
          <w:szCs w:val="24"/>
          <w:lang w:val="en-US"/>
        </w:rPr>
        <w:t xml:space="preserve">, </w:t>
      </w:r>
      <w:r w:rsidRPr="00B730C3">
        <w:rPr>
          <w:rFonts w:ascii="Calibri" w:hAnsi="Calibri" w:cs="Calibri"/>
          <w:sz w:val="24"/>
          <w:szCs w:val="24"/>
          <w:lang w:val="en-US"/>
        </w:rPr>
        <w:t xml:space="preserve">(4) potential </w:t>
      </w:r>
      <w:r w:rsidR="00CB0057">
        <w:rPr>
          <w:rFonts w:ascii="Calibri" w:hAnsi="Calibri" w:cs="Calibri"/>
          <w:sz w:val="24"/>
          <w:szCs w:val="24"/>
          <w:lang w:val="en-US"/>
        </w:rPr>
        <w:t xml:space="preserve">future </w:t>
      </w:r>
      <w:r w:rsidRPr="00B730C3">
        <w:rPr>
          <w:rFonts w:ascii="Calibri" w:hAnsi="Calibri" w:cs="Calibri"/>
          <w:sz w:val="24"/>
          <w:szCs w:val="24"/>
          <w:lang w:val="en-US"/>
        </w:rPr>
        <w:t>agronomic harm</w:t>
      </w:r>
      <w:r w:rsidR="00FF440C">
        <w:rPr>
          <w:rFonts w:ascii="Calibri" w:hAnsi="Calibri" w:cs="Calibri"/>
          <w:sz w:val="24"/>
          <w:szCs w:val="24"/>
          <w:lang w:val="en-US"/>
        </w:rPr>
        <w:t xml:space="preserve"> (</w:t>
      </w:r>
      <w:r w:rsidR="00CB0057">
        <w:rPr>
          <w:rFonts w:ascii="Calibri" w:hAnsi="Calibri" w:cs="Calibri"/>
          <w:sz w:val="24"/>
          <w:szCs w:val="24"/>
          <w:lang w:val="en-US"/>
        </w:rPr>
        <w:t>four</w:t>
      </w:r>
      <w:r w:rsidR="00FF440C">
        <w:rPr>
          <w:rFonts w:ascii="Calibri" w:hAnsi="Calibri" w:cs="Calibri"/>
          <w:sz w:val="24"/>
          <w:szCs w:val="24"/>
          <w:lang w:val="en-US"/>
        </w:rPr>
        <w:t xml:space="preserve"> indices)</w:t>
      </w:r>
      <w:r w:rsidR="00CB0057">
        <w:rPr>
          <w:rFonts w:ascii="Calibri" w:hAnsi="Calibri" w:cs="Calibri"/>
          <w:sz w:val="24"/>
          <w:szCs w:val="24"/>
          <w:lang w:val="en-US"/>
        </w:rPr>
        <w:t>. Additional metrics captured system impacts including crop yields and pesticide toxicity loads</w:t>
      </w:r>
      <w:r w:rsidRPr="00B730C3">
        <w:rPr>
          <w:rFonts w:ascii="Calibri" w:hAnsi="Calibri" w:cs="Calibri"/>
          <w:sz w:val="24"/>
          <w:szCs w:val="24"/>
          <w:lang w:val="en-US"/>
        </w:rPr>
        <w:t xml:space="preserve">. </w:t>
      </w:r>
    </w:p>
    <w:p w14:paraId="633F006E" w14:textId="77777777" w:rsidR="00EB5C1D" w:rsidRDefault="00EB5C1D" w:rsidP="00B730C3">
      <w:pPr>
        <w:autoSpaceDE w:val="0"/>
        <w:autoSpaceDN w:val="0"/>
        <w:adjustRightInd w:val="0"/>
        <w:spacing w:after="0" w:line="240" w:lineRule="auto"/>
        <w:jc w:val="both"/>
        <w:rPr>
          <w:rFonts w:ascii="Calibri" w:hAnsi="Calibri" w:cs="Calibri"/>
          <w:sz w:val="24"/>
          <w:szCs w:val="24"/>
          <w:lang w:val="en-US"/>
        </w:rPr>
      </w:pPr>
    </w:p>
    <w:p w14:paraId="20F2AFA9" w14:textId="6CC79934" w:rsidR="00B730C3" w:rsidRPr="00B730C3" w:rsidRDefault="00B730C3" w:rsidP="00B730C3">
      <w:pPr>
        <w:autoSpaceDE w:val="0"/>
        <w:autoSpaceDN w:val="0"/>
        <w:adjustRightInd w:val="0"/>
        <w:spacing w:after="0" w:line="240" w:lineRule="auto"/>
        <w:jc w:val="both"/>
        <w:rPr>
          <w:rFonts w:ascii="Calibri" w:hAnsi="Calibri" w:cs="Calibri"/>
          <w:sz w:val="24"/>
          <w:szCs w:val="24"/>
          <w:lang w:val="en-US"/>
        </w:rPr>
      </w:pPr>
      <w:r w:rsidRPr="00B730C3">
        <w:rPr>
          <w:rFonts w:ascii="Calibri" w:hAnsi="Calibri" w:cs="Calibri"/>
          <w:sz w:val="24"/>
          <w:szCs w:val="24"/>
          <w:lang w:val="en-US"/>
        </w:rPr>
        <w:t xml:space="preserve">The study coincided with the site’s driest (2018) and wettest (2019) growing seasons in 30 years. Results showed that soil cover remained stable (~75%) across treatments and years. </w:t>
      </w:r>
      <w:r w:rsidR="005D1C4B">
        <w:rPr>
          <w:rFonts w:ascii="Calibri" w:hAnsi="Calibri" w:cs="Calibri"/>
          <w:sz w:val="24"/>
          <w:szCs w:val="24"/>
          <w:lang w:val="en-US"/>
        </w:rPr>
        <w:t xml:space="preserve">Only radish cover crops consistently increased fall biomass compared to the no-cover control (is this true?) </w:t>
      </w:r>
      <w:r w:rsidRPr="00B730C3">
        <w:rPr>
          <w:rFonts w:ascii="Calibri" w:hAnsi="Calibri" w:cs="Calibri"/>
          <w:sz w:val="24"/>
          <w:szCs w:val="24"/>
          <w:lang w:val="en-US"/>
        </w:rPr>
        <w:t xml:space="preserve">Radish cover crops consistently contributed over 50% of total fall biomass, while the mixes’ contributions varied (0–80%) within both planting timings. Radish treatments produced neutral vegetation communities, with neither high potential benefits nor harms. In contrast, the mixes and no cover crop treatments displayed </w:t>
      </w:r>
      <w:r w:rsidR="00D6652C">
        <w:rPr>
          <w:rFonts w:ascii="Calibri" w:hAnsi="Calibri" w:cs="Calibri"/>
          <w:sz w:val="24"/>
          <w:szCs w:val="24"/>
          <w:lang w:val="en-US"/>
        </w:rPr>
        <w:t xml:space="preserve">both </w:t>
      </w:r>
      <w:r w:rsidRPr="00B730C3">
        <w:rPr>
          <w:rFonts w:ascii="Calibri" w:hAnsi="Calibri" w:cs="Calibri"/>
          <w:sz w:val="24"/>
          <w:szCs w:val="24"/>
          <w:lang w:val="en-US"/>
        </w:rPr>
        <w:t xml:space="preserve">high potential </w:t>
      </w:r>
      <w:r w:rsidR="000A3A67">
        <w:rPr>
          <w:rFonts w:ascii="Calibri" w:hAnsi="Calibri" w:cs="Calibri"/>
          <w:sz w:val="24"/>
          <w:szCs w:val="24"/>
          <w:lang w:val="en-US"/>
        </w:rPr>
        <w:t xml:space="preserve">ecological </w:t>
      </w:r>
      <w:r w:rsidRPr="00B730C3">
        <w:rPr>
          <w:rFonts w:ascii="Calibri" w:hAnsi="Calibri" w:cs="Calibri"/>
          <w:sz w:val="24"/>
          <w:szCs w:val="24"/>
          <w:lang w:val="en-US"/>
        </w:rPr>
        <w:t>benefit</w:t>
      </w:r>
      <w:r w:rsidR="000A3A67">
        <w:rPr>
          <w:rFonts w:ascii="Calibri" w:hAnsi="Calibri" w:cs="Calibri"/>
          <w:sz w:val="24"/>
          <w:szCs w:val="24"/>
          <w:lang w:val="en-US"/>
        </w:rPr>
        <w:t>s and high potential agronomic harm</w:t>
      </w:r>
      <w:r w:rsidR="00D6652C">
        <w:rPr>
          <w:rFonts w:ascii="Calibri" w:hAnsi="Calibri" w:cs="Calibri"/>
          <w:sz w:val="24"/>
          <w:szCs w:val="24"/>
          <w:lang w:val="en-US"/>
        </w:rPr>
        <w:t xml:space="preserve">. Regardless of tillage, residue, or weather, the mid-season planted radish exhibited the highest fall biomass, low pesticide toxicity, high crop yields, but </w:t>
      </w:r>
      <w:r w:rsidR="00E814F8">
        <w:rPr>
          <w:rFonts w:ascii="Calibri" w:hAnsi="Calibri" w:cs="Calibri"/>
          <w:sz w:val="24"/>
          <w:szCs w:val="24"/>
          <w:lang w:val="en-US"/>
        </w:rPr>
        <w:t xml:space="preserve">produced fall vegetation with </w:t>
      </w:r>
      <w:r w:rsidR="00D6652C">
        <w:rPr>
          <w:rFonts w:ascii="Calibri" w:hAnsi="Calibri" w:cs="Calibri"/>
          <w:sz w:val="24"/>
          <w:szCs w:val="24"/>
          <w:lang w:val="en-US"/>
        </w:rPr>
        <w:t>low potential ecological value</w:t>
      </w:r>
      <w:r w:rsidR="00E814F8">
        <w:rPr>
          <w:rFonts w:ascii="Calibri" w:hAnsi="Calibri" w:cs="Calibri"/>
          <w:sz w:val="24"/>
          <w:szCs w:val="24"/>
          <w:lang w:val="en-US"/>
        </w:rPr>
        <w:t>. T</w:t>
      </w:r>
      <w:r w:rsidR="00D6652C">
        <w:rPr>
          <w:rFonts w:ascii="Calibri" w:hAnsi="Calibri" w:cs="Calibri"/>
          <w:sz w:val="24"/>
          <w:szCs w:val="24"/>
          <w:lang w:val="en-US"/>
        </w:rPr>
        <w:t xml:space="preserve">he early planted mix </w:t>
      </w:r>
      <w:r w:rsidR="00E814F8">
        <w:rPr>
          <w:rFonts w:ascii="Calibri" w:hAnsi="Calibri" w:cs="Calibri"/>
          <w:sz w:val="24"/>
          <w:szCs w:val="24"/>
          <w:lang w:val="en-US"/>
        </w:rPr>
        <w:t xml:space="preserve">had </w:t>
      </w:r>
      <w:r w:rsidR="00B07B57">
        <w:rPr>
          <w:rFonts w:ascii="Calibri" w:hAnsi="Calibri" w:cs="Calibri"/>
          <w:sz w:val="24"/>
          <w:szCs w:val="24"/>
          <w:lang w:val="en-US"/>
        </w:rPr>
        <w:t xml:space="preserve">low to moderate fall </w:t>
      </w:r>
      <w:r w:rsidR="00E814F8">
        <w:rPr>
          <w:rFonts w:ascii="Calibri" w:hAnsi="Calibri" w:cs="Calibri"/>
          <w:sz w:val="24"/>
          <w:szCs w:val="24"/>
          <w:lang w:val="en-US"/>
        </w:rPr>
        <w:t xml:space="preserve">biomass, </w:t>
      </w:r>
      <w:r w:rsidR="00B07B57">
        <w:rPr>
          <w:rFonts w:ascii="Calibri" w:hAnsi="Calibri" w:cs="Calibri"/>
          <w:sz w:val="24"/>
          <w:szCs w:val="24"/>
          <w:lang w:val="en-US"/>
        </w:rPr>
        <w:t>moderate</w:t>
      </w:r>
      <w:r w:rsidR="00E814F8">
        <w:rPr>
          <w:rFonts w:ascii="Calibri" w:hAnsi="Calibri" w:cs="Calibri"/>
          <w:sz w:val="24"/>
          <w:szCs w:val="24"/>
          <w:lang w:val="en-US"/>
        </w:rPr>
        <w:t xml:space="preserve"> crop yields, higher </w:t>
      </w:r>
      <w:r w:rsidR="00D6652C">
        <w:rPr>
          <w:rFonts w:ascii="Calibri" w:hAnsi="Calibri" w:cs="Calibri"/>
          <w:sz w:val="24"/>
          <w:szCs w:val="24"/>
          <w:lang w:val="en-US"/>
        </w:rPr>
        <w:t>pesticide toxicity loads, and x times more perennial weeds compared to other treatments</w:t>
      </w:r>
      <w:r w:rsidR="005D1C4B">
        <w:rPr>
          <w:rFonts w:ascii="Calibri" w:hAnsi="Calibri" w:cs="Calibri"/>
          <w:sz w:val="24"/>
          <w:szCs w:val="24"/>
          <w:lang w:val="en-US"/>
        </w:rPr>
        <w:t>,</w:t>
      </w:r>
      <w:r w:rsidR="00E814F8">
        <w:rPr>
          <w:rFonts w:ascii="Calibri" w:hAnsi="Calibri" w:cs="Calibri"/>
          <w:sz w:val="24"/>
          <w:szCs w:val="24"/>
          <w:lang w:val="en-US"/>
        </w:rPr>
        <w:t xml:space="preserve"> but supported fall vegetation that had high potential ecological value</w:t>
      </w:r>
      <w:r w:rsidRPr="00B730C3">
        <w:rPr>
          <w:rFonts w:ascii="Calibri" w:hAnsi="Calibri" w:cs="Calibri"/>
          <w:sz w:val="24"/>
          <w:szCs w:val="24"/>
          <w:lang w:val="en-US"/>
        </w:rPr>
        <w:t>.</w:t>
      </w:r>
      <w:r w:rsidR="00E814F8">
        <w:rPr>
          <w:rFonts w:ascii="Calibri" w:hAnsi="Calibri" w:cs="Calibri"/>
          <w:sz w:val="24"/>
          <w:szCs w:val="24"/>
          <w:lang w:val="en-US"/>
        </w:rPr>
        <w:t xml:space="preserve"> </w:t>
      </w:r>
      <w:r w:rsidRPr="00B730C3">
        <w:rPr>
          <w:rFonts w:ascii="Calibri" w:hAnsi="Calibri" w:cs="Calibri"/>
          <w:sz w:val="24"/>
          <w:szCs w:val="24"/>
          <w:lang w:val="en-US"/>
        </w:rPr>
        <w:t xml:space="preserve">These results underscore the complexity of defining ‘beneficial’ vegetation in agricultural systems, highlighting the interplay between multiple </w:t>
      </w:r>
      <w:r w:rsidR="005D1C4B">
        <w:rPr>
          <w:rFonts w:ascii="Calibri" w:hAnsi="Calibri" w:cs="Calibri"/>
          <w:sz w:val="24"/>
          <w:szCs w:val="24"/>
          <w:lang w:val="en-US"/>
        </w:rPr>
        <w:t xml:space="preserve">biophysical, </w:t>
      </w:r>
      <w:r w:rsidRPr="00B730C3">
        <w:rPr>
          <w:rFonts w:ascii="Calibri" w:hAnsi="Calibri" w:cs="Calibri"/>
          <w:sz w:val="24"/>
          <w:szCs w:val="24"/>
          <w:lang w:val="en-US"/>
        </w:rPr>
        <w:t>ecological and agronomic indices.</w:t>
      </w:r>
    </w:p>
    <w:p w14:paraId="1949A2CA" w14:textId="77777777" w:rsidR="00B730C3" w:rsidRPr="00B730C3" w:rsidRDefault="00B730C3" w:rsidP="00B730C3">
      <w:pPr>
        <w:rPr>
          <w:rFonts w:ascii="Calibri" w:hAnsi="Calibri" w:cs="Calibri"/>
          <w:b/>
          <w:bCs/>
          <w:sz w:val="24"/>
          <w:szCs w:val="24"/>
          <w:lang w:val="en-US"/>
        </w:rPr>
      </w:pPr>
    </w:p>
    <w:p w14:paraId="38F6E24B" w14:textId="77777777" w:rsidR="00B730C3" w:rsidRPr="00B730C3" w:rsidRDefault="00B730C3" w:rsidP="00A70C8E">
      <w:pPr>
        <w:pStyle w:val="Heading1"/>
        <w:rPr>
          <w:lang w:val="en-US"/>
        </w:rPr>
      </w:pPr>
      <w:r w:rsidRPr="00B730C3">
        <w:rPr>
          <w:lang w:val="en-US"/>
        </w:rPr>
        <w:lastRenderedPageBreak/>
        <w:t>Introduction</w:t>
      </w:r>
    </w:p>
    <w:p w14:paraId="4CFD8E41" w14:textId="1558F803" w:rsidR="003E205E" w:rsidRDefault="00053998" w:rsidP="000010AC">
      <w:pPr>
        <w:rPr>
          <w:rFonts w:ascii="Calibri" w:hAnsi="Calibri" w:cs="Calibri"/>
          <w:sz w:val="24"/>
          <w:szCs w:val="24"/>
          <w:lang w:val="en-US"/>
        </w:rPr>
      </w:pPr>
      <w:r w:rsidRPr="00053998">
        <w:rPr>
          <w:rFonts w:ascii="Calibri" w:hAnsi="Calibri" w:cs="Calibri"/>
          <w:sz w:val="24"/>
          <w:szCs w:val="24"/>
          <w:lang w:val="en-US"/>
        </w:rPr>
        <w:t xml:space="preserve">Environmental pressures resulting from population growth and climate change have led to a significant decline in biodiversity (CITE). Given the extensive land area dedicated to arable agriculture, agricultural management plays a crucial role in shaping biodiversity levels (CITE). Consequently, there is a growing need for agricultural systems that integrate ecosystem health and biodiversity conservation with commercial production objectives. In response, researchers are increasingly </w:t>
      </w:r>
      <w:r w:rsidR="00E814F8">
        <w:rPr>
          <w:rFonts w:ascii="Calibri" w:hAnsi="Calibri" w:cs="Calibri"/>
          <w:sz w:val="24"/>
          <w:szCs w:val="24"/>
          <w:lang w:val="en-US"/>
        </w:rPr>
        <w:t>assessing</w:t>
      </w:r>
      <w:r w:rsidRPr="00053998">
        <w:rPr>
          <w:rFonts w:ascii="Calibri" w:hAnsi="Calibri" w:cs="Calibri"/>
          <w:sz w:val="24"/>
          <w:szCs w:val="24"/>
          <w:lang w:val="en-US"/>
        </w:rPr>
        <w:t xml:space="preserve"> non-crop plant communities (e.g., weeds) </w:t>
      </w:r>
      <w:r w:rsidR="00E814F8">
        <w:rPr>
          <w:rFonts w:ascii="Calibri" w:hAnsi="Calibri" w:cs="Calibri"/>
          <w:sz w:val="24"/>
          <w:szCs w:val="24"/>
          <w:lang w:val="en-US"/>
        </w:rPr>
        <w:t xml:space="preserve">and their attendant management strategies </w:t>
      </w:r>
      <w:r w:rsidRPr="00053998">
        <w:rPr>
          <w:rFonts w:ascii="Calibri" w:hAnsi="Calibri" w:cs="Calibri"/>
          <w:sz w:val="24"/>
          <w:szCs w:val="24"/>
          <w:lang w:val="en-US"/>
        </w:rPr>
        <w:t xml:space="preserve">for their </w:t>
      </w:r>
      <w:r w:rsidR="00E814F8">
        <w:rPr>
          <w:rFonts w:ascii="Calibri" w:hAnsi="Calibri" w:cs="Calibri"/>
          <w:sz w:val="24"/>
          <w:szCs w:val="24"/>
          <w:lang w:val="en-US"/>
        </w:rPr>
        <w:t>impacts on</w:t>
      </w:r>
      <w:r w:rsidRPr="00053998">
        <w:rPr>
          <w:rFonts w:ascii="Calibri" w:hAnsi="Calibri" w:cs="Calibri"/>
          <w:sz w:val="24"/>
          <w:szCs w:val="24"/>
          <w:lang w:val="en-US"/>
        </w:rPr>
        <w:t xml:space="preserve"> biodiversity. This requires </w:t>
      </w:r>
      <w:r w:rsidR="00E814F8">
        <w:rPr>
          <w:rFonts w:ascii="Calibri" w:hAnsi="Calibri" w:cs="Calibri"/>
          <w:sz w:val="24"/>
          <w:szCs w:val="24"/>
          <w:lang w:val="en-US"/>
        </w:rPr>
        <w:t>estimating</w:t>
      </w:r>
      <w:r w:rsidRPr="00053998">
        <w:rPr>
          <w:rFonts w:ascii="Calibri" w:hAnsi="Calibri" w:cs="Calibri"/>
          <w:sz w:val="24"/>
          <w:szCs w:val="24"/>
          <w:lang w:val="en-US"/>
        </w:rPr>
        <w:t xml:space="preserve"> both the ecological value of these communities within and beyond agro-ecosystems</w:t>
      </w:r>
      <w:r w:rsidR="00E814F8">
        <w:rPr>
          <w:rFonts w:ascii="Calibri" w:hAnsi="Calibri" w:cs="Calibri"/>
          <w:sz w:val="24"/>
          <w:szCs w:val="24"/>
          <w:lang w:val="en-US"/>
        </w:rPr>
        <w:t xml:space="preserve">, </w:t>
      </w:r>
      <w:r w:rsidRPr="00053998">
        <w:rPr>
          <w:rFonts w:ascii="Calibri" w:hAnsi="Calibri" w:cs="Calibri"/>
          <w:sz w:val="24"/>
          <w:szCs w:val="24"/>
          <w:lang w:val="en-US"/>
        </w:rPr>
        <w:t>their possible negative impacts on crop production</w:t>
      </w:r>
      <w:r w:rsidR="00E814F8">
        <w:rPr>
          <w:rFonts w:ascii="Calibri" w:hAnsi="Calibri" w:cs="Calibri"/>
          <w:sz w:val="24"/>
          <w:szCs w:val="24"/>
          <w:lang w:val="en-US"/>
        </w:rPr>
        <w:t>, and the ecological impacts of their management</w:t>
      </w:r>
      <w:r w:rsidRPr="00053998">
        <w:rPr>
          <w:rFonts w:ascii="Calibri" w:hAnsi="Calibri" w:cs="Calibri"/>
          <w:sz w:val="24"/>
          <w:szCs w:val="24"/>
          <w:lang w:val="en-US"/>
        </w:rPr>
        <w:t xml:space="preserve"> </w:t>
      </w:r>
      <w:r w:rsidR="00B730C3">
        <w:rPr>
          <w:rFonts w:ascii="Calibri" w:hAnsi="Calibri" w:cs="Calibri"/>
          <w:sz w:val="24"/>
          <w:szCs w:val="24"/>
          <w:lang w:val="en-US"/>
        </w:rPr>
        <w:fldChar w:fldCharType="begin"/>
      </w:r>
      <w:r w:rsidR="00AD02D7">
        <w:rPr>
          <w:rFonts w:ascii="Calibri" w:hAnsi="Calibri" w:cs="Calibri"/>
          <w:sz w:val="24"/>
          <w:szCs w:val="24"/>
          <w:lang w:val="en-US"/>
        </w:rPr>
        <w:instrText xml:space="preserve"> ADDIN ZOTERO_ITEM CSL_CITATION {"citationID":"Cek6lMKj","properties":{"formattedCitation":"(Esposito et al., 2023; Petit et al., 2011; Storkey and Westbury, 2007)","plainCitation":"(Esposito et al., 2023; Petit et al., 2011; Storkey and Westbury, 2007)","noteIndex":0},"citationItems":[{"id":1254,"uris":["http://zotero.org/users/3599437/items/ECHP6WSE"],"itemData":{"id":1254,"type":"article-journal","abstract":"Weeds are a fundamental component of agroecosystems and, if not appropriately managed, can cause severe crop yield losses. New perspectives on weed management are required, because current approaches, such as herbicide application or soil tillage, have significant environmental and agronomic drawbacks. We propose the concept of “neutral weed communities,” which are weed communities that coexist with crops and do not negatively affect crop yield and quality compared with weed-free conditions. Management practices that promote neutral weed communities can enable reduced use of herbicides and soil tillage while enhancing ecosystem services and biodiversity. We report scientific evidence of neutral weed communities and survey ecological explanations for why different weed communities have different effects on crop production. We also propose two weed management approaches for attaining neutral weed communities. The first approach aims to maximize weed biodiversity using traditional approaches such as cropping system diversification and integrated weed management. Higher weed biodiversity is associated with lower dominance of competitive weed species that reduce crop yield. The second approach relies on modern tools such as robots and biotechnology to manipulate the density of specific weed species. This approach can remove highly problematic species and minimize niche overlap between the weeds and crops. Given the complexity of interactions among crops, weeds, and other components of the agroecosystem, we highlight the need for multidisciplinary research to illuminate mechanisms that determine the neutrality of weed communities.","container-title":"Weed Science","DOI":"10.1017/wsc.2023.27","ISSN":"0043-1745, 1550-2759","issue":"4","journalAbbreviation":"Weed Sci","language":"en","page":"301-311","source":"DOI.org (Crossref)","title":"Neutral weed communities: the intersection between crop productivity, biodiversity, and weed ecosystem services","title-short":"Neutral weed communities","volume":"71","author":[{"family":"Esposito","given":"Marco"},{"family":"Westbrook","given":"Anna S."},{"family":"Maggio","given":"Albino"},{"family":"Cirillo","given":"Valerio"},{"family":"DiTommaso","given":"Antonio"}],"issued":{"date-parts":[["2023",7]]}}},{"id":742,"uris":["http://zotero.org/users/3599437/items/V7UKAAP3"],"itemData":{"id":742,"type":"article-journal","abstract":"There is currently an increasing societal and political shift towards more sustainable agricultural systems to provide both food production and ecological biodiversity levels. This shift has recently modiﬁed scientiﬁc questioning and brought up new research challenges for agro-ecological research. This is the case in particular for weed management, where issues have so far largely focused on the conﬂict between weeds and crop productivity. Here, we review recent ﬁndings that have led to a changing perception on weeds in agro-ecosystems and upcoming areas in terms of weed management options. Our main ﬁndings are that weeds have numerous interactions with other organisms and, in turn, some of these interactions can have direct, either negative or positive, eﬀects on the functioning of the agro-ecosystem. Many interactions are species-speciﬁc, and therefore assessing the role of weed communities in the agro-ecosystem would beneﬁt from further development in the functional grouping of weed species. In terms of weed management our review shows that alternative cropping systems can deliver both good levels of crop productivity and of weed management at the ﬁeld level. Weeds respond to landscape attributes and there is a need to fully assess the scope for utilizing the spatio-temporal organization of cropping systems and uncultivated habitats as a tool for minimizing weed infestations. Weeds are also submitted to biological regulation through the predation of their seeds and further research is required to assess the eﬀect of cropping systems and landscape on levels of weed natural enemies, and therefore on the potential contribution of biological regulation in the management of weeds.","container-title":"Agronomy for Sustainable Development","DOI":"10.1051/agro/2010020","ISSN":"1774-0746, 1773-0155","issue":"2","journalAbbreviation":"Agronomy Sust. Developm.","language":"en","page":"309-317","source":"DOI.org (Crossref)","title":"Weeds in agricultural landscapes. A review","volume":"31","author":[{"family":"Petit","given":"Sandrine"},{"family":"Boursault","given":"Aline"},{"family":"Guilloux","given":"Mélanie"},{"family":"Munier-Jolain","given":"Nicolas"},{"family":"Reboud","given":"Xavier"}],"issued":{"date-parts":[["2011",4]]}}},{"id":669,"uris":["http://zotero.org/users/3599437/items/Q95J6ZVE"],"itemData":{"id":669,"type":"article-journal","abstract":"As a result of the recent intensification of crop production, the abundance and diversity of UK arable weeds adapted to cultivated land have declined, with an associated reduction in farmland birds. A number of questions need to be addressed when considering how these declines can be reversed. Firstly, can the delivery of crop production and biodiversity be reconciled by spatially separating cropping from designated wildlife areas? A number of subsidised environmental schemes in the UK take this approach and are focused on establishing vegetation cover on uncropped land. However, because of the lack of regular disturbance in these habitats, they are dominated by perennials and they therefore have limited potential for promoting the recovery of annual weed populations. A number of farmland bird species also rely on the provision of resources in field centres, and it is therefore likely that the recovery of their populations will rely on weed management options targeted at the cropped areas of the field. This raises two further questions. Firstly, is it possible to identify beneficial weed species that are relatively poor competitors with the crop and also have biodiversity value? Secondly, are the tools available to manage these species at acceptable levels while controlling pernicious weeds? A number of approaches are being employed to answer these questions, including predicting yield loss from weed competition models and exploiting herbicide selectivity. The further development of these tools is crucial if farmer opposition to managing weeds in crops is to be overcome. Copyright © 2007 Society of Chemical Industry","container-title":"Pest Management Science","DOI":"10.1002/ps.1375","ISSN":"1526-4998","issue":"6","language":"en","license":"Copyright © 2007 Society of Chemical Industry","note":"_eprint: https://onlinelibrary.wiley.com/doi/pdf/10.1002/ps.1375","page":"517-523","source":"Wiley Online Library","title":"Managing arable weeds for biodiversity","volume":"63","author":[{"family":"Storkey","given":"Jonathan"},{"family":"Westbury","given":"Duncan B"}],"issued":{"date-parts":[["2007"]]}}}],"schema":"https://github.com/citation-style-language/schema/raw/master/csl-citation.json"} </w:instrText>
      </w:r>
      <w:r w:rsidR="00B730C3">
        <w:rPr>
          <w:rFonts w:ascii="Calibri" w:hAnsi="Calibri" w:cs="Calibri"/>
          <w:sz w:val="24"/>
          <w:szCs w:val="24"/>
          <w:lang w:val="en-US"/>
        </w:rPr>
        <w:fldChar w:fldCharType="separate"/>
      </w:r>
      <w:r w:rsidR="00AD02D7" w:rsidRPr="00275DFF">
        <w:rPr>
          <w:rFonts w:ascii="Calibri" w:hAnsi="Calibri" w:cs="Calibri"/>
          <w:sz w:val="24"/>
          <w:lang w:val="en-US"/>
        </w:rPr>
        <w:t>(Esposito et al., 2023; Petit et al., 2011; Storkey and Westbury, 2007)</w:t>
      </w:r>
      <w:r w:rsidR="00B730C3">
        <w:rPr>
          <w:rFonts w:ascii="Calibri" w:hAnsi="Calibri" w:cs="Calibri"/>
          <w:sz w:val="24"/>
          <w:szCs w:val="24"/>
          <w:lang w:val="en-US"/>
        </w:rPr>
        <w:fldChar w:fldCharType="end"/>
      </w:r>
      <w:r w:rsidR="00B730C3" w:rsidRPr="00B730C3">
        <w:rPr>
          <w:rFonts w:ascii="Calibri" w:hAnsi="Calibri" w:cs="Calibri"/>
          <w:sz w:val="24"/>
          <w:szCs w:val="24"/>
          <w:lang w:val="en-US"/>
        </w:rPr>
        <w:t>.</w:t>
      </w:r>
      <w:r w:rsidR="000010AC">
        <w:rPr>
          <w:rFonts w:ascii="Calibri" w:hAnsi="Calibri" w:cs="Calibri"/>
          <w:sz w:val="24"/>
          <w:szCs w:val="24"/>
          <w:lang w:val="en-US"/>
        </w:rPr>
        <w:t xml:space="preserve"> </w:t>
      </w:r>
    </w:p>
    <w:p w14:paraId="67BB4795" w14:textId="2F237D5E" w:rsidR="00CC27F8" w:rsidRDefault="00CC27F8" w:rsidP="00E752C9">
      <w:pPr>
        <w:rPr>
          <w:rFonts w:ascii="Calibri" w:hAnsi="Calibri" w:cs="Calibri"/>
          <w:sz w:val="24"/>
          <w:szCs w:val="24"/>
          <w:lang w:val="en-US"/>
        </w:rPr>
      </w:pPr>
      <w:r w:rsidRPr="00067D64">
        <w:rPr>
          <w:rFonts w:ascii="Calibri" w:hAnsi="Calibri" w:cs="Calibri"/>
          <w:sz w:val="24"/>
          <w:szCs w:val="24"/>
          <w:lang w:val="en-US"/>
        </w:rPr>
        <w:t>Non-crop communities embedded within production fields may offer a range of ecological benefits. They may serve as important promotors of plant diversity</w:t>
      </w:r>
      <w:r w:rsidR="0075226B" w:rsidRPr="00067D64">
        <w:rPr>
          <w:rFonts w:ascii="Calibri" w:hAnsi="Calibri" w:cs="Calibri"/>
          <w:sz w:val="24"/>
          <w:szCs w:val="24"/>
          <w:lang w:val="en-US"/>
        </w:rPr>
        <w:t xml:space="preserve"> (CITE)</w:t>
      </w:r>
      <w:r w:rsidRPr="00067D64">
        <w:rPr>
          <w:rFonts w:ascii="Calibri" w:hAnsi="Calibri" w:cs="Calibri"/>
          <w:sz w:val="24"/>
          <w:szCs w:val="24"/>
          <w:lang w:val="en-US"/>
        </w:rPr>
        <w:t xml:space="preserve">, </w:t>
      </w:r>
      <w:r w:rsidR="0075226B" w:rsidRPr="00067D64">
        <w:rPr>
          <w:rFonts w:ascii="Calibri" w:hAnsi="Calibri" w:cs="Calibri"/>
          <w:sz w:val="24"/>
          <w:szCs w:val="24"/>
          <w:lang w:val="en-US"/>
        </w:rPr>
        <w:t xml:space="preserve">provide food sources for a high diversity of organisms </w:t>
      </w:r>
      <w:r w:rsidR="0075226B" w:rsidRPr="00067D64">
        <w:rPr>
          <w:rFonts w:ascii="Calibri" w:hAnsi="Calibri" w:cs="Calibri"/>
          <w:sz w:val="24"/>
          <w:szCs w:val="24"/>
          <w:lang w:val="en-US"/>
        </w:rPr>
        <w:fldChar w:fldCharType="begin"/>
      </w:r>
      <w:r w:rsidR="0075226B" w:rsidRPr="00067D64">
        <w:rPr>
          <w:rFonts w:ascii="Calibri" w:hAnsi="Calibri" w:cs="Calibri"/>
          <w:sz w:val="24"/>
          <w:szCs w:val="24"/>
          <w:lang w:val="en-US"/>
        </w:rPr>
        <w:instrText xml:space="preserve"> ADDIN ZOTERO_ITEM CSL_CITATION {"citationID":"qBzwzGc1","properties":{"formattedCitation":"(Balfour and Ratnieks, 2022; Marshall et al., 2003a)","plainCitation":"(Balfour and Ratnieks, 2022; Marshall et al., 2003a)","noteIndex":0},"citationItems":[{"id":470,"uris":["http://zotero.org/users/3599437/items/W3QPLB5Z"],"itemData":{"id":470,"type":"article-journal","abstract":"Agricultural intensification has been implicated in global biodiversity declines. In the European Union, agri-environmental schemes are designed to address this. For pollinating insects, funding has been provided to sow wildflower mixes. However, previous research indicates that a suite of agricultural weeds are also of great importance to pollinators. Here, we compare the biodiversity associated with the species which are considered harmful to agricultural production and legally deemed as ‘injurious’ by the United Kingdom 1959 Weeds Act (common ragwort Jacobaea vulgaris, creeping thistle Cirsium arvense, spear thistle C. vulgare, curled dock Rumex crispus and broadleaved dock R. obtusifolius), with plant species recommended for pollinator-targeted agri-environmental options. In our field study, the abundance and diversity of pollinators visiting the weed species averaged twice that of the recommended plants and included the main insect orders (Coleoptera, Diptera, Hymenoptera and Lepidoptera). This relationship was also seen in a meta-analysis of literature data, which indicates that fourfold more flower-visitor species and fivefold more conservation-listed species are associated with the weeds. Additionally, the literature shows that twice the number of herbivorous insect species are associated with these plants. We suggest that several factors are responsible for this pattern. Injurious weed species are widely distributed, their flower morphology allows access to a wide variety of pollinator species, and they produce, on average, four times more nectar sugar than the recommended plant species. Freedom of information requests to public bodies such as local councils, Natural England and Highways England indicate that c. £10 million per year is spent controlling injurious weeds. Meanwhile, the cost of the four pollinator-targeted agri-environmental options in the United Kingdom exceeds £40 m annually. Synthesis and applications. Our results clearly show that weeds have an underappreciated value to biodiversity. Unfortunately, current UK agricultural policy encourages neither land sparing for nor land sharing with weeds. The UK government is, however, currently committed to overhauling agricultural payments to encourage more wildlife- and climate-friendly practices. Thus, the challenge of reconciling the conflicts between agricultural production and these native and biodiverse species should be a renewed priority to land managers, researchers and policymakers.","container-title":"Journal of Applied Ecology","DOI":"10.1111/1365-2664.14132","ISSN":"1365-2664","issue":"5","language":"en","license":"© 2022 The Authors. Journal of Applied Ecology published by John Wiley &amp; Sons Ltd on behalf of British Ecological Society.","note":"_eprint: https://onlinelibrary.wiley.com/doi/pdf/10.1111/1365-2664.14132","page":"1209-1218","source":"Wiley Online Library","title":"The disproportionate value of ‘weeds’ to pollinators and biodiversity","volume":"59","author":[{"family":"Balfour","given":"Nicholas J."},{"family":"Ratnieks","given":"Francis L. W."}],"issued":{"date-parts":[["2022"]]}}},{"id":1290,"uris":["http://zotero.org/users/3599437/items/ILS777BG"],"itemData":{"id":1290,"type":"article-journal","abstract":"Weeds are major constraints on crop production, yet as part of the primary producers within farming systems, they may be important components of the agroecosystem. Using published literature, the role of weeds in arable systems for other above-ground trophic levels are examined. In the UK, there is evidence that weed flora have changed over the past century, with some species declining in abundance, whereas others have increased. There is also some evidence for a decline in the size of arable weed seedbanks. Some of these changes reflect improved agricultural efficiency, changes to more winter-sown crops in arable rotations and the use of more broad-spectrum herbicide combinations. Interrogation of a database of records of phytophagous insects associated with plant species in the UK reveals that many arable weed species support a high diversity of insect species. Reductions in abundances of host plants may affect associated insects and other taxa. A number of insect groups and farmland birds have shown marked population declines over the past 30 years. Correlational studies indicate that many of these declines are associated with changes in agricultural practices. Certainly reductions in food availability in winter and for nestling birds in spring are implicated in the declines of several bird species, notably the grey partridge, Perdix perdix. Thus weeds have a role within agroecosystems in supporting biodiversity more generally. An understanding of weed competitivity and the importance of weeds for insects and birds may allow the identification of the most important weed species. This may form the first step in balancing the needs for weed control with the requirements for biodiversity and more sustainable production methods.","container-title":"Weed Research","DOI":"10.1046/j.1365-3180.2003.00326.x","ISSN":"1365-3180","issue":"2","language":"en","note":"_eprint: https://onlinelibrary.wiley.com/doi/pdf/10.1046/j.1365-3180.2003.00326.x","page":"77-89","source":"Wiley Online Library","title":"The role of weeds in supporting biological diversity within crop fields","volume":"43","author":[{"family":"Marshall","given":"E J P"},{"family":"Brown","given":"V K"},{"family":"Boatman","given":"N D"},{"family":"Lutman","given":"P J W"},{"family":"Squire","given":"G R"},{"family":"Ward","given":"L K"}],"issued":{"date-parts":[["2003"]]}}}],"schema":"https://github.com/citation-style-language/schema/raw/master/csl-citation.json"} </w:instrText>
      </w:r>
      <w:r w:rsidR="0075226B" w:rsidRPr="00067D64">
        <w:rPr>
          <w:rFonts w:ascii="Calibri" w:hAnsi="Calibri" w:cs="Calibri"/>
          <w:sz w:val="24"/>
          <w:szCs w:val="24"/>
          <w:lang w:val="en-US"/>
        </w:rPr>
        <w:fldChar w:fldCharType="separate"/>
      </w:r>
      <w:r w:rsidR="0075226B" w:rsidRPr="00067D64">
        <w:rPr>
          <w:rFonts w:ascii="Calibri" w:hAnsi="Calibri" w:cs="Calibri"/>
          <w:sz w:val="24"/>
          <w:lang w:val="en-US"/>
        </w:rPr>
        <w:t>(Balfour and Ratnieks, 2022; Marshall et al., 2003a)</w:t>
      </w:r>
      <w:r w:rsidR="0075226B" w:rsidRPr="00067D64">
        <w:rPr>
          <w:rFonts w:ascii="Calibri" w:hAnsi="Calibri" w:cs="Calibri"/>
          <w:sz w:val="24"/>
          <w:szCs w:val="24"/>
          <w:lang w:val="en-US"/>
        </w:rPr>
        <w:fldChar w:fldCharType="end"/>
      </w:r>
      <w:r w:rsidR="0075226B" w:rsidRPr="00067D64">
        <w:rPr>
          <w:rFonts w:ascii="Calibri" w:hAnsi="Calibri" w:cs="Calibri"/>
          <w:sz w:val="24"/>
          <w:szCs w:val="24"/>
          <w:lang w:val="en-US"/>
        </w:rPr>
        <w:t xml:space="preserve">, offer habitat (CITE), reduce nitrate leaching </w:t>
      </w:r>
      <w:r w:rsidR="0075226B" w:rsidRPr="00067D64">
        <w:rPr>
          <w:rFonts w:ascii="Calibri" w:hAnsi="Calibri" w:cs="Calibri"/>
          <w:i/>
          <w:iCs/>
          <w:sz w:val="24"/>
          <w:szCs w:val="24"/>
          <w:lang w:val="en-US"/>
        </w:rPr>
        <w:t>(Blaix et al., 2018; Huang et al., 2018b)</w:t>
      </w:r>
      <w:r w:rsidR="0075226B" w:rsidRPr="00067D64">
        <w:rPr>
          <w:rFonts w:ascii="Calibri" w:hAnsi="Calibri" w:cs="Calibri"/>
          <w:sz w:val="24"/>
          <w:szCs w:val="24"/>
          <w:lang w:val="en-US"/>
        </w:rPr>
        <w:t xml:space="preserve"> </w:t>
      </w:r>
      <w:r w:rsidR="0075226B" w:rsidRPr="00067D64">
        <w:rPr>
          <w:rFonts w:ascii="Calibri" w:hAnsi="Calibri" w:cs="Calibri"/>
          <w:sz w:val="24"/>
          <w:szCs w:val="24"/>
          <w:lang w:val="en-US"/>
        </w:rPr>
        <w:fldChar w:fldCharType="begin"/>
      </w:r>
      <w:r w:rsidR="0075226B" w:rsidRPr="00067D64">
        <w:rPr>
          <w:rFonts w:ascii="Calibri" w:hAnsi="Calibri" w:cs="Calibri"/>
          <w:sz w:val="24"/>
          <w:szCs w:val="24"/>
          <w:lang w:val="en-US"/>
        </w:rPr>
        <w:instrText xml:space="preserve"> ADDIN ZOTERO_ITEM CSL_CITATION {"citationID":"2vc2BEbW","properties":{"formattedCitation":"(Sullivan et al., 2017)","plainCitation":"(Sullivan et al., 2017)","noteIndex":0},"citationItems":[{"id":1491,"uris":["http://zotero.org/users/3599437/items/J4YQVFCA"],"itemData":{"id":1491,"type":"article-journal","abstract":"This study investigated the ability of several plant species commonly occurring as weeds in Australian cropping systems to produce root exudates that inhibit nitrification via biological nitrification inhibition (BNI). Seedlings of wild radish (Raphanus raphanistrum), great brome grass (Bromus diandrus), wild oats (Avena fatua), annual ryegrass (Lolium rigidum) and Brachiaria humidicola (BNI-positive control) were grown in hydroponics, and the impact of their root exudates on NO3– production by Nitrosomonas europaea was measured in a pure-culture assay. A pot study (soil-based assay) was then conducted to confirm the ability of the weeds to inhibit nitrification in whole soils. All of the tested weeds slowed NO3– production by N. europaea in the pure-culture assay and significantly inhibited potential nitrification rates in soil-based assays. Root exudates produced by wild radish were the most inhibitory, slowing NO3– production by the pure culture of N. europaea by 53 ± 6.1% and completely inhibiting nitrification in the soil-based assay. The other weed species all had BNI capacities comparable to that of B. humidicola and significantly higher than that previously reported for wheat cv. Janz. This study demonstrates that several commonly occurring weed species have BNI capacity. By altering the N cycle, and retaining NH4+ in the soils in which they grow, these weeds may gain a competitive advantage over species (including crops) that prefer NO3–. Increasing our understanding of how weeds compete with crops for N may open avenues for novel weed-management strategies.","container-title":"Crop and Pasture Science","DOI":"10.1071/CP17243","ISSN":"1836-5795","issue":"8","journalAbbreviation":"Crop Pasture Sci.","language":"en","note":"publisher: CSIRO PUBLISHING","page":"798-804","source":"www.publish.csiro.au","title":"Biological nitrification inhibition by weeds: wild radish, brome grass, wild oats and annual ryegrass decrease nitrification rates in their rhizospheres","title-short":"Biological nitrification inhibition by weeds","volume":"68","author":[{"family":"Sullivan","given":"Cathryn A. O’"},{"family":"Whisson","given":"Kelley"},{"family":"Treble","given":"Karen"},{"family":"Roper","given":"Margaret M."},{"family":"Micin","given":"Shayne F."},{"family":"Ward","given":"Philip R."}],"issued":{"date-parts":[["2017",10,6]]}}}],"schema":"https://github.com/citation-style-language/schema/raw/master/csl-citation.json"} </w:instrText>
      </w:r>
      <w:r w:rsidR="0075226B" w:rsidRPr="00067D64">
        <w:rPr>
          <w:rFonts w:ascii="Calibri" w:hAnsi="Calibri" w:cs="Calibri"/>
          <w:sz w:val="24"/>
          <w:szCs w:val="24"/>
          <w:lang w:val="en-US"/>
        </w:rPr>
        <w:fldChar w:fldCharType="separate"/>
      </w:r>
      <w:r w:rsidR="0075226B" w:rsidRPr="00067D64">
        <w:rPr>
          <w:rFonts w:ascii="Calibri" w:hAnsi="Calibri" w:cs="Calibri"/>
          <w:sz w:val="24"/>
          <w:szCs w:val="24"/>
          <w:lang w:val="en-US"/>
        </w:rPr>
        <w:t>(Sullivan et al., 2017)</w:t>
      </w:r>
      <w:r w:rsidR="0075226B" w:rsidRPr="00067D64">
        <w:rPr>
          <w:rFonts w:ascii="Calibri" w:hAnsi="Calibri" w:cs="Calibri"/>
          <w:sz w:val="24"/>
          <w:szCs w:val="24"/>
          <w:lang w:val="en-US"/>
        </w:rPr>
        <w:fldChar w:fldCharType="end"/>
      </w:r>
      <w:r w:rsidR="0075226B" w:rsidRPr="00067D64">
        <w:rPr>
          <w:rFonts w:ascii="Calibri" w:hAnsi="Calibri" w:cs="Calibri"/>
          <w:sz w:val="24"/>
          <w:szCs w:val="24"/>
          <w:lang w:val="en-US"/>
        </w:rPr>
        <w:t xml:space="preserve">, </w:t>
      </w:r>
      <w:r w:rsidR="00067D64">
        <w:rPr>
          <w:rFonts w:ascii="Calibri" w:hAnsi="Calibri" w:cs="Calibri"/>
          <w:sz w:val="24"/>
          <w:szCs w:val="24"/>
          <w:lang w:val="en-US"/>
        </w:rPr>
        <w:t xml:space="preserve">contribute to soil organic carbon </w:t>
      </w:r>
      <w:r w:rsidR="00067D64" w:rsidRPr="00B730C3">
        <w:rPr>
          <w:rFonts w:ascii="Calibri" w:hAnsi="Calibri" w:cs="Calibri"/>
          <w:sz w:val="24"/>
          <w:szCs w:val="24"/>
          <w:lang w:val="en-US"/>
        </w:rPr>
        <w:t xml:space="preserve"> </w:t>
      </w:r>
      <w:r w:rsidR="00067D64" w:rsidRPr="00B730C3">
        <w:rPr>
          <w:rFonts w:ascii="Calibri" w:hAnsi="Calibri" w:cs="Calibri"/>
          <w:sz w:val="24"/>
          <w:szCs w:val="24"/>
          <w:lang w:val="en-US"/>
        </w:rPr>
        <w:fldChar w:fldCharType="begin"/>
      </w:r>
      <w:r w:rsidR="00067D64" w:rsidRPr="00B730C3">
        <w:rPr>
          <w:rFonts w:ascii="Calibri" w:hAnsi="Calibri" w:cs="Calibri"/>
          <w:sz w:val="24"/>
          <w:szCs w:val="24"/>
          <w:lang w:val="en-US"/>
        </w:rPr>
        <w:instrText xml:space="preserve"> ADDIN ZOTERO_ITEM CSL_CITATION {"citationID":"c5pMaXqX","properties":{"formattedCitation":"(Jian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sidR="00067D64" w:rsidRPr="00B730C3">
        <w:rPr>
          <w:rFonts w:ascii="Calibri" w:hAnsi="Calibri" w:cs="Calibri"/>
          <w:sz w:val="24"/>
          <w:szCs w:val="24"/>
          <w:lang w:val="en-US"/>
        </w:rPr>
        <w:fldChar w:fldCharType="separate"/>
      </w:r>
      <w:r w:rsidR="00067D64" w:rsidRPr="00DE4ABA">
        <w:rPr>
          <w:rFonts w:ascii="Calibri" w:hAnsi="Calibri" w:cs="Calibri"/>
          <w:sz w:val="24"/>
          <w:szCs w:val="24"/>
          <w:lang w:val="en-US"/>
        </w:rPr>
        <w:t>(Jian et al., 2020)</w:t>
      </w:r>
      <w:r w:rsidR="00067D64" w:rsidRPr="00B730C3">
        <w:rPr>
          <w:rFonts w:ascii="Calibri" w:hAnsi="Calibri" w:cs="Calibri"/>
          <w:sz w:val="24"/>
          <w:szCs w:val="24"/>
          <w:lang w:val="en-US"/>
        </w:rPr>
        <w:fldChar w:fldCharType="end"/>
      </w:r>
      <w:r w:rsidR="00067D64">
        <w:rPr>
          <w:rFonts w:ascii="Calibri" w:hAnsi="Calibri" w:cs="Calibri"/>
          <w:sz w:val="24"/>
          <w:szCs w:val="24"/>
          <w:lang w:val="en-US"/>
        </w:rPr>
        <w:t xml:space="preserve">, </w:t>
      </w:r>
      <w:r w:rsidR="0075226B" w:rsidRPr="00067D64">
        <w:rPr>
          <w:rFonts w:ascii="Calibri" w:hAnsi="Calibri" w:cs="Calibri"/>
          <w:sz w:val="24"/>
          <w:szCs w:val="24"/>
          <w:lang w:val="en-US"/>
        </w:rPr>
        <w:t xml:space="preserve">or mitigate soil erosion </w:t>
      </w:r>
      <w:r w:rsidR="00067D64" w:rsidRPr="00067D64">
        <w:rPr>
          <w:rFonts w:ascii="Calibri" w:hAnsi="Calibri" w:cs="Calibri"/>
          <w:sz w:val="24"/>
          <w:szCs w:val="24"/>
          <w:lang w:val="en-US"/>
        </w:rPr>
        <w:fldChar w:fldCharType="begin"/>
      </w:r>
      <w:r w:rsidR="00067D64" w:rsidRPr="00067D64">
        <w:rPr>
          <w:rFonts w:ascii="Calibri" w:hAnsi="Calibri" w:cs="Calibri"/>
          <w:sz w:val="24"/>
          <w:szCs w:val="24"/>
          <w:lang w:val="en-US"/>
        </w:rPr>
        <w:instrText xml:space="preserve"> ADDIN ZOTERO_ITEM CSL_CITATION {"citationID":"uzAw4jiw","properties":{"formattedCitation":"(Moreau et al., 2020)","plainCitation":"(Moreau et al., 2020)","noteIndex":0},"citationItems":[{"id":1502,"uris":["http://zotero.org/users/3599437/items/A8XSM9YL"],"itemData":{"id":1502,"type":"article-journal","abstract":"Weeds are often solely considered with a negative viewpoint, but they may also provide services for agroecosystems. Especially, the residual weed flora that is tolerated by integrated crop protection may contribute to a reduction of nitrate leaching and soil erosion during the summer and autumn fallow. To date, the determinants underlying these environmental weed benefits are largely unknown. The present study developed new indicators to account for the potential beneficial role of annual weed flora to reduce nitrate leaching and soil erosion at the field scale, and then calculated them from the outputs of a weed dynamics model. The aim was to analyse which cropping systems facilitate residual weed flora to reduce nitrate leaching and soil erosion, while minimizing negative weed impacts on crop production. When developing the indicators, the potential weed-based reduction of nitrate leaching was considered to increase with both the growth of the weed flora and the weed species potential to take up nitrogen; the potential weed-based reduction of soil erosion was assumed to increase with soil cover by weeds when soil cover by cash crops was low. Our simulation study included 259 arable cropping systems (covering a wide range of herbicide and tillage intensity, with each cropping system simulated over 28 years and repeated 10 times with 10 different weather series) in which the dynamics of 25 annual weed species was simulated. Simulations showed that the cropping systems promoting a high potential weed-based reduction of nitrate leaching were generally also those with a high potential weed-based reduction of soil erosion, pointing to a compatibility between these benefits provided by the weed flora. However, the cropping systems promoting these environmental benefits were generally also those that presented the highest crop yield losses. Tillage and crop rotation were identified as the cultural techniques with the greatest influence on the potential weed-based reduction of nitrate leaching and soil erosion, while herbicides had a more limited effect. Most of the studied cropping systems (representing “real situations” in which farmers or experimenters make the decisions about crop rotations and cultural techniques) tended to favour low crop yield losses rather than high weed-based environmental benefits. Interestingly, a few systems achieved both objectives. Systems that achieved relatively low crop yield losses and high weed-based environmental benefits mainly combined infrequent superficial tillage operations, with a low proportion of winter crops in the rotation and a very low tillage depth. Finally, only a few weed traits determined the role of the weed flora to potentially reduce nitrate leaching and soil erosion. They were seed traits (seed lipid content, seed area per weight and seed coat thickness), driving the early and fast appearance of the weed canopy after weed seed shed. This suggests that, for annual weed species, a high weed flora potential to reduce nitrate leaching and soil erosion is not restricted to specific weed species able to take up nitrogen and cover soil. Thus, our simulation study indicates that such a high potential to reduce nitrate leaching and soil erosion could therefore be reached in very different agroecosystems in terms of weed seed bank.","container-title":"European Journal of Agronomy","DOI":"10.1016/j.eja.2020.126015","ISSN":"1161-0301","journalAbbreviation":"European Journal of Agronomy","page":"126015","source":"ScienceDirect","title":"In which cropping systems can residual weeds reduce nitrate leaching and soil erosion?","volume":"119","author":[{"family":"Moreau","given":"Delphine"},{"family":"Pointurier","given":"Olivia"},{"family":"Nicolardot","given":"Bernard"},{"family":"Villerd","given":"Jean"},{"family":"Colbach","given":"Nathalie"}],"issued":{"date-parts":[["2020",9,1]]}}}],"schema":"https://github.com/citation-style-language/schema/raw/master/csl-citation.json"} </w:instrText>
      </w:r>
      <w:r w:rsidR="00067D64" w:rsidRPr="00067D64">
        <w:rPr>
          <w:rFonts w:ascii="Calibri" w:hAnsi="Calibri" w:cs="Calibri"/>
          <w:sz w:val="24"/>
          <w:szCs w:val="24"/>
          <w:lang w:val="en-US"/>
        </w:rPr>
        <w:fldChar w:fldCharType="separate"/>
      </w:r>
      <w:r w:rsidR="00067D64" w:rsidRPr="00067D64">
        <w:rPr>
          <w:rFonts w:ascii="Calibri" w:hAnsi="Calibri" w:cs="Calibri"/>
          <w:sz w:val="24"/>
          <w:lang w:val="en-US"/>
        </w:rPr>
        <w:t>(Moreau et al., 2020)</w:t>
      </w:r>
      <w:r w:rsidR="00067D64" w:rsidRPr="00067D64">
        <w:rPr>
          <w:rFonts w:ascii="Calibri" w:hAnsi="Calibri" w:cs="Calibri"/>
          <w:sz w:val="24"/>
          <w:szCs w:val="24"/>
          <w:lang w:val="en-US"/>
        </w:rPr>
        <w:fldChar w:fldCharType="end"/>
      </w:r>
      <w:r w:rsidR="0075226B">
        <w:rPr>
          <w:rFonts w:ascii="Calibri" w:hAnsi="Calibri" w:cs="Calibri"/>
          <w:sz w:val="24"/>
          <w:szCs w:val="24"/>
          <w:lang w:val="en-US"/>
        </w:rPr>
        <w:t xml:space="preserve"> </w:t>
      </w:r>
    </w:p>
    <w:p w14:paraId="6714FA3A" w14:textId="2AD07E54" w:rsidR="00067D64" w:rsidRDefault="00067D64" w:rsidP="000010AC">
      <w:pPr>
        <w:rPr>
          <w:rFonts w:ascii="Calibri" w:hAnsi="Calibri" w:cs="Calibri"/>
          <w:sz w:val="24"/>
          <w:szCs w:val="24"/>
          <w:lang w:val="en-US"/>
        </w:rPr>
      </w:pPr>
      <w:r w:rsidRPr="00A9025D">
        <w:rPr>
          <w:rFonts w:ascii="Calibri" w:hAnsi="Calibri" w:cs="Calibri"/>
          <w:i/>
          <w:iCs/>
          <w:sz w:val="24"/>
          <w:szCs w:val="24"/>
          <w:lang w:val="en-US"/>
        </w:rPr>
        <w:t>However, weeds also provide services for agroecosystems, promoting plant biodiversity and feeding other organisms potentially valuable to crop production (e.g pollinators, beneficial predators such as carabid beetles) (Petit et al., 2011; Kulkarni et al., 2015; Rollin et al., 2016).</w:t>
      </w:r>
    </w:p>
    <w:p w14:paraId="0398E603" w14:textId="1175B0B4" w:rsidR="00235ADC" w:rsidRDefault="0075226B" w:rsidP="0075226B">
      <w:pPr>
        <w:rPr>
          <w:rFonts w:ascii="Calibri" w:hAnsi="Calibri" w:cs="Calibri"/>
          <w:sz w:val="24"/>
          <w:szCs w:val="24"/>
          <w:lang w:val="en-US"/>
        </w:rPr>
      </w:pPr>
      <w:r>
        <w:rPr>
          <w:rFonts w:ascii="Calibri" w:hAnsi="Calibri" w:cs="Calibri"/>
          <w:sz w:val="24"/>
          <w:szCs w:val="24"/>
          <w:lang w:val="en-US"/>
        </w:rPr>
        <w:t xml:space="preserve">In agricultural systems that utilize tillage and/or herbicides, studies have found fall cover cropping has a minimal impact on subsequent weed pressure due to the strong filters exerted by spring tillage or herbicide application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{"citationID":"6ot4DrTx","properties":{"formattedCitation":"(Adeux et al., 2023; Rouge et al., 2023)","plainCitation":"(Adeux et al., 2023; Rouge et al., 2023)","noteIndex":0},"citationItems":[{"id":1248,"uris":["http://zotero.org/users/3599437/items/4LPL5GTN"],"itemData":{"id":1248,"type":"article-journal","abstract":"Context\nLittle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394,"uris":["http://zotero.org/users/3599437/items/77YT7T2T"],"itemData":{"id":394,"type":"article-journal","abstract":"The carry-over effect of cover crops on weeds and crop productivity in the subsequent crops has been related to cover crop composition and cover crop termination methods but their interaction with soil resource availability remains poorly documented, as well as the relative importance of each of these factors. This study investigated the effect of cover crop management (i.e. cover crop mixture, fertilisation, irrigation, termination method and their combinations) on weed biomass and crop productivity in two subsequent crops (spring barley followed by winter linseed). We hypothesised that cover crop management could affect productivity of the subsequent crops through both weed suppression and nitrogen supply. Two experiments spanning a duration of two years were setup, on two different fields in two different years, to investigate the effect of cover crop mixture (2 or 8 species including or not legume species, plus a bare soil control), water and nitrogen availability at cover crop sowing and cover crop termination methods (rolling, herbicide-use and winter-kill control) on weed biomass and crop productivity of the two subsequent unweeded, unfertilised and directly seeded crops. Weed biomass and crop productivity in both subsequent crops were affected by multiple interactions between cover crop mixture, soil resource availability, cover crop termination method and experiment. In experiment 1, combinations of cover crop management alternative to the reference (i.e. bare soil, without fertilisation and irrigation, winter-killed) mainly showed beneficial carry-over effects (i.e. lower weed biomass and higher crop productivity) in the sub­ sequent spring barley while having no effect in winter linseed. In experiment 2, alternative combinations of cover crop management mainly showed no effects or detrimental carry-over effects (i.e. higher weed biomass and lower crop productivity) in spring barley while having some positive effects in winter linseed (i.e. only when cover crops were terminated with herbicide-use). Crop productivity was mainly affected by weed biomass which was significantly reduced almost only when cover crops were terminated with herbicide-use. Crop productivity was also affected but to a lesser extent by cover crop soil-mediated effects (e.g. nitrogen supply). These results highlight complex interactions between cover crop management and environmental conditions on the carry-over effects of cover crops in the subsequent crops. Cover crops may not play an essential role for weed management in no-till and herbicide-free systems, particularly at low levels of cover crop biomass production.","container-title":"Field Crops Research","DOI":"10.1016/j.fcr.2023.108899","ISSN":"03784290","journalAbbreviation":"Field Crops Research","language":"en","page":"108899","source":"DOI.org (Crossref)","title":"Carry-over effects of cover crops on weeds and crop productivity in no-till systems","volume":"295","author":[{"family":"Rouge","given":"Alicia"},{"family":"Adeux","given":"Guillaume"},{"family":"Busset","given":"Hugues"},{"family":"Hugard","given":"Rodolphe"},{"family":"Martin","given":"Juliette"},{"family":"Matejicek","given":"Annick"},{"family":"Moreau","given":"Delphine"},{"family":"Guillemin","given":"Jean-Philippe"},{"family":"Cordeau","given":"Stéphane"}],"issued":{"date-parts":[["2023",5]]}}}],"schema":"https://github.com/citation-style-language/schema/raw/master/csl-citation.json"} </w:instrText>
      </w:r>
      <w:r>
        <w:rPr>
          <w:rFonts w:ascii="Calibri" w:hAnsi="Calibri" w:cs="Calibri"/>
          <w:sz w:val="24"/>
          <w:szCs w:val="24"/>
          <w:lang w:val="en-US"/>
        </w:rPr>
        <w:fldChar w:fldCharType="separate"/>
      </w:r>
      <w:r w:rsidRPr="00053998">
        <w:rPr>
          <w:rFonts w:ascii="Calibri" w:hAnsi="Calibri" w:cs="Calibri"/>
          <w:sz w:val="24"/>
          <w:lang w:val="en-US"/>
        </w:rPr>
        <w:t>(Adeux et al., 2023; Rouge et al., 2023)</w:t>
      </w:r>
      <w:r>
        <w:rPr>
          <w:rFonts w:ascii="Calibri" w:hAnsi="Calibri" w:cs="Calibri"/>
          <w:sz w:val="24"/>
          <w:szCs w:val="24"/>
          <w:lang w:val="en-US"/>
        </w:rPr>
        <w:fldChar w:fldCharType="end"/>
      </w:r>
      <w:r w:rsidR="00067D64">
        <w:rPr>
          <w:rFonts w:ascii="Calibri" w:hAnsi="Calibri" w:cs="Calibri"/>
          <w:sz w:val="24"/>
          <w:szCs w:val="24"/>
          <w:lang w:val="en-US"/>
        </w:rPr>
        <w:t xml:space="preserve"> </w:t>
      </w:r>
      <w:r w:rsidR="00067D64">
        <w:rPr>
          <w:rFonts w:ascii="Calibri" w:hAnsi="Calibri" w:cs="Calibri"/>
          <w:sz w:val="24"/>
          <w:szCs w:val="24"/>
          <w:lang w:val="en-US"/>
        </w:rPr>
        <w:fldChar w:fldCharType="begin"/>
      </w:r>
      <w:r w:rsidR="00067D64">
        <w:rPr>
          <w:rFonts w:ascii="Calibri" w:hAnsi="Calibri" w:cs="Calibri"/>
          <w:sz w:val="24"/>
          <w:szCs w:val="24"/>
          <w:lang w:val="en-US"/>
        </w:rPr>
        <w:instrText xml:space="preserve"> ADDIN ZOTERO_ITEM CSL_CITATION {"citationID":"KnLjDzjF","properties":{"formattedCitation":"(Adeux et al., 2023, 2021)","plainCitation":"(Adeux et al., 2023, 2021)","noteIndex":0},"citationItems":[{"id":1248,"uris":["http://zotero.org/users/3599437/items/4LPL5GTN"],"itemData":{"id":1248,"type":"article-journal","abstract":"Context\nLittle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395,"uris":["http://zotero.org/users/3599437/items/EEYB98HA"],"itemData":{"id":395,"type":"article-journal","abstract":"Cover crops (CC) have been proposed as a promising ecological tool to manage weeds and increase crop pro­ ductivity. We hypothesized that the repeated use of CC could increase crop yield directly through nitrogen release and/or indirectly through a modification of weed communities. Data were collected on CC biomass, weed biomass, weed community composition, and crop yield during one complete rotation cycle (CC-sunflower-durum wheat-CC-maize-durum wheat) from 2011 to 2015, 18 years after the beginning of a long-term, single-site, splitsplit plot experiment focusing on tillage systems (conventional (CT) vs. reduced (RT)), nitrogen rates and CC species (Brassica juncea (L.) Czern. (Bj), Vicia villosa Roth (Vv), Trifolium squarrosum L. (Ts) and a winter baresoil control (C)). Univariate response variables were analyzed with generalized mixed effect models and community data were analyzed with multivariate linear models. During the fallow period, Bj suppressed weed biomass (with respect to C) by 79, 75, 34, and 28 % in CT:2012, RT:2012, CT:2014 and RT: 2014, respectively, whereas Vv only suppressed weed biomass by 69 and 37 % in CT and RT in 2012, respectively. Greater weed suppression for Bj than Vv or Ts at lower levels of CC productivity (200 g dry biomass m− 2) was attributed to the importance of CC traits such as nitrophily, allelopathy and/or quick soil coverage. The weed suppressive effect of CC during the fallow period was greater in CT (βslope = − 0.28) than in RT (βslope = − 0.16), possibly due to contrasted weed flora and/or CC growth dynamics. Tillage and herbicides overrode the potential effect of CC on weed commu­ nities in the subsequent crops. The integration of a highly productive legume CC, such as Vv, allowed to increase maize productivity (with respect to C) by 65 % in absence of N fertilisation and by 23 % at the lowest N fer­ tilisation level. CC effects on sunflower and durum wheat yield were limited due to dry weather conditions and quick nitrogen release in time, respectively. These results highlight the importance of legume CC for sustaining crop productivity while reducing nitrogen fertilisation. Further studies need to identify less intensive weed management practices that can complement potential CC effects rather than override them.","container-title":"European Journal of Agronomy","DOI":"10.1016/j.eja.2020.126221","ISSN":"11610301","journalAbbreviation":"European Journal of Agronomy","language":"en","page":"126221","source":"DOI.org (Crossref)","title":"Cover crops promote crop productivity but do not enhance weed management in tillage-based cropping systems","volume":"123","author":[{"family":"Adeux","given":"Guillaume"},{"family":"Cordeau","given":"Stéphane"},{"family":"Antichi","given":"Daniele"},{"family":"Carlesi","given":"Stefano"},{"family":"Mazzoncini","given":"Marco"},{"family":"Munier-Jolain","given":"Nicolas"},{"family":"Bàrberi","given":"Paolo"}],"issued":{"date-parts":[["2021",2]]}}}],"schema":"https://github.com/citation-style-language/schema/raw/master/csl-citation.json"} </w:instrText>
      </w:r>
      <w:r w:rsidR="00067D64">
        <w:rPr>
          <w:rFonts w:ascii="Calibri" w:hAnsi="Calibri" w:cs="Calibri"/>
          <w:sz w:val="24"/>
          <w:szCs w:val="24"/>
          <w:lang w:val="en-US"/>
        </w:rPr>
        <w:fldChar w:fldCharType="separate"/>
      </w:r>
      <w:r w:rsidR="00067D64" w:rsidRPr="00371162">
        <w:rPr>
          <w:rFonts w:ascii="Calibri" w:hAnsi="Calibri" w:cs="Calibri"/>
          <w:sz w:val="24"/>
          <w:lang w:val="en-US"/>
        </w:rPr>
        <w:t>(Adeux et al., 2023, 2021)</w:t>
      </w:r>
      <w:r w:rsidR="00067D64">
        <w:rPr>
          <w:rFonts w:ascii="Calibri" w:hAnsi="Calibri" w:cs="Calibri"/>
          <w:sz w:val="24"/>
          <w:szCs w:val="24"/>
          <w:lang w:val="en-US"/>
        </w:rPr>
        <w:fldChar w:fldCharType="end"/>
      </w:r>
      <w:r w:rsidR="00067D64">
        <w:rPr>
          <w:rFonts w:ascii="Calibri" w:hAnsi="Calibri" w:cs="Calibri"/>
          <w:sz w:val="24"/>
          <w:szCs w:val="24"/>
          <w:lang w:val="en-US"/>
        </w:rPr>
        <w:t xml:space="preserve"> OTHERS</w:t>
      </w:r>
      <w:r>
        <w:rPr>
          <w:rFonts w:ascii="Calibri" w:hAnsi="Calibri" w:cs="Calibri"/>
          <w:sz w:val="24"/>
          <w:szCs w:val="24"/>
          <w:lang w:val="en-US"/>
        </w:rPr>
        <w:t xml:space="preserve">. It follows that fall non-crop vegetation may present a unique opportunity for optimization, allowing the expression of ecologically beneficial weeds in addition to providing services such as soil cover and soil nitrate retention (CITE). </w:t>
      </w:r>
      <w:r w:rsidR="00235ADC">
        <w:rPr>
          <w:rFonts w:ascii="Calibri" w:hAnsi="Calibri" w:cs="Calibri"/>
          <w:sz w:val="24"/>
          <w:szCs w:val="24"/>
          <w:lang w:val="en-US"/>
        </w:rPr>
        <w:t>The interaction between cover crops, tillage</w:t>
      </w:r>
      <w:r w:rsidR="00067D64">
        <w:rPr>
          <w:rFonts w:ascii="Calibri" w:hAnsi="Calibri" w:cs="Calibri"/>
          <w:sz w:val="24"/>
          <w:szCs w:val="24"/>
          <w:lang w:val="en-US"/>
        </w:rPr>
        <w:t xml:space="preserve"> </w:t>
      </w:r>
      <w:r w:rsidR="00235ADC">
        <w:rPr>
          <w:rFonts w:ascii="Calibri" w:hAnsi="Calibri" w:cs="Calibri"/>
          <w:sz w:val="24"/>
          <w:szCs w:val="24"/>
          <w:lang w:val="en-US"/>
        </w:rPr>
        <w:t xml:space="preserve">and residue management is complex, and it is unclear how these factors might be combined to optimize the services provided by fall non-crop vegetation. To better understand the potential for optimizing fall non-crop vegetation services, we embedded five cover cropping systems within six combinations of tillage and residue managements, resulting in 30 unique cropping systems. </w:t>
      </w:r>
      <w:r w:rsidR="00997091">
        <w:rPr>
          <w:rFonts w:ascii="Calibri" w:hAnsi="Calibri" w:cs="Calibri"/>
          <w:sz w:val="24"/>
          <w:szCs w:val="24"/>
          <w:lang w:val="en-US"/>
        </w:rPr>
        <w:t xml:space="preserve">Using these </w:t>
      </w:r>
      <w:r w:rsidR="00235ADC">
        <w:rPr>
          <w:rFonts w:ascii="Calibri" w:hAnsi="Calibri" w:cs="Calibri"/>
          <w:sz w:val="24"/>
          <w:szCs w:val="24"/>
          <w:lang w:val="en-US"/>
        </w:rPr>
        <w:t>30 systems</w:t>
      </w:r>
      <w:r w:rsidR="00067D64">
        <w:rPr>
          <w:rFonts w:ascii="Calibri" w:hAnsi="Calibri" w:cs="Calibri"/>
          <w:sz w:val="24"/>
          <w:szCs w:val="24"/>
          <w:lang w:val="en-US"/>
        </w:rPr>
        <w:t xml:space="preserve"> as a platform</w:t>
      </w:r>
      <w:r w:rsidR="00235ADC">
        <w:rPr>
          <w:rFonts w:ascii="Calibri" w:hAnsi="Calibri" w:cs="Calibri"/>
          <w:sz w:val="24"/>
          <w:szCs w:val="24"/>
          <w:lang w:val="en-US"/>
        </w:rPr>
        <w:t>, the objectives of this study were to:</w:t>
      </w:r>
    </w:p>
    <w:p w14:paraId="6946F225" w14:textId="30D741AD" w:rsidR="00997091" w:rsidRDefault="00997091" w:rsidP="00997091">
      <w:pPr>
        <w:pStyle w:val="ListParagraph"/>
        <w:numPr>
          <w:ilvl w:val="0"/>
          <w:numId w:val="2"/>
        </w:numPr>
        <w:rPr>
          <w:rFonts w:ascii="Calibri" w:hAnsi="Calibri" w:cs="Calibri"/>
          <w:sz w:val="24"/>
          <w:szCs w:val="24"/>
          <w:lang w:val="en-US"/>
        </w:rPr>
      </w:pPr>
      <w:r>
        <w:rPr>
          <w:rFonts w:ascii="Calibri" w:hAnsi="Calibri" w:cs="Calibri"/>
          <w:sz w:val="24"/>
          <w:szCs w:val="24"/>
          <w:lang w:val="en-US"/>
        </w:rPr>
        <w:t>Quantify the services resulting from management combinations</w:t>
      </w:r>
    </w:p>
    <w:p w14:paraId="25E9EB30" w14:textId="56994691"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Soil protection</w:t>
      </w:r>
    </w:p>
    <w:p w14:paraId="794F77E4" w14:textId="1916B85D"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Reduction of nitrate leaching</w:t>
      </w:r>
    </w:p>
    <w:p w14:paraId="29E67C87" w14:textId="22104793" w:rsidR="00997091" w:rsidRPr="00235ADC"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Ecological value</w:t>
      </w:r>
    </w:p>
    <w:p w14:paraId="46D12469" w14:textId="65F1232D" w:rsidR="00997091" w:rsidRDefault="00997091" w:rsidP="00997091">
      <w:pPr>
        <w:pStyle w:val="ListParagraph"/>
        <w:numPr>
          <w:ilvl w:val="0"/>
          <w:numId w:val="2"/>
        </w:numPr>
        <w:rPr>
          <w:rFonts w:ascii="Calibri" w:hAnsi="Calibri" w:cs="Calibri"/>
          <w:sz w:val="24"/>
          <w:szCs w:val="24"/>
          <w:lang w:val="en-US"/>
        </w:rPr>
      </w:pPr>
      <w:r>
        <w:rPr>
          <w:rFonts w:ascii="Calibri" w:hAnsi="Calibri" w:cs="Calibri"/>
          <w:sz w:val="24"/>
          <w:szCs w:val="24"/>
          <w:lang w:val="en-US"/>
        </w:rPr>
        <w:t>Quantify the dis-services resulting from management combinations</w:t>
      </w:r>
    </w:p>
    <w:p w14:paraId="21EE8EAC" w14:textId="33E76505"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Reduced cash crop yields</w:t>
      </w:r>
    </w:p>
    <w:p w14:paraId="647C272B" w14:textId="5D9C0649"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Pesticide toxicity loads to the environment</w:t>
      </w:r>
    </w:p>
    <w:p w14:paraId="25226DAA" w14:textId="23B88A0D" w:rsidR="00997091" w:rsidRP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Future agronomic harm potential</w:t>
      </w:r>
    </w:p>
    <w:p w14:paraId="39D5D0A8" w14:textId="1DBA8DB5" w:rsidR="0075226B" w:rsidRDefault="00235ADC" w:rsidP="00997091">
      <w:pPr>
        <w:pStyle w:val="ListParagraph"/>
        <w:numPr>
          <w:ilvl w:val="0"/>
          <w:numId w:val="2"/>
        </w:numPr>
        <w:rPr>
          <w:rFonts w:ascii="Calibri" w:hAnsi="Calibri" w:cs="Calibri"/>
          <w:sz w:val="24"/>
          <w:szCs w:val="24"/>
          <w:lang w:val="en-US"/>
        </w:rPr>
      </w:pPr>
      <w:r>
        <w:rPr>
          <w:rFonts w:ascii="Calibri" w:hAnsi="Calibri" w:cs="Calibri"/>
          <w:sz w:val="24"/>
          <w:szCs w:val="24"/>
          <w:lang w:val="en-US"/>
        </w:rPr>
        <w:lastRenderedPageBreak/>
        <w:t>Understand how cover cropping systems interact with tillage</w:t>
      </w:r>
      <w:r w:rsidR="00997091">
        <w:rPr>
          <w:rFonts w:ascii="Calibri" w:hAnsi="Calibri" w:cs="Calibri"/>
          <w:sz w:val="24"/>
          <w:szCs w:val="24"/>
          <w:lang w:val="en-US"/>
        </w:rPr>
        <w:t xml:space="preserve">, </w:t>
      </w:r>
      <w:r>
        <w:rPr>
          <w:rFonts w:ascii="Calibri" w:hAnsi="Calibri" w:cs="Calibri"/>
          <w:sz w:val="24"/>
          <w:szCs w:val="24"/>
          <w:lang w:val="en-US"/>
        </w:rPr>
        <w:t>residue removal</w:t>
      </w:r>
      <w:r w:rsidR="00997091">
        <w:rPr>
          <w:rFonts w:ascii="Calibri" w:hAnsi="Calibri" w:cs="Calibri"/>
          <w:sz w:val="24"/>
          <w:szCs w:val="24"/>
          <w:lang w:val="en-US"/>
        </w:rPr>
        <w:t>, and weather</w:t>
      </w:r>
      <w:r>
        <w:rPr>
          <w:rFonts w:ascii="Calibri" w:hAnsi="Calibri" w:cs="Calibri"/>
          <w:sz w:val="24"/>
          <w:szCs w:val="24"/>
          <w:lang w:val="en-US"/>
        </w:rPr>
        <w:t xml:space="preserve"> in provision of </w:t>
      </w:r>
      <w:r w:rsidR="00997091">
        <w:rPr>
          <w:rFonts w:ascii="Calibri" w:hAnsi="Calibri" w:cs="Calibri"/>
          <w:sz w:val="24"/>
          <w:szCs w:val="24"/>
          <w:lang w:val="en-US"/>
        </w:rPr>
        <w:t xml:space="preserve">these </w:t>
      </w:r>
      <w:r>
        <w:rPr>
          <w:rFonts w:ascii="Calibri" w:hAnsi="Calibri" w:cs="Calibri"/>
          <w:sz w:val="24"/>
          <w:szCs w:val="24"/>
          <w:lang w:val="en-US"/>
        </w:rPr>
        <w:t>services</w:t>
      </w:r>
      <w:r w:rsidR="00997091">
        <w:rPr>
          <w:rFonts w:ascii="Calibri" w:hAnsi="Calibri" w:cs="Calibri"/>
          <w:sz w:val="24"/>
          <w:szCs w:val="24"/>
          <w:lang w:val="en-US"/>
        </w:rPr>
        <w:t xml:space="preserve"> and dis-services</w:t>
      </w:r>
    </w:p>
    <w:p w14:paraId="5ABA78FC" w14:textId="7994D96E" w:rsidR="00997091" w:rsidRPr="00997091" w:rsidRDefault="00997091" w:rsidP="00997091">
      <w:pPr>
        <w:rPr>
          <w:rFonts w:ascii="Calibri" w:hAnsi="Calibri" w:cs="Calibri"/>
          <w:sz w:val="24"/>
          <w:szCs w:val="24"/>
          <w:lang w:val="en-US"/>
        </w:rPr>
      </w:pPr>
    </w:p>
    <w:p w14:paraId="4439579A" w14:textId="371AC11D" w:rsidR="00B730C3" w:rsidRDefault="00D60065" w:rsidP="00B730C3">
      <w:pPr>
        <w:rPr>
          <w:rFonts w:ascii="Calibri" w:hAnsi="Calibri" w:cs="Calibri"/>
          <w:sz w:val="24"/>
          <w:szCs w:val="24"/>
          <w:lang w:val="en-US"/>
        </w:rPr>
      </w:pPr>
      <w:r>
        <w:rPr>
          <w:rFonts w:ascii="Calibri" w:hAnsi="Calibri" w:cs="Calibri"/>
          <w:sz w:val="24"/>
          <w:szCs w:val="24"/>
          <w:lang w:val="en-US"/>
        </w:rPr>
        <w:t xml:space="preserve">Organic systems likewise experience complex interactions and tradeoffs between cover crop use, tillage, and weed management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{"citationID":"BwCQcxXb","properties":{"formattedCitation":"(Melander et al., 2016)","plainCitation":"(Melander et al., 2016)","noteIndex":0},"citationItems":[{"id":1496,"uris":["http://zotero.org/users/3599437/items/6N86SJ5S"],"itemData":{"id":1496,"type":"article-journal","abstract":"Fertility building measures are important components in improving the productivity of organic cropping systems without livestock. However, some measures seem to be incompatible with the control of perennial weeds that can have adverse effects such as significant weed competition. The influence of fertility building measures (N2-fixing crops in the crop sequence, cover crops and manuring) and the abundance of perennial weeds were studied in a long-term crop rotation experiment at two locations in Denmark. The aim was to gain insight into the factors that influence the growth of perennial weed species occurring in mixed stands. Data were obtained from three cycles of four-year arable crop rotations comprising various cash crops in rotations with and without annual whole-year grass-clover as green manure and subjected to four treatment combinations: with and without animal manure and with and without cover crops. Severe outbreaks of perennial weed problems did not occur at the location that had the highest soil fertility, whereas the other site demonstrated dynamic growth of Cirsium arvense and Elytrigia repens. Grain legumes tended to promote the growth of C. arvense, while manuring was neutral to C. arvense but beneficial to E. repens. Cover crops assisted the growth of E. repens since prolonged mechanical interventions were not possible. Compatibility was only achieved with grass-clover and C. arvense, meaning that green manure crops suitable for cutting and mulching could offer an important management option against C. arvense but not against E. repens.","container-title":"Agriculture, Ecosystems &amp; Environment","DOI":"10.1016/j.agee.2016.01.016","ISSN":"0167-8809","journalAbbreviation":"Agriculture, Ecosystems &amp; Environment","page":"184-192","source":"ScienceDirect","title":"Incompatibility between fertility building measures and the management of perennial weeds in organic cropping systems","volume":"220","author":[{"family":"Melander","given":"Bo"},{"family":"Rasmussen","given":"Ilse A."},{"family":"Olesen","given":"Jørgen E."}],"issued":{"date-parts":[["2016",3,15]]}}}],"schema":"https://github.com/citation-style-language/schema/raw/master/csl-citation.json"} </w:instrText>
      </w:r>
      <w:r>
        <w:rPr>
          <w:rFonts w:ascii="Calibri" w:hAnsi="Calibri" w:cs="Calibri"/>
          <w:sz w:val="24"/>
          <w:szCs w:val="24"/>
          <w:lang w:val="en-US"/>
        </w:rPr>
        <w:fldChar w:fldCharType="separate"/>
      </w:r>
      <w:r w:rsidRPr="00336BAD">
        <w:rPr>
          <w:rFonts w:ascii="Calibri" w:hAnsi="Calibri" w:cs="Calibri"/>
          <w:sz w:val="24"/>
          <w:lang w:val="en-US"/>
        </w:rPr>
        <w:t>(Melander et al., 2016)</w:t>
      </w:r>
      <w:r>
        <w:rPr>
          <w:rFonts w:ascii="Calibri" w:hAnsi="Calibri" w:cs="Calibri"/>
          <w:sz w:val="24"/>
          <w:szCs w:val="24"/>
          <w:lang w:val="en-US"/>
        </w:rPr>
        <w:fldChar w:fldCharType="end"/>
      </w:r>
      <w:r>
        <w:rPr>
          <w:rFonts w:ascii="Calibri" w:hAnsi="Calibri" w:cs="Calibri"/>
          <w:sz w:val="24"/>
          <w:szCs w:val="24"/>
          <w:lang w:val="en-US"/>
        </w:rPr>
        <w:t xml:space="preserve">. </w:t>
      </w:r>
      <w:r w:rsidR="00336BAD">
        <w:rPr>
          <w:rFonts w:ascii="Calibri" w:hAnsi="Calibri" w:cs="Calibri"/>
          <w:sz w:val="24"/>
          <w:szCs w:val="24"/>
          <w:lang w:val="en-US"/>
        </w:rPr>
        <w:t>To our knowledge there are few assessments of the fall vegetation communities that include metrics</w:t>
      </w:r>
      <w:r w:rsidR="00053998">
        <w:rPr>
          <w:rFonts w:ascii="Calibri" w:hAnsi="Calibri" w:cs="Calibri"/>
          <w:sz w:val="24"/>
          <w:szCs w:val="24"/>
          <w:lang w:val="en-US"/>
        </w:rPr>
        <w:t xml:space="preserve"> </w:t>
      </w:r>
    </w:p>
    <w:p w14:paraId="383D53BA" w14:textId="77777777" w:rsidR="00CC27F8" w:rsidRDefault="00CC27F8" w:rsidP="00B730C3">
      <w:pPr>
        <w:rPr>
          <w:rFonts w:ascii="Calibri" w:hAnsi="Calibri" w:cs="Calibri"/>
          <w:sz w:val="24"/>
          <w:szCs w:val="24"/>
          <w:lang w:val="en-US"/>
        </w:rPr>
      </w:pPr>
    </w:p>
    <w:p w14:paraId="196D324D" w14:textId="72942431" w:rsidR="00B730C3" w:rsidRPr="0093369E" w:rsidRDefault="00CC27F8" w:rsidP="00B730C3">
      <w:pPr>
        <w:rPr>
          <w:rFonts w:ascii="Calibri" w:hAnsi="Calibri" w:cs="Calibri"/>
          <w:sz w:val="24"/>
          <w:szCs w:val="24"/>
          <w:lang w:val="en-US"/>
        </w:rPr>
      </w:pPr>
      <w:r>
        <w:rPr>
          <w:rFonts w:ascii="Calibri" w:hAnsi="Calibri" w:cs="Calibri"/>
          <w:sz w:val="24"/>
          <w:szCs w:val="24"/>
          <w:lang w:val="en-US"/>
        </w:rPr>
        <w:t xml:space="preserve"> </w:t>
      </w:r>
      <w:r w:rsidR="0093369E">
        <w:rPr>
          <w:rFonts w:ascii="Calibri" w:hAnsi="Calibri" w:cs="Calibri"/>
          <w:sz w:val="24"/>
          <w:szCs w:val="24"/>
          <w:lang w:val="en-US"/>
        </w:rPr>
        <w:t xml:space="preserve"> </w:t>
      </w:r>
    </w:p>
    <w:p w14:paraId="725438F3"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Non-crop vegetation can provide value. Especially fall vegetation, as it will be controlled in the spring before planting with tillage or herbicides</w:t>
      </w:r>
    </w:p>
    <w:p w14:paraId="2419BD16"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Cover crops</w:t>
      </w:r>
    </w:p>
    <w:p w14:paraId="0A77C3BF"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Volunteers</w:t>
      </w:r>
    </w:p>
    <w:p w14:paraId="2F9D2631"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Weeds can provide services</w:t>
      </w:r>
    </w:p>
    <w:p w14:paraId="3ACEFB4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Especially fall vegetation, as it will be controlled in the spring before planting with Tillage or herbicides</w:t>
      </w:r>
    </w:p>
    <w:p w14:paraId="318B4FC1"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Protect soil from erosion</w:t>
      </w:r>
    </w:p>
    <w:p w14:paraId="487F5AF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Reduce nitrate leaching</w:t>
      </w:r>
    </w:p>
    <w:p w14:paraId="58D22E0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Plant diversity</w:t>
      </w:r>
    </w:p>
    <w:p w14:paraId="123D3431" w14:textId="77777777" w:rsidR="00B730C3" w:rsidRPr="003E205E" w:rsidRDefault="00B730C3" w:rsidP="00B730C3">
      <w:pPr>
        <w:pStyle w:val="ListParagraph"/>
        <w:numPr>
          <w:ilvl w:val="2"/>
          <w:numId w:val="1"/>
        </w:numPr>
        <w:rPr>
          <w:rFonts w:ascii="Calibri" w:hAnsi="Calibri" w:cs="Calibri"/>
          <w:sz w:val="24"/>
          <w:szCs w:val="24"/>
          <w:lang w:val="en-US"/>
        </w:rPr>
      </w:pPr>
      <w:r w:rsidRPr="003E205E">
        <w:rPr>
          <w:rFonts w:ascii="Calibri" w:hAnsi="Calibri" w:cs="Calibri"/>
          <w:sz w:val="24"/>
          <w:szCs w:val="24"/>
          <w:lang w:val="en-US"/>
        </w:rPr>
        <w:t>Paper I reviewed showed weedy control had more diversity</w:t>
      </w:r>
    </w:p>
    <w:p w14:paraId="5107E742"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Ways of quantifying value</w:t>
      </w:r>
    </w:p>
    <w:p w14:paraId="373FB64E"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Often location specific</w:t>
      </w:r>
    </w:p>
    <w:p w14:paraId="22419452"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Nothing that is particularly easy</w:t>
      </w:r>
    </w:p>
    <w:p w14:paraId="48E3DA4A"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Used Yvoz, they provided field-based values to drive their estimates</w:t>
      </w:r>
    </w:p>
    <w:p w14:paraId="683A342E"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Need to understand more here</w:t>
      </w:r>
    </w:p>
    <w:p w14:paraId="1BF0A6C0"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Values needed from fall coverage</w:t>
      </w:r>
    </w:p>
    <w:p w14:paraId="7A39C5A6"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Soil cover to protect from erosion</w:t>
      </w:r>
    </w:p>
    <w:p w14:paraId="15607076" w14:textId="77777777" w:rsidR="00B730C3"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 xml:space="preserve">Root structure may also contribute (cover crop and erosion paper </w:t>
      </w:r>
      <w:r w:rsidRPr="00B730C3">
        <w:rPr>
          <w:rFonts w:ascii="Calibri" w:hAnsi="Calibri" w:cs="Calibri"/>
          <w:sz w:val="24"/>
          <w:szCs w:val="24"/>
          <w:lang w:val="en-US"/>
        </w:rPr>
        <w:fldChar w:fldCharType="begin"/>
      </w:r>
      <w:r w:rsidRPr="003E205E">
        <w:rPr>
          <w:rFonts w:ascii="Calibri" w:hAnsi="Calibri" w:cs="Calibri"/>
          <w:sz w:val="24"/>
          <w:szCs w:val="24"/>
          <w:lang w:val="en-US"/>
        </w:rPr>
        <w:instrText xml:space="preserve"> ADDIN ZOTERO_ITEM CSL_CITATION {"citationID":"Jmphs75X","properties":{"formattedCitation":"(De Baets et al., 2011)","plainCitation":"(De Baets et al., 2011)","noteIndex":0},"citationItems":[{"id":1329,"uris":["http://zotero.org/users/3599437/items/JU4VBL58"],"itemData":{"id":1329,"type":"article-journal","abstract":"Cover crops are a very effective erosion control and environmental conservation technique. When cover crops freeze at the beginning of the winter period, the above-ground biomass becomes less effective in protecting the soil from water erosion, but roots can still play an important role in improving soil strength. However, information on root properties of common cover crops growing in tempera</w:instrText>
      </w:r>
      <w:r w:rsidRPr="00B730C3">
        <w:rPr>
          <w:rFonts w:ascii="Calibri" w:hAnsi="Calibri" w:cs="Calibri"/>
          <w:sz w:val="24"/>
          <w:szCs w:val="24"/>
          <w:lang w:val="en-US"/>
        </w:rPr>
        <w:instrText xml:space="preserve">te climates (e.g. Sinapis alba (white mustard), Phacelia tanacetifoli (phacelia), Lolium perenne (ryegrass), Avena sativa (oats), Secale cereale (rye), Raphanus sativus subsp. oleiferus (fodder radish)) is very scarce. Therefore, root density distribution with soil depth and the erosion-reducing effect of these cover crops during concentrated flow erosion were assessed by conducting root auger measurements and controlled concentrated flow experiments with 0.1m topsoil samples. The results indicate that root density of the studied cover crops ranges between 1.02 for phacelia and 2.95kg m−3 for ryegrass. Cover crops with thick roots (e.g. white mustard and fodder radish) are less effective than cover crops with fine-branched roots (e.g. ryegrass and rye) in preventing soil losses by concentrated flow erosion. Moreover, after frost, the erosion-reducing potential of phacelia and oats roots decreased. Amoeba diagrams, taking into account both below-ground and above-ground plant characteristics, identified ryegrass, rye, oats and white mustard as the most suitable species for controlling concentrated flow erosion.","container-title":"CATENA","DOI":"10.1016/j.catena.2011.01.009","ISSN":"0341-8162","issue":"3","journalAbbreviation":"CATENA","page":"237-244","source":"ScienceDirect","title":"Cover crops and their erosion-reducing effects during concentrated flow erosion","volume":"85","author":[{"family":"De Baets","given":"S."},{"family":"Poesen","given":"J."},{"family":"Meersmans","given":"J."},{"family":"Serlet","given":"L."}],"issued":{"date-parts":[["2011",6,1]]}}}],"schema":"https://github.com/citation-style-language/schema/raw/master/csl-citation.json"} </w:instrText>
      </w:r>
      <w:r w:rsidRPr="00B730C3">
        <w:rPr>
          <w:rFonts w:ascii="Calibri" w:hAnsi="Calibri" w:cs="Calibri"/>
          <w:sz w:val="24"/>
          <w:szCs w:val="24"/>
          <w:lang w:val="en-US"/>
        </w:rPr>
        <w:fldChar w:fldCharType="separate"/>
      </w:r>
      <w:r w:rsidRPr="00B730C3">
        <w:rPr>
          <w:rFonts w:ascii="Calibri" w:hAnsi="Calibri" w:cs="Calibri"/>
          <w:sz w:val="24"/>
          <w:szCs w:val="24"/>
          <w:lang w:val="en-US"/>
        </w:rPr>
        <w:t>(De Baets et al., 2011)</w:t>
      </w:r>
      <w:r w:rsidRPr="00B730C3">
        <w:rPr>
          <w:rFonts w:ascii="Calibri" w:hAnsi="Calibri" w:cs="Calibri"/>
          <w:sz w:val="24"/>
          <w:szCs w:val="24"/>
          <w:lang w:val="en-US"/>
        </w:rPr>
        <w:fldChar w:fldCharType="end"/>
      </w:r>
      <w:r w:rsidRPr="00B730C3">
        <w:rPr>
          <w:rFonts w:ascii="Calibri" w:hAnsi="Calibri" w:cs="Calibri"/>
          <w:sz w:val="24"/>
          <w:szCs w:val="24"/>
          <w:lang w:val="en-US"/>
        </w:rPr>
        <w:t xml:space="preserve"> but difficult to predict roots in mixed stand</w:t>
      </w:r>
    </w:p>
    <w:p w14:paraId="7A029B84" w14:textId="7E42293F" w:rsidR="00A9025D" w:rsidRPr="00B730C3" w:rsidRDefault="00A9025D" w:rsidP="00B730C3">
      <w:pPr>
        <w:pStyle w:val="ListParagraph"/>
        <w:numPr>
          <w:ilvl w:val="1"/>
          <w:numId w:val="1"/>
        </w:numPr>
        <w:rPr>
          <w:rFonts w:ascii="Calibri" w:hAnsi="Calibri" w:cs="Calibri"/>
          <w:sz w:val="24"/>
          <w:szCs w:val="24"/>
          <w:lang w:val="en-US"/>
        </w:rPr>
      </w:pPr>
      <w:r>
        <w:rPr>
          <w:rFonts w:ascii="Calibri" w:hAnsi="Calibri" w:cs="Calibri"/>
          <w:sz w:val="24"/>
          <w:szCs w:val="24"/>
          <w:lang w:val="en-US"/>
        </w:rPr>
        <w:t xml:space="preserve">Soil cover of weeds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{"citationID":"uzAw4jiw","properties":{"formattedCitation":"(Moreau et al., 2020)","plainCitation":"(Moreau et al., 2020)","noteIndex":0},"citationItems":[{"id":1502,"uris":["http://zotero.org/users/3599437/items/A8XSM9YL"],"itemData":{"id":1502,"type":"article-journal","abstract":"Weeds are often solely considered with a negative viewpoint, but they may also provide services for agroecosystems. Especially, the residual weed flora that is tolerated by integrated crop protection may contribute to a reduction of nitrate leaching and soil erosion during the summer and autumn fallow. To date, the determinants underlying these environmental weed benefits are largely unknown. The present study developed new indicators to account for the potential beneficial role of annual weed flora to reduce nitrate leaching and soil erosion at the field scale, and then calculated them from the outputs of a weed dynamics model. The aim was to analyse which cropping systems facilitate residual weed flora to reduce nitrate leaching and soil erosion, while minimizing negative weed impacts on crop production. When developing the indicators, the potential weed-based reduction of nitrate leaching was considered to increase with both the growth of the weed flora and the weed species potential to take up nitrogen; the potential weed-based reduction of soil erosion was assumed to increase with soil cover by weeds when soil cover by cash crops was low. Our simulation study included 259 arable cropping systems (covering a wide range of herbicide and tillage intensity, with each cropping system simulated over 28 years and repeated 10 times with 10 different weather series) in which the dynamics of 25 annual weed species was simulated. Simulations showed that the cropping systems promoting a high potential weed-based reduction of nitrate leaching were generally also those with a high potential weed-based reduction of soil erosion, pointing to a compatibility between these benefits provided by the weed flora. However, the cropping systems promoting these environmental benefits were generally also those that presented the highest crop yield losses. Tillage and crop rotation were identified as the cultural techniques with the greatest influence on the potential weed-based reduction of nitrate leaching and soil erosion, while herbicides had a more limited effect. Most of the studied cropping systems (representing “real situations” in which farmers or experimenters make the decisions about crop rotations and cultural techniques) tended to favour low crop yield losses rather than high weed-based environmental benefits. Interestingly, a few systems achieved both objectives. Systems that achieved relatively low crop yield losses and high weed-based environmental benefits mainly combined infrequent superficial tillage operations, with a low proportion of winter crops in the rotation and a very low tillage depth. Finally, only a few weed traits determined the role of the weed flora to potentially reduce nitrate leaching and soil erosion. They were seed traits (seed lipid content, seed area per weight and seed coat thickness), driving the early and fast appearance of the weed canopy after weed seed shed. This suggests that, for annual weed species, a high weed flora potential to reduce nitrate leaching and soil erosion is not restricted to specific weed species able to take up nitrogen and cover soil. Thus, our simulation study indicates that such a high potential to reduce nitrate leaching and soil erosion could therefore be reached in very different agroecosystems in terms of weed seed bank.","container-title":"European Journal of Agronomy","DOI":"10.1016/j.eja.2020.126015","ISSN":"1161-0301","journalAbbreviation":"European Journal of Agronomy","page":"126015","source":"ScienceDirect","title":"In which cropping systems can residual weeds reduce nitrate leaching and soil erosion?","volume":"119","author":[{"family":"Moreau","given":"Delphine"},{"family":"Pointurier","given":"Olivia"},{"family":"Nicolardot","given":"Bernard"},{"family":"Villerd","given":"Jean"},{"family":"Colbach","given":"Nathalie"}],"issued":{"date-parts":[["2020",9,1]]}}}],"schema":"https://github.com/citation-style-language/schema/raw/master/csl-citation.json"} </w:instrText>
      </w:r>
      <w:r>
        <w:rPr>
          <w:rFonts w:ascii="Calibri" w:hAnsi="Calibri" w:cs="Calibri"/>
          <w:sz w:val="24"/>
          <w:szCs w:val="24"/>
          <w:lang w:val="en-US"/>
        </w:rPr>
        <w:fldChar w:fldCharType="separate"/>
      </w:r>
      <w:r w:rsidRPr="00A9025D">
        <w:rPr>
          <w:rFonts w:ascii="Calibri" w:hAnsi="Calibri" w:cs="Calibri"/>
          <w:sz w:val="24"/>
          <w:lang w:val="en-US"/>
        </w:rPr>
        <w:t>(Moreau et al., 2020)</w:t>
      </w:r>
      <w:r>
        <w:rPr>
          <w:rFonts w:ascii="Calibri" w:hAnsi="Calibri" w:cs="Calibri"/>
          <w:sz w:val="24"/>
          <w:szCs w:val="24"/>
          <w:lang w:val="en-US"/>
        </w:rPr>
        <w:fldChar w:fldCharType="end"/>
      </w:r>
    </w:p>
    <w:p w14:paraId="2FC71BC9" w14:textId="77777777" w:rsidR="00B730C3" w:rsidRPr="00B730C3" w:rsidRDefault="00B730C3" w:rsidP="00B730C3">
      <w:pPr>
        <w:pStyle w:val="ListParagraph"/>
        <w:numPr>
          <w:ilvl w:val="0"/>
          <w:numId w:val="1"/>
        </w:numPr>
        <w:rPr>
          <w:rFonts w:ascii="Calibri" w:hAnsi="Calibri" w:cs="Calibri"/>
          <w:sz w:val="24"/>
          <w:szCs w:val="24"/>
          <w:lang w:val="en-US"/>
        </w:rPr>
      </w:pPr>
      <w:r w:rsidRPr="00B730C3">
        <w:rPr>
          <w:rFonts w:ascii="Calibri" w:hAnsi="Calibri" w:cs="Calibri"/>
          <w:sz w:val="24"/>
          <w:szCs w:val="24"/>
          <w:lang w:val="en-US"/>
        </w:rPr>
        <w:t>Contributions to soil carbon</w:t>
      </w:r>
    </w:p>
    <w:p w14:paraId="0481BB59" w14:textId="77777777" w:rsidR="00B730C3" w:rsidRPr="00B730C3" w:rsidRDefault="00B730C3" w:rsidP="00B730C3">
      <w:pPr>
        <w:pStyle w:val="ListParagraph"/>
        <w:numPr>
          <w:ilvl w:val="1"/>
          <w:numId w:val="1"/>
        </w:numPr>
        <w:rPr>
          <w:rFonts w:ascii="Calibri" w:hAnsi="Calibri" w:cs="Calibri"/>
          <w:sz w:val="24"/>
          <w:szCs w:val="24"/>
          <w:lang w:val="en-US"/>
        </w:rPr>
      </w:pPr>
      <w:r w:rsidRPr="00B730C3">
        <w:rPr>
          <w:rFonts w:ascii="Calibri" w:hAnsi="Calibri" w:cs="Calibri"/>
          <w:sz w:val="24"/>
          <w:szCs w:val="24"/>
          <w:lang w:val="en-US"/>
        </w:rPr>
        <w:t xml:space="preserve">Soil organic carbon increases positively associated with biomass </w:t>
      </w:r>
      <w:r w:rsidRPr="00B730C3">
        <w:rPr>
          <w:rFonts w:ascii="Calibri" w:hAnsi="Calibri" w:cs="Calibri"/>
          <w:sz w:val="24"/>
          <w:szCs w:val="24"/>
          <w:lang w:val="en-US"/>
        </w:rPr>
        <w:fldChar w:fldCharType="begin"/>
      </w:r>
      <w:r w:rsidRPr="00B730C3">
        <w:rPr>
          <w:rFonts w:ascii="Calibri" w:hAnsi="Calibri" w:cs="Calibri"/>
          <w:sz w:val="24"/>
          <w:szCs w:val="24"/>
          <w:lang w:val="en-US"/>
        </w:rPr>
        <w:instrText xml:space="preserve"> ADDIN ZOTERO_ITEM CSL_CITATION {"citationID":"c5pMaXqX","properties":{"formattedCitation":"(Jian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sidRPr="00B730C3">
        <w:rPr>
          <w:rFonts w:ascii="Calibri" w:hAnsi="Calibri" w:cs="Calibri"/>
          <w:sz w:val="24"/>
          <w:szCs w:val="24"/>
          <w:lang w:val="en-US"/>
        </w:rPr>
        <w:fldChar w:fldCharType="separate"/>
      </w:r>
      <w:r w:rsidRPr="00DE4ABA">
        <w:rPr>
          <w:rFonts w:ascii="Calibri" w:hAnsi="Calibri" w:cs="Calibri"/>
          <w:sz w:val="24"/>
          <w:szCs w:val="24"/>
          <w:lang w:val="en-US"/>
        </w:rPr>
        <w:t>(Jian et al., 2020)</w:t>
      </w:r>
      <w:r w:rsidRPr="00B730C3">
        <w:rPr>
          <w:rFonts w:ascii="Calibri" w:hAnsi="Calibri" w:cs="Calibri"/>
          <w:sz w:val="24"/>
          <w:szCs w:val="24"/>
          <w:lang w:val="en-US"/>
        </w:rPr>
        <w:fldChar w:fldCharType="end"/>
      </w:r>
    </w:p>
    <w:p w14:paraId="7FFD0A30" w14:textId="77777777" w:rsidR="00B730C3" w:rsidRPr="00B730C3" w:rsidRDefault="00B730C3" w:rsidP="00B730C3">
      <w:pPr>
        <w:pStyle w:val="ListParagraph"/>
        <w:numPr>
          <w:ilvl w:val="0"/>
          <w:numId w:val="1"/>
        </w:numPr>
        <w:rPr>
          <w:rFonts w:ascii="Calibri" w:hAnsi="Calibri" w:cs="Calibri"/>
          <w:sz w:val="24"/>
          <w:szCs w:val="24"/>
          <w:lang w:val="en-US"/>
        </w:rPr>
      </w:pPr>
      <w:r w:rsidRPr="00B730C3">
        <w:rPr>
          <w:rFonts w:ascii="Calibri" w:hAnsi="Calibri" w:cs="Calibri"/>
          <w:sz w:val="24"/>
          <w:szCs w:val="24"/>
          <w:lang w:val="en-US"/>
        </w:rPr>
        <w:t>Contributions to reduced nitrate leaching</w:t>
      </w:r>
    </w:p>
    <w:p w14:paraId="297CD0DF" w14:textId="10D549F7" w:rsidR="00B730C3" w:rsidRPr="00B730C3" w:rsidRDefault="00DE4ABA" w:rsidP="00B730C3">
      <w:pPr>
        <w:pStyle w:val="ListParagraph"/>
        <w:numPr>
          <w:ilvl w:val="1"/>
          <w:numId w:val="1"/>
        </w:numPr>
        <w:rPr>
          <w:rFonts w:ascii="Calibri" w:hAnsi="Calibri" w:cs="Calibri"/>
          <w:sz w:val="24"/>
          <w:szCs w:val="24"/>
          <w:lang w:val="en-US"/>
        </w:rPr>
      </w:pPr>
      <w:r>
        <w:rPr>
          <w:rFonts w:ascii="Calibri" w:hAnsi="Calibri" w:cs="Calibri"/>
          <w:sz w:val="24"/>
          <w:szCs w:val="24"/>
          <w:lang w:val="en-US"/>
        </w:rPr>
        <w:t>CC s</w:t>
      </w:r>
      <w:r w:rsidR="00B730C3" w:rsidRPr="00B730C3">
        <w:rPr>
          <w:rFonts w:ascii="Calibri" w:hAnsi="Calibri" w:cs="Calibri"/>
          <w:sz w:val="24"/>
          <w:szCs w:val="24"/>
          <w:lang w:val="en-US"/>
        </w:rPr>
        <w:t>hoot biomass</w:t>
      </w:r>
      <w:r>
        <w:rPr>
          <w:rFonts w:ascii="Calibri" w:hAnsi="Calibri" w:cs="Calibri"/>
          <w:sz w:val="24"/>
          <w:szCs w:val="24"/>
          <w:lang w:val="en-US"/>
        </w:rPr>
        <w:t>, fall biomass in general</w:t>
      </w:r>
      <w:r w:rsidR="00B730C3" w:rsidRPr="00B730C3">
        <w:rPr>
          <w:rFonts w:ascii="Calibri" w:hAnsi="Calibri" w:cs="Calibri"/>
          <w:sz w:val="24"/>
          <w:szCs w:val="24"/>
          <w:lang w:val="en-US"/>
        </w:rPr>
        <w:t xml:space="preserve"> </w:t>
      </w:r>
      <w:r w:rsidR="00B730C3" w:rsidRPr="00B730C3">
        <w:rPr>
          <w:rFonts w:ascii="Calibri" w:hAnsi="Calibri" w:cs="Calibri"/>
          <w:sz w:val="24"/>
          <w:szCs w:val="24"/>
          <w:lang w:val="en-US"/>
        </w:rPr>
        <w:fldChar w:fldCharType="begin"/>
      </w:r>
      <w:r w:rsidR="00A9025D">
        <w:rPr>
          <w:rFonts w:ascii="Calibri" w:hAnsi="Calibri" w:cs="Calibri"/>
          <w:sz w:val="24"/>
          <w:szCs w:val="24"/>
          <w:lang w:val="en-US"/>
        </w:rPr>
        <w:instrText xml:space="preserve"> ADDIN ZOTERO_ITEM CSL_CITATION {"citationID":"MHxSSmGt","properties":{"formattedCitation":"(Thapa et al., 2018; Wortman, 2016)","plainCitation":"(Thapa et al., 2018; Wortman, 2016)","noteIndex":0},"citationItems":[{"id":1326,"uris":["http://zotero.org/users/3599437/items/VNKI6VPA"],"itemData":{"id":1326,"type":"article-journal","abstract":"Cover crops are well recognized as a tool to reduce NO3− leaching from agroecosystems. However, their effectiveness varies from site to site and year to year depending on soil, cash and cover crop management, and climate. We conducted a meta-analysis using 238 observations from 28 studies (i) to assess the overall effect of cover crops on NO3− leaching and subsequent crop yields, and (ii) to examine how soil, cash and cover crop management, and climate impact the effect of non-leguminous cover crops on NO3− leaching. There is a clear indication that nonleguminous cover crops can substantially reduce NO3− leaching into freshwater systems, on average by 56%. Nonlegume–legume cover crop mixtures reduced NO3− leaching as effectively as nonlegumes, but significantly more than legumes. The lack of variance information in most published literature prevents greater insight into the degree to which cover crops can improve water quality. Among the factors investigated, we identified cover crop planting dates, shoot biomass, and precipitation relative to long-term mean precipitation as potential drivers for the observed variability in nonleguminous cover crop effectiveness in reducing NO3− leaching. We found evidence indicating greater reduction in NO3− leaching with nonleguminous cover crops on coarse-textured soils and during years of low precipitation (&lt;90% of the long-term normal). Earlier fall planting and greater nonleguminous shoot biomass further reduced NO3− leaching. Overall, this meta-analysis confirms many prior studies showing that nonleguminous cover crops are an effective way to reduce NO3− leaching and should be integrated into cropping systems to improve water quality. Core Ideas Nonleguminous cover crops reduced NO3− leaching by 56% over no cover crop controls. Nonlegume–legume mixtures reduced NO3− leaching equivalent to nonlegumes, but significantly more than legumes. Cover crop planting date, shoot biomass, and precipitation affected nonlegume effects on NO3− leaching. Nonlegumes reduced NO3− leaching more effectively on coarse-textured soils and in drier years. Earlier planting dates and greater shoot biomass enhanced NO3− leaching reductions with nonlegumes.","container-title":"Journal of Environmental Quality","DOI":"10.2134/jeq2018.03.0107","ISSN":"1537-2537","issue":"6","language":"en","license":"Copyright © by the American Society of Agronomy, Crop Science Society of America, and Soil Science Society of America, Inc.","note":"_eprint: https://onlinelibrary.wiley.com/doi/pdf/10.2134/jeq2018.03.0107","page":"1400-1411","source":"Wiley Online Library","title":"Cover Crops Reduce Nitrate Leaching in Agroecosystems:A Global Meta-Analysis","title-short":"Cover Crops Reduce Nitrate Leaching in Agroecosystems","volume":"47","author":[{"family":"Thapa","given":"Resham"},{"family":"Mirsky","given":"Steven B."},{"family":"Tully","given":"Katherine L."}],"issued":{"date-parts":[["2018"]]}}},{"id":1505,"uris":["http://zotero.org/users/3599437/items/CXPARHVG"],"itemData":{"id":1505,"type":"article-journal","abstract":"Nitrogen loss from croplands is a major environmental problem with human health and ecosystem consequences. Cover crops are planted during the fallow period between cash crops to provide a number of ecosystem services and are a popular tool for nitrogen reduction. Unfortunately, on-farm adoption of cover crops in the USA is limited to less than 2 % of land area in most regions. Naturally occurring weeds, if left unmanaged between cash crops (i.e., “weedy fallow”), may provide similar ecosystem services (e.g., nitrogen reduction) as cover crops. To test this hypothesis, a meta-analysis of 17 studies was conducted to compare potential nitrogen loss (inorganic soil nitrogen or leachate nitrogen) from fallow annual cropping systems managed with cover crops, weeds, and bare soil. A potential nitrogen loss response ratio (e.g., leachate nitrogen from bare soil relative to weedy fallow) was determined for independent paired observations in each study, and factors influencing nitrogen loss across all studies were determined with 95 % bootstrap confidence intervals and meta-regression analysis. Results suggest that potential nitrogen loss from croplands is 60 % greater in bare soil compared to weedy fallow fields. Cover crops further reduced potential nitrogen loss by 26 % compared to weedy fallow, and the nitrogen reduction potential of cover crops (relative to weedy fallow) likely increases with greater biomass accumulation of the cover crop. While cover crops were more effective in mitigating potential nitrogen loss, weedy fallow may provide greater net benefits on a regional scale if there were fewer barriers to farmer adoption. The weedy fallow strategy for nitrogen reduction has several potential pitfalls (e.g., propagation of noxious or herbicide-resistant weedy species), but this meta-analysis demonstrates that fallow weeds provide an important ecosystem service and policy-makers should consider revising conservation incentive programs accordingly.","container-title":"Agronomy for Sustainable Development","DOI":"10.1007/s13593-016-0397-3","ISSN":"1773-0155","issue":"4","journalAbbreviation":"Agron. Sustain. Dev.","language":"en","page":"61","source":"Springer Link","title":"Weedy fallow as an alternative strategy for reducing nitrogen loss from annual cropping systems","volume":"36","author":[{"family":"Wortman","given":"Sam E."}],"issued":{"date-parts":[["2016",10,20]]}}}],"schema":"https://github.com/citation-style-language/schema/raw/master/csl-citation.json"} </w:instrText>
      </w:r>
      <w:r w:rsidR="00B730C3" w:rsidRPr="00B730C3">
        <w:rPr>
          <w:rFonts w:ascii="Calibri" w:hAnsi="Calibri" w:cs="Calibri"/>
          <w:sz w:val="24"/>
          <w:szCs w:val="24"/>
          <w:lang w:val="en-US"/>
        </w:rPr>
        <w:fldChar w:fldCharType="separate"/>
      </w:r>
      <w:r w:rsidR="00A9025D" w:rsidRPr="00A9025D">
        <w:rPr>
          <w:rFonts w:ascii="Calibri" w:hAnsi="Calibri" w:cs="Calibri"/>
          <w:sz w:val="24"/>
          <w:lang w:val="en-US"/>
        </w:rPr>
        <w:t>(Thapa et al., 2018; Wortman, 2016)</w:t>
      </w:r>
      <w:r w:rsidR="00B730C3" w:rsidRPr="00B730C3">
        <w:rPr>
          <w:rFonts w:ascii="Calibri" w:hAnsi="Calibri" w:cs="Calibri"/>
          <w:sz w:val="24"/>
          <w:szCs w:val="24"/>
          <w:lang w:val="en-US"/>
        </w:rPr>
        <w:fldChar w:fldCharType="end"/>
      </w:r>
    </w:p>
    <w:p w14:paraId="730C8D58" w14:textId="77777777" w:rsidR="00FF440C" w:rsidRDefault="00FF440C" w:rsidP="00B730C3">
      <w:pPr>
        <w:rPr>
          <w:rFonts w:ascii="Calibri" w:hAnsi="Calibri" w:cs="Calibri"/>
          <w:sz w:val="24"/>
          <w:szCs w:val="24"/>
          <w:lang w:val="en-US"/>
        </w:rPr>
      </w:pPr>
    </w:p>
    <w:p w14:paraId="6BC874A1" w14:textId="33C08ACB" w:rsidR="00275DFF" w:rsidRDefault="00275DFF" w:rsidP="00B730C3">
      <w:pPr>
        <w:rPr>
          <w:rFonts w:ascii="Calibri" w:hAnsi="Calibri" w:cs="Calibri"/>
          <w:sz w:val="24"/>
          <w:szCs w:val="24"/>
          <w:lang w:val="en-US"/>
        </w:rPr>
      </w:pPr>
      <w:r>
        <w:rPr>
          <w:rFonts w:ascii="Calibri" w:hAnsi="Calibri" w:cs="Calibri"/>
          <w:sz w:val="24"/>
          <w:szCs w:val="24"/>
          <w:lang w:val="en-US"/>
        </w:rPr>
        <w:t xml:space="preserve">Which are the </w:t>
      </w:r>
      <w:r w:rsidRPr="00275DFF">
        <w:rPr>
          <w:rFonts w:ascii="Calibri" w:hAnsi="Calibri" w:cs="Calibri"/>
          <w:sz w:val="24"/>
          <w:szCs w:val="24"/>
          <w:lang w:val="en-US"/>
        </w:rPr>
        <w:t>species capable of setting seeds during the fallow period</w:t>
      </w:r>
      <w:r>
        <w:rPr>
          <w:rFonts w:ascii="Calibri" w:hAnsi="Calibri" w:cs="Calibri"/>
          <w:sz w:val="24"/>
          <w:szCs w:val="24"/>
          <w:lang w:val="en-US"/>
        </w:rPr>
        <w:t>? Adeux et al. 2023</w:t>
      </w:r>
    </w:p>
    <w:p w14:paraId="40504062" w14:textId="66F2BD4A" w:rsidR="00275DFF" w:rsidRDefault="00275DFF" w:rsidP="00B730C3">
      <w:pPr>
        <w:rPr>
          <w:rFonts w:ascii="Calibri" w:hAnsi="Calibri" w:cs="Calibri"/>
          <w:sz w:val="24"/>
          <w:szCs w:val="24"/>
          <w:lang w:val="en-US"/>
        </w:rPr>
      </w:pPr>
      <w:r>
        <w:rPr>
          <w:rFonts w:ascii="Calibri" w:hAnsi="Calibri" w:cs="Calibri"/>
          <w:sz w:val="24"/>
          <w:szCs w:val="24"/>
          <w:lang w:val="en-US"/>
        </w:rPr>
        <w:t>Need to add info on each of the 16 weed species. Flowering time, germination season</w:t>
      </w:r>
    </w:p>
    <w:p w14:paraId="1FE7800A" w14:textId="77777777" w:rsidR="00275DFF" w:rsidRPr="00E519B2" w:rsidRDefault="00275DFF" w:rsidP="00B730C3">
      <w:pPr>
        <w:rPr>
          <w:rFonts w:ascii="Calibri" w:hAnsi="Calibri" w:cs="Calibri"/>
          <w:sz w:val="24"/>
          <w:szCs w:val="24"/>
          <w:lang w:val="en-US"/>
        </w:rPr>
      </w:pPr>
    </w:p>
    <w:p w14:paraId="5CD406A7" w14:textId="77777777" w:rsidR="00A70C8E" w:rsidRPr="00CF29E1" w:rsidRDefault="00A70C8E" w:rsidP="00A70C8E">
      <w:pPr>
        <w:pStyle w:val="Heading1"/>
        <w:rPr>
          <w:lang w:val="en-US"/>
        </w:rPr>
      </w:pPr>
      <w:r w:rsidRPr="00CF29E1">
        <w:rPr>
          <w:lang w:val="en-US"/>
        </w:rPr>
        <w:t>Materials and Methods</w:t>
      </w:r>
    </w:p>
    <w:p w14:paraId="4D101C38" w14:textId="77777777" w:rsidR="00A70C8E" w:rsidRPr="00CF29E1" w:rsidRDefault="00A70C8E" w:rsidP="00A70C8E">
      <w:pPr>
        <w:pStyle w:val="Heading2"/>
        <w:rPr>
          <w:lang w:val="en-US"/>
        </w:rPr>
      </w:pPr>
      <w:r w:rsidRPr="00CF29E1">
        <w:rPr>
          <w:lang w:val="en-US"/>
        </w:rPr>
        <w:t>Field management</w:t>
      </w:r>
    </w:p>
    <w:p w14:paraId="7E176B3A" w14:textId="5DAB551C" w:rsidR="00A70C8E" w:rsidRPr="001E07E9" w:rsidRDefault="00A70C8E" w:rsidP="00A70C8E">
      <w:pPr>
        <w:rPr>
          <w:lang w:val="en-US"/>
        </w:rPr>
      </w:pPr>
      <w:r w:rsidRPr="00CF29E1">
        <w:rPr>
          <w:lang w:val="en-US"/>
        </w:rPr>
        <w:t xml:space="preserve">This study was conducted within a larger long-term crop rotation and tillage </w:t>
      </w:r>
      <w:r w:rsidR="001E07E9">
        <w:rPr>
          <w:lang w:val="en-US"/>
        </w:rPr>
        <w:t xml:space="preserve">continuous </w:t>
      </w:r>
      <w:r w:rsidRPr="00CF29E1">
        <w:rPr>
          <w:lang w:val="en-US"/>
        </w:rPr>
        <w:t xml:space="preserve">experiment which was established in 2002 on a sandy loam at Flakkebjerg Research Centre, Denmark (55.317, 11.400). </w:t>
      </w:r>
      <w:r w:rsidRPr="00CF29E1">
        <w:rPr>
          <w:color w:val="FF0000"/>
          <w:lang w:val="en-US"/>
        </w:rPr>
        <w:t>Averaged across the trial site</w:t>
      </w:r>
      <w:r w:rsidRPr="00CF29E1">
        <w:rPr>
          <w:lang w:val="en-US"/>
        </w:rPr>
        <w:t xml:space="preserve">, </w:t>
      </w:r>
      <w:commentRangeStart w:id="0"/>
      <w:r w:rsidRPr="00CF29E1">
        <w:rPr>
          <w:lang w:val="en-US"/>
        </w:rPr>
        <w:t>soil texture is 14.7% clay (&lt;2 mm), 13.7% silt (2-20 mm), 42.6% fine sand (20-200 mm), and 27% coarse sand (200-2000 mm), with 1.2% organic carbon content (0-25 cm).</w:t>
      </w:r>
      <w:commentRangeEnd w:id="0"/>
      <w:r>
        <w:rPr>
          <w:rStyle w:val="CommentReference"/>
        </w:rPr>
        <w:commentReference w:id="0"/>
      </w:r>
      <w:r w:rsidRPr="00CF29E1">
        <w:rPr>
          <w:lang w:val="en-US"/>
        </w:rPr>
        <w:t xml:space="preserve"> </w:t>
      </w:r>
      <w:r w:rsidRPr="00CF29E1">
        <w:rPr>
          <w:color w:val="FF0000"/>
          <w:lang w:val="en-US"/>
        </w:rPr>
        <w:t xml:space="preserve"> </w:t>
      </w:r>
      <w:r w:rsidRPr="00CF29E1">
        <w:rPr>
          <w:lang w:val="en-US"/>
        </w:rPr>
        <w:t>The overall experimental design</w:t>
      </w:r>
      <w:r w:rsidR="001E07E9">
        <w:rPr>
          <w:lang w:val="en-US"/>
        </w:rPr>
        <w:t xml:space="preserve"> of the long-term experiment is</w:t>
      </w:r>
      <w:r w:rsidRPr="00CF29E1">
        <w:rPr>
          <w:lang w:val="en-US"/>
        </w:rPr>
        <w:t xml:space="preserve"> a split-split plot with four replications. The main plot factor </w:t>
      </w:r>
      <w:r w:rsidR="001E07E9">
        <w:rPr>
          <w:lang w:val="en-US"/>
        </w:rPr>
        <w:t>is</w:t>
      </w:r>
      <w:r w:rsidRPr="00CF29E1">
        <w:rPr>
          <w:lang w:val="en-US"/>
        </w:rPr>
        <w:t xml:space="preserve"> cropping system (four levels), the sub-plot </w:t>
      </w:r>
      <w:r w:rsidR="001E07E9">
        <w:rPr>
          <w:lang w:val="en-US"/>
        </w:rPr>
        <w:t>i</w:t>
      </w:r>
      <w:r w:rsidRPr="00CF29E1">
        <w:rPr>
          <w:lang w:val="en-US"/>
        </w:rPr>
        <w:t xml:space="preserve">s primary tillage system (four levels) and the sub-sub-plot (six levels) was established to accommodate various sub-treatments within rotation and tillage combinations (see for example Melander et al. </w:t>
      </w:r>
      <w:r w:rsidRPr="001E07E9">
        <w:rPr>
          <w:lang w:val="en-US"/>
        </w:rPr>
        <w:t xml:space="preserve">(2008)). </w:t>
      </w:r>
      <w:r w:rsidR="001E07E9" w:rsidRPr="00CF29E1">
        <w:rPr>
          <w:lang w:val="en-US"/>
        </w:rPr>
        <w:t>The cash crop sequence during the present study was spring barley (</w:t>
      </w:r>
      <w:r w:rsidR="001E07E9" w:rsidRPr="00CF29E1">
        <w:rPr>
          <w:i/>
          <w:iCs/>
          <w:lang w:val="en-US"/>
        </w:rPr>
        <w:t xml:space="preserve">Hordeum vulgare </w:t>
      </w:r>
      <w:r w:rsidR="001E07E9" w:rsidRPr="00CF29E1">
        <w:rPr>
          <w:lang w:val="en-US"/>
        </w:rPr>
        <w:t>L.) sown 19 April 2018, spring oat (</w:t>
      </w:r>
      <w:r w:rsidR="001E07E9" w:rsidRPr="00CF29E1">
        <w:rPr>
          <w:i/>
          <w:iCs/>
          <w:lang w:val="en-US"/>
        </w:rPr>
        <w:t>Avena sativa</w:t>
      </w:r>
      <w:r w:rsidR="001E07E9" w:rsidRPr="00CF29E1">
        <w:rPr>
          <w:lang w:val="en-US"/>
        </w:rPr>
        <w:t xml:space="preserve"> L.) sown 4 April 2019 and faba beans (</w:t>
      </w:r>
      <w:r w:rsidR="001E07E9" w:rsidRPr="00CF29E1">
        <w:rPr>
          <w:i/>
          <w:iCs/>
          <w:lang w:val="en-US"/>
        </w:rPr>
        <w:t>Vicia faba</w:t>
      </w:r>
      <w:r w:rsidR="001E07E9" w:rsidRPr="00CF29E1">
        <w:rPr>
          <w:lang w:val="en-US"/>
        </w:rPr>
        <w:t xml:space="preserve"> L.) sown 15 April 2020.</w:t>
      </w:r>
    </w:p>
    <w:p w14:paraId="77362F28" w14:textId="0180ABA5" w:rsidR="007477A1" w:rsidRPr="001E07E9" w:rsidRDefault="007477A1" w:rsidP="007477A1">
      <w:pPr>
        <w:pStyle w:val="Heading3"/>
        <w:rPr>
          <w:lang w:val="en-US"/>
        </w:rPr>
      </w:pPr>
      <w:r w:rsidRPr="001E07E9">
        <w:rPr>
          <w:lang w:val="en-US"/>
        </w:rPr>
        <w:t>Study design</w:t>
      </w:r>
    </w:p>
    <w:p w14:paraId="63799CEF" w14:textId="159058CC" w:rsidR="00A70C8E" w:rsidRDefault="00A70C8E" w:rsidP="00A70C8E">
      <w:pPr>
        <w:rPr>
          <w:lang w:val="en-US"/>
        </w:rPr>
      </w:pPr>
      <w:r w:rsidRPr="00CF29E1">
        <w:rPr>
          <w:lang w:val="en-US"/>
        </w:rPr>
        <w:t>For the purpose of the present study, two cropping systems were selected that had the same sequence of crops but with different straw management</w:t>
      </w:r>
      <w:r w:rsidR="001E07E9">
        <w:rPr>
          <w:lang w:val="en-US"/>
        </w:rPr>
        <w:t xml:space="preserve"> reflecting common systems in Denmark</w:t>
      </w:r>
      <w:r w:rsidRPr="00CF29E1">
        <w:rPr>
          <w:lang w:val="en-US"/>
        </w:rPr>
        <w:t>: straw removed or retained. Therefore, in the present study, straw management composed the main-plot treatment. Tillage sub-plots were 5 meters wide and 40 m long. Each tillage sub-plot was divided into two columns with three sub-subplots arranged within each column for a total of six sub-sub-plots tha</w:t>
      </w:r>
      <w:r>
        <w:rPr>
          <w:lang w:val="en-US"/>
        </w:rPr>
        <w:t xml:space="preserve">t were 2.5 m wide and 12.5 m long (see supplementary material for a visual aid). One of the six sub-subplots was reserved for other sampling efforts, and </w:t>
      </w:r>
      <w:r w:rsidR="003B60EC">
        <w:rPr>
          <w:lang w:val="en-US"/>
        </w:rPr>
        <w:t xml:space="preserve">a </w:t>
      </w:r>
      <w:r>
        <w:rPr>
          <w:lang w:val="en-US"/>
        </w:rPr>
        <w:t>cover crop system</w:t>
      </w:r>
      <w:r w:rsidR="003B60EC">
        <w:rPr>
          <w:lang w:val="en-US"/>
        </w:rPr>
        <w:t xml:space="preserve"> treatment</w:t>
      </w:r>
      <w:r>
        <w:rPr>
          <w:lang w:val="en-US"/>
        </w:rPr>
        <w:t xml:space="preserve"> (five levels) was applied </w:t>
      </w:r>
      <w:r w:rsidR="001E07E9">
        <w:rPr>
          <w:lang w:val="en-US"/>
        </w:rPr>
        <w:t xml:space="preserve">randomly </w:t>
      </w:r>
      <w:r>
        <w:rPr>
          <w:lang w:val="en-US"/>
        </w:rPr>
        <w:t>to the remaining five</w:t>
      </w:r>
      <w:r w:rsidR="003B60EC">
        <w:rPr>
          <w:lang w:val="en-US"/>
        </w:rPr>
        <w:t xml:space="preserve"> sub-subplots</w:t>
      </w:r>
      <w:r>
        <w:rPr>
          <w:lang w:val="en-US"/>
        </w:rPr>
        <w:t>. In summary, th</w:t>
      </w:r>
      <w:r w:rsidR="003B60EC">
        <w:rPr>
          <w:lang w:val="en-US"/>
        </w:rPr>
        <w:t>is</w:t>
      </w:r>
      <w:r>
        <w:rPr>
          <w:lang w:val="en-US"/>
        </w:rPr>
        <w:t xml:space="preserve"> experiment included all combinations of two straw-managements, three primary tillage systems, and five cover crop systems for a total of 30 treatments. </w:t>
      </w:r>
    </w:p>
    <w:p w14:paraId="51C7E422" w14:textId="28615AAB" w:rsidR="007477A1" w:rsidRDefault="007477A1" w:rsidP="007477A1">
      <w:pPr>
        <w:pStyle w:val="Heading3"/>
        <w:rPr>
          <w:lang w:val="en-US"/>
        </w:rPr>
      </w:pPr>
      <w:r>
        <w:rPr>
          <w:lang w:val="en-US"/>
        </w:rPr>
        <w:t>Straw and tillage treatments</w:t>
      </w:r>
    </w:p>
    <w:p w14:paraId="4D24793F" w14:textId="0FA24568" w:rsidR="00844404" w:rsidRPr="003544E9" w:rsidRDefault="00A70C8E" w:rsidP="00844404">
      <w:pPr>
        <w:rPr>
          <w:lang w:val="en-US"/>
        </w:rPr>
      </w:pPr>
      <w:r w:rsidRPr="00922D1E">
        <w:rPr>
          <w:lang w:val="en-US"/>
        </w:rPr>
        <w:t xml:space="preserve">The same straw managements and categorical tillage </w:t>
      </w:r>
      <w:r>
        <w:rPr>
          <w:lang w:val="en-US"/>
        </w:rPr>
        <w:t>system</w:t>
      </w:r>
      <w:r w:rsidRPr="00922D1E">
        <w:rPr>
          <w:lang w:val="en-US"/>
        </w:rPr>
        <w:t xml:space="preserve"> (no tillage, non-inversion</w:t>
      </w:r>
      <w:r>
        <w:rPr>
          <w:lang w:val="en-US"/>
        </w:rPr>
        <w:t>, inversion)</w:t>
      </w:r>
      <w:r w:rsidRPr="00922D1E">
        <w:rPr>
          <w:lang w:val="en-US"/>
        </w:rPr>
        <w:t xml:space="preserve"> have been in the same sub-plots since 2002</w:t>
      </w:r>
      <w:r>
        <w:rPr>
          <w:lang w:val="en-US"/>
        </w:rPr>
        <w:t xml:space="preserve">. In the straw-removal treatments, following harvest of a small grain the residue (e.g., straw) was removed using a </w:t>
      </w:r>
      <w:commentRangeStart w:id="1"/>
      <w:r w:rsidRPr="00922D1E">
        <w:rPr>
          <w:color w:val="FF0000"/>
          <w:lang w:val="en-US"/>
        </w:rPr>
        <w:t>MACHINE</w:t>
      </w:r>
      <w:commentRangeEnd w:id="1"/>
      <w:r w:rsidR="00782730">
        <w:rPr>
          <w:rStyle w:val="CommentReference"/>
        </w:rPr>
        <w:commentReference w:id="1"/>
      </w:r>
      <w:r>
        <w:rPr>
          <w:lang w:val="en-US"/>
        </w:rPr>
        <w:t xml:space="preserve">, resulting in removal of approximately </w:t>
      </w:r>
      <w:r w:rsidR="00A32989">
        <w:rPr>
          <w:color w:val="FF0000"/>
          <w:lang w:val="en-US"/>
        </w:rPr>
        <w:t>60%</w:t>
      </w:r>
      <w:r w:rsidRPr="00922D1E">
        <w:rPr>
          <w:color w:val="FF0000"/>
          <w:lang w:val="en-US"/>
        </w:rPr>
        <w:t xml:space="preserve"> </w:t>
      </w:r>
      <w:r>
        <w:rPr>
          <w:lang w:val="en-US"/>
        </w:rPr>
        <w:t>of the biomass (</w:t>
      </w:r>
      <w:r w:rsidRPr="00922D1E">
        <w:rPr>
          <w:color w:val="FF0000"/>
          <w:lang w:val="en-US"/>
        </w:rPr>
        <w:t xml:space="preserve">do we have any pictures of the straw retained and straw removed treatments, so we can see </w:t>
      </w:r>
      <w:r w:rsidR="00782730">
        <w:rPr>
          <w:color w:val="FF0000"/>
          <w:lang w:val="en-US"/>
        </w:rPr>
        <w:t xml:space="preserve">how </w:t>
      </w:r>
      <w:r w:rsidRPr="00922D1E">
        <w:rPr>
          <w:color w:val="FF0000"/>
          <w:lang w:val="en-US"/>
        </w:rPr>
        <w:t>the ground was still covered by little bits of straw after straw removal?</w:t>
      </w:r>
      <w:r w:rsidR="00A32989">
        <w:rPr>
          <w:color w:val="FF0000"/>
          <w:lang w:val="en-US"/>
        </w:rPr>
        <w:t xml:space="preserve"> CITE a CENTS modelling study</w:t>
      </w:r>
      <w:r w:rsidR="00F65982">
        <w:rPr>
          <w:color w:val="FF0000"/>
          <w:lang w:val="en-US"/>
        </w:rPr>
        <w:t xml:space="preserve"> for this 60% assumption</w:t>
      </w:r>
      <w:r>
        <w:rPr>
          <w:lang w:val="en-US"/>
        </w:rPr>
        <w:t>). In the straw-retained treatments, harvest residue was allowed to remain in the field. T</w:t>
      </w:r>
      <w:r w:rsidRPr="00922D1E">
        <w:rPr>
          <w:lang w:val="en-US"/>
        </w:rPr>
        <w:t xml:space="preserve">he exact machinery </w:t>
      </w:r>
      <w:r>
        <w:rPr>
          <w:lang w:val="en-US"/>
        </w:rPr>
        <w:t>and timing of operations for ea</w:t>
      </w:r>
      <w:r w:rsidRPr="00922D1E">
        <w:rPr>
          <w:lang w:val="en-US"/>
        </w:rPr>
        <w:t xml:space="preserve">ch </w:t>
      </w:r>
      <w:r>
        <w:rPr>
          <w:lang w:val="en-US"/>
        </w:rPr>
        <w:t xml:space="preserve">categorical </w:t>
      </w:r>
      <w:r w:rsidRPr="00922D1E">
        <w:rPr>
          <w:lang w:val="en-US"/>
        </w:rPr>
        <w:t>tillage treatment ha</w:t>
      </w:r>
      <w:r>
        <w:rPr>
          <w:lang w:val="en-US"/>
        </w:rPr>
        <w:t>ve</w:t>
      </w:r>
      <w:r w:rsidRPr="00922D1E">
        <w:rPr>
          <w:lang w:val="en-US"/>
        </w:rPr>
        <w:t xml:space="preserve"> varied </w:t>
      </w:r>
      <w:r>
        <w:rPr>
          <w:lang w:val="en-US"/>
        </w:rPr>
        <w:t>since 2002</w:t>
      </w:r>
      <w:r w:rsidRPr="00922D1E">
        <w:rPr>
          <w:lang w:val="en-US"/>
        </w:rPr>
        <w:t xml:space="preserve"> (Scherner et al., 2016; Hansen et al., 2010).</w:t>
      </w:r>
      <w:r>
        <w:rPr>
          <w:lang w:val="en-US"/>
        </w:rPr>
        <w:t xml:space="preserve"> </w:t>
      </w:r>
      <w:r w:rsidR="007E32D7">
        <w:rPr>
          <w:lang w:val="en-US"/>
        </w:rPr>
        <w:t xml:space="preserve">In the present experiment (2018-2020), plots under the </w:t>
      </w:r>
      <w:r>
        <w:rPr>
          <w:lang w:val="en-US"/>
        </w:rPr>
        <w:t xml:space="preserve">inversion tillage </w:t>
      </w:r>
      <w:r w:rsidR="007E32D7">
        <w:rPr>
          <w:lang w:val="en-US"/>
        </w:rPr>
        <w:t>treatment</w:t>
      </w:r>
      <w:r>
        <w:rPr>
          <w:lang w:val="en-US"/>
        </w:rPr>
        <w:t xml:space="preserve"> </w:t>
      </w:r>
      <w:r w:rsidR="007E32D7">
        <w:rPr>
          <w:lang w:val="en-US"/>
        </w:rPr>
        <w:t>were</w:t>
      </w:r>
      <w:r w:rsidR="003B60EC">
        <w:rPr>
          <w:lang w:val="en-US"/>
        </w:rPr>
        <w:t xml:space="preserve"> moldboard plowed to </w:t>
      </w:r>
      <w:r w:rsidR="007E32D7">
        <w:rPr>
          <w:lang w:val="en-US"/>
        </w:rPr>
        <w:t xml:space="preserve">a depth of </w:t>
      </w:r>
      <w:r w:rsidR="003B60EC">
        <w:rPr>
          <w:lang w:val="en-US"/>
        </w:rPr>
        <w:t>20 cm</w:t>
      </w:r>
      <w:r w:rsidR="007E32D7">
        <w:rPr>
          <w:lang w:val="en-US"/>
        </w:rPr>
        <w:t xml:space="preserve"> </w:t>
      </w:r>
      <w:r w:rsidR="003B60EC">
        <w:rPr>
          <w:lang w:val="en-US"/>
        </w:rPr>
        <w:t xml:space="preserve">in the fall and harrowed to 3-4 cm depth </w:t>
      </w:r>
      <w:r w:rsidR="007E32D7">
        <w:rPr>
          <w:lang w:val="en-US"/>
        </w:rPr>
        <w:t xml:space="preserve">in the spring </w:t>
      </w:r>
      <w:r w:rsidR="003B60EC">
        <w:rPr>
          <w:lang w:val="en-US"/>
        </w:rPr>
        <w:t>before cash crop planting</w:t>
      </w:r>
      <w:r w:rsidR="007E32D7">
        <w:rPr>
          <w:lang w:val="en-US"/>
        </w:rPr>
        <w:t xml:space="preserve">; </w:t>
      </w:r>
      <w:bookmarkStart w:id="2" w:name="_Hlk190689290"/>
      <w:r w:rsidR="007E32D7">
        <w:rPr>
          <w:lang w:val="en-US"/>
        </w:rPr>
        <w:t>c</w:t>
      </w:r>
      <w:r w:rsidR="007E32D7">
        <w:rPr>
          <w:lang w:val="en-GB"/>
        </w:rPr>
        <w:t>rops were then sown with a</w:t>
      </w:r>
      <w:r w:rsidR="007E32D7" w:rsidRPr="007653A2">
        <w:rPr>
          <w:lang w:val="en-GB"/>
        </w:rPr>
        <w:t xml:space="preserve"> traditional seed drill (Nordsten Lift-o-matic CLH300) </w:t>
      </w:r>
      <w:r w:rsidR="007E32D7">
        <w:rPr>
          <w:lang w:val="en-GB"/>
        </w:rPr>
        <w:t xml:space="preserve">with row spacings of 12.5 cm. </w:t>
      </w:r>
      <w:r w:rsidR="00844404" w:rsidRPr="00922D1E">
        <w:rPr>
          <w:lang w:val="en-US"/>
        </w:rPr>
        <w:t xml:space="preserve">For </w:t>
      </w:r>
      <w:r w:rsidR="00844404">
        <w:rPr>
          <w:lang w:val="en-US"/>
        </w:rPr>
        <w:t xml:space="preserve">the </w:t>
      </w:r>
      <w:r w:rsidR="00A32989">
        <w:rPr>
          <w:lang w:val="en-US"/>
        </w:rPr>
        <w:t>surface tillage system (</w:t>
      </w:r>
      <w:r w:rsidR="00844404">
        <w:rPr>
          <w:lang w:val="en-US"/>
        </w:rPr>
        <w:t>non-inversion</w:t>
      </w:r>
      <w:r w:rsidR="00A32989">
        <w:rPr>
          <w:lang w:val="en-US"/>
        </w:rPr>
        <w:t>),</w:t>
      </w:r>
      <w:r w:rsidR="00844404">
        <w:rPr>
          <w:lang w:val="en-US"/>
        </w:rPr>
        <w:t xml:space="preserve"> </w:t>
      </w:r>
      <w:r w:rsidR="00844404" w:rsidRPr="00922D1E">
        <w:rPr>
          <w:lang w:val="en-US"/>
        </w:rPr>
        <w:t xml:space="preserve">a </w:t>
      </w:r>
      <w:r w:rsidR="00844404" w:rsidRPr="00922D1E">
        <w:rPr>
          <w:vertAlign w:val="subscript"/>
          <w:lang w:val="en-US"/>
        </w:rPr>
        <w:t xml:space="preserve"> </w:t>
      </w:r>
      <w:r w:rsidR="00844404" w:rsidRPr="00922D1E">
        <w:rPr>
          <w:lang w:val="en-GB"/>
        </w:rPr>
        <w:t xml:space="preserve">Horsch Terrano 3 FX stubble tine cultivator </w:t>
      </w:r>
      <w:r w:rsidR="00844404">
        <w:rPr>
          <w:lang w:val="en-GB"/>
        </w:rPr>
        <w:t xml:space="preserve"> was used to </w:t>
      </w:r>
      <w:r w:rsidR="007E32D7">
        <w:rPr>
          <w:lang w:val="en-GB"/>
        </w:rPr>
        <w:t xml:space="preserve">till to a depth </w:t>
      </w:r>
      <w:commentRangeStart w:id="3"/>
      <w:r w:rsidR="00844404">
        <w:rPr>
          <w:lang w:val="en-GB"/>
        </w:rPr>
        <w:t xml:space="preserve">8-10 cm </w:t>
      </w:r>
      <w:r w:rsidR="007E32D7">
        <w:rPr>
          <w:lang w:val="en-GB"/>
        </w:rPr>
        <w:t xml:space="preserve">in the spring </w:t>
      </w:r>
      <w:r w:rsidR="00844404">
        <w:rPr>
          <w:lang w:val="en-GB"/>
        </w:rPr>
        <w:t>before cash crop planting</w:t>
      </w:r>
      <w:commentRangeEnd w:id="3"/>
      <w:r w:rsidR="00D54833">
        <w:rPr>
          <w:rStyle w:val="CommentReference"/>
        </w:rPr>
        <w:commentReference w:id="3"/>
      </w:r>
      <w:r w:rsidR="00844404">
        <w:rPr>
          <w:lang w:val="en-GB"/>
        </w:rPr>
        <w:t xml:space="preserve">. In both the no-till and non-inversion tillage systems, crops were sown </w:t>
      </w:r>
      <w:r w:rsidR="00844404" w:rsidRPr="007653A2">
        <w:rPr>
          <w:lang w:val="en-GB"/>
        </w:rPr>
        <w:t>with a chisel coulter (Horsch Airseeder CO 3)</w:t>
      </w:r>
      <w:r w:rsidR="00844404">
        <w:rPr>
          <w:lang w:val="en-GB"/>
        </w:rPr>
        <w:t xml:space="preserve"> with </w:t>
      </w:r>
      <w:r w:rsidR="00844404">
        <w:rPr>
          <w:lang w:val="en-GB"/>
        </w:rPr>
        <w:lastRenderedPageBreak/>
        <w:t xml:space="preserve">row spacings of 17.5 cm for spring oats, spring barley, and </w:t>
      </w:r>
      <w:commentRangeStart w:id="4"/>
      <w:r w:rsidR="00844404" w:rsidRPr="007653A2">
        <w:rPr>
          <w:color w:val="FF0000"/>
          <w:lang w:val="en-GB"/>
        </w:rPr>
        <w:t>faba beans</w:t>
      </w:r>
      <w:commentRangeEnd w:id="4"/>
      <w:r w:rsidR="00D54833">
        <w:rPr>
          <w:rStyle w:val="CommentReference"/>
        </w:rPr>
        <w:commentReference w:id="4"/>
      </w:r>
      <w:r w:rsidR="00844404">
        <w:rPr>
          <w:lang w:val="en-GB"/>
        </w:rPr>
        <w:t>.</w:t>
      </w:r>
      <w:r w:rsidR="00CF29E1">
        <w:rPr>
          <w:lang w:val="en-GB"/>
        </w:rPr>
        <w:t xml:space="preserve"> Row spacings were different </w:t>
      </w:r>
      <w:r w:rsidR="003544E9">
        <w:rPr>
          <w:lang w:val="en-GB"/>
        </w:rPr>
        <w:t xml:space="preserve">for the inversion tillage system </w:t>
      </w:r>
      <w:r w:rsidR="00CF29E1">
        <w:rPr>
          <w:lang w:val="en-GB"/>
        </w:rPr>
        <w:t>due to equipment</w:t>
      </w:r>
      <w:r w:rsidR="00A32989">
        <w:rPr>
          <w:lang w:val="en-GB"/>
        </w:rPr>
        <w:t xml:space="preserve"> representing </w:t>
      </w:r>
      <w:r w:rsidR="00CF29E1">
        <w:rPr>
          <w:lang w:val="en-GB"/>
        </w:rPr>
        <w:t xml:space="preserve">typical production environments for each tillage system </w:t>
      </w:r>
      <w:r w:rsidR="00CF29E1">
        <w:rPr>
          <w:lang w:val="en-US"/>
        </w:rPr>
        <w:t>(</w:t>
      </w:r>
      <w:r w:rsidR="00CF29E1">
        <w:rPr>
          <w:lang w:val="en-GB"/>
        </w:rPr>
        <w:t xml:space="preserve">CITE). </w:t>
      </w:r>
    </w:p>
    <w:p w14:paraId="4ABFF24E" w14:textId="6443DE49" w:rsidR="007477A1" w:rsidRPr="007653A2" w:rsidRDefault="007477A1" w:rsidP="007477A1">
      <w:pPr>
        <w:pStyle w:val="Heading3"/>
        <w:rPr>
          <w:ins w:id="5" w:author="Bo Melander" w:date="2025-02-11T13:10:00Z" w16du:dateUtc="2025-02-11T12:10:00Z"/>
          <w:lang w:val="en-GB"/>
        </w:rPr>
      </w:pPr>
      <w:r>
        <w:rPr>
          <w:lang w:val="en-GB"/>
        </w:rPr>
        <w:t>Cover crop treatments</w:t>
      </w:r>
    </w:p>
    <w:bookmarkEnd w:id="2"/>
    <w:p w14:paraId="7E80695A" w14:textId="77777777" w:rsidR="00A70C8E" w:rsidRDefault="00A70C8E" w:rsidP="00A70C8E">
      <w:pPr>
        <w:rPr>
          <w:lang w:val="en-US"/>
        </w:rPr>
      </w:pPr>
      <w:r>
        <w:rPr>
          <w:lang w:val="en-US"/>
        </w:rPr>
        <w:t>Starting in 2018, five cover crop systems were randomly applied to the sub-sub</w:t>
      </w:r>
      <w:ins w:id="6" w:author="Bo Melander" w:date="2025-02-11T13:53:00Z" w16du:dateUtc="2025-02-11T12:53:00Z">
        <w:r>
          <w:rPr>
            <w:lang w:val="en-US"/>
          </w:rPr>
          <w:t>-</w:t>
        </w:r>
      </w:ins>
      <w:r w:rsidRPr="00E976D6">
        <w:rPr>
          <w:lang w:val="en-US"/>
        </w:rPr>
        <w:t>plots (</w:t>
      </w:r>
      <w:r w:rsidRPr="00E976D6">
        <w:rPr>
          <w:b/>
          <w:bCs/>
          <w:lang w:val="en-US"/>
        </w:rPr>
        <w:t xml:space="preserve">Table </w:t>
      </w:r>
      <w:r>
        <w:rPr>
          <w:b/>
          <w:bCs/>
          <w:lang w:val="en-US"/>
        </w:rPr>
        <w:t>1</w:t>
      </w:r>
      <w:r w:rsidRPr="00871A14">
        <w:rPr>
          <w:b/>
          <w:bCs/>
          <w:lang w:val="en-US"/>
        </w:rPr>
        <w:t>).</w:t>
      </w:r>
      <w:r>
        <w:rPr>
          <w:lang w:val="en-US"/>
        </w:rPr>
        <w:t xml:space="preserve"> The same sub-sub</w:t>
      </w:r>
      <w:ins w:id="7" w:author="Bo Melander" w:date="2025-02-11T13:53:00Z" w16du:dateUtc="2025-02-11T12:53:00Z">
        <w:r>
          <w:rPr>
            <w:lang w:val="en-US"/>
          </w:rPr>
          <w:t>-</w:t>
        </w:r>
      </w:ins>
      <w:r>
        <w:rPr>
          <w:lang w:val="en-US"/>
        </w:rPr>
        <w:t xml:space="preserve">plot treatments were maintained for 2018 and 2019. The sampling area for all measurements was located in the inner 1.5 m x 10 m area of the sub-sub-plots. </w:t>
      </w:r>
    </w:p>
    <w:p w14:paraId="1F56AF3D" w14:textId="77777777" w:rsidR="00A70C8E" w:rsidRDefault="00A70C8E" w:rsidP="00A70C8E">
      <w:pPr>
        <w:rPr>
          <w:lang w:val="en-US"/>
        </w:rPr>
      </w:pPr>
      <w:r>
        <w:rPr>
          <w:lang w:val="en-US"/>
        </w:rPr>
        <w:t>Table 1. Summary of the five cover crop systems</w:t>
      </w:r>
    </w:p>
    <w:tbl>
      <w:tblPr>
        <w:tblStyle w:val="TableGrid"/>
        <w:tblW w:w="0" w:type="auto"/>
        <w:tblLook w:val="04A0" w:firstRow="1" w:lastRow="0" w:firstColumn="1" w:lastColumn="0" w:noHBand="0" w:noVBand="1"/>
      </w:tblPr>
      <w:tblGrid>
        <w:gridCol w:w="1555"/>
        <w:gridCol w:w="2126"/>
        <w:gridCol w:w="1843"/>
        <w:gridCol w:w="2976"/>
      </w:tblGrid>
      <w:tr w:rsidR="00A70C8E" w:rsidRPr="00E02EB6" w14:paraId="4D841BA6" w14:textId="77777777">
        <w:tc>
          <w:tcPr>
            <w:tcW w:w="1555" w:type="dxa"/>
            <w:vAlign w:val="center"/>
          </w:tcPr>
          <w:p w14:paraId="5B8D6F48" w14:textId="77777777" w:rsidR="00A70C8E" w:rsidRDefault="00A70C8E">
            <w:pPr>
              <w:jc w:val="center"/>
              <w:rPr>
                <w:lang w:val="en-US"/>
              </w:rPr>
            </w:pPr>
            <w:r>
              <w:rPr>
                <w:lang w:val="en-US"/>
              </w:rPr>
              <w:t>Cover crop system name</w:t>
            </w:r>
          </w:p>
        </w:tc>
        <w:tc>
          <w:tcPr>
            <w:tcW w:w="2126" w:type="dxa"/>
            <w:vAlign w:val="center"/>
          </w:tcPr>
          <w:p w14:paraId="5BF2F8DE" w14:textId="77777777" w:rsidR="00A70C8E" w:rsidRDefault="00A70C8E">
            <w:pPr>
              <w:jc w:val="center"/>
              <w:rPr>
                <w:lang w:val="en-US"/>
              </w:rPr>
            </w:pPr>
            <w:r>
              <w:rPr>
                <w:lang w:val="en-US"/>
              </w:rPr>
              <w:t>Cover crop</w:t>
            </w:r>
          </w:p>
        </w:tc>
        <w:tc>
          <w:tcPr>
            <w:tcW w:w="1843" w:type="dxa"/>
            <w:vAlign w:val="center"/>
          </w:tcPr>
          <w:p w14:paraId="13424314" w14:textId="77777777" w:rsidR="00A70C8E" w:rsidRDefault="00A70C8E">
            <w:pPr>
              <w:jc w:val="center"/>
              <w:rPr>
                <w:lang w:val="en-US"/>
              </w:rPr>
            </w:pPr>
            <w:r>
              <w:rPr>
                <w:lang w:val="en-US"/>
              </w:rPr>
              <w:t>Seeding rate</w:t>
            </w:r>
          </w:p>
        </w:tc>
        <w:tc>
          <w:tcPr>
            <w:tcW w:w="2976" w:type="dxa"/>
            <w:vAlign w:val="center"/>
          </w:tcPr>
          <w:p w14:paraId="7014155A" w14:textId="77777777" w:rsidR="00A70C8E" w:rsidRDefault="00A70C8E">
            <w:pPr>
              <w:jc w:val="center"/>
              <w:rPr>
                <w:lang w:val="en-US"/>
              </w:rPr>
            </w:pPr>
            <w:r>
              <w:rPr>
                <w:lang w:val="en-US"/>
              </w:rPr>
              <w:t>Seeding method and timing</w:t>
            </w:r>
          </w:p>
        </w:tc>
      </w:tr>
      <w:tr w:rsidR="00A70C8E" w:rsidRPr="00863080" w14:paraId="69998B1C" w14:textId="77777777">
        <w:tc>
          <w:tcPr>
            <w:tcW w:w="1555" w:type="dxa"/>
            <w:vAlign w:val="center"/>
          </w:tcPr>
          <w:p w14:paraId="6025962E" w14:textId="77777777" w:rsidR="00A70C8E" w:rsidRDefault="00A70C8E">
            <w:pPr>
              <w:jc w:val="center"/>
              <w:rPr>
                <w:lang w:val="en-US"/>
              </w:rPr>
            </w:pPr>
            <w:r>
              <w:rPr>
                <w:lang w:val="en-US"/>
              </w:rPr>
              <w:t>Mix-early</w:t>
            </w:r>
          </w:p>
        </w:tc>
        <w:tc>
          <w:tcPr>
            <w:tcW w:w="2126" w:type="dxa"/>
            <w:vMerge w:val="restart"/>
            <w:vAlign w:val="center"/>
          </w:tcPr>
          <w:p w14:paraId="1CFF4B9D" w14:textId="77777777" w:rsidR="00A70C8E" w:rsidRPr="001D2342" w:rsidRDefault="00A70C8E">
            <w:pPr>
              <w:jc w:val="center"/>
              <w:rPr>
                <w:lang w:val="en-US"/>
              </w:rPr>
            </w:pPr>
            <w:r>
              <w:rPr>
                <w:lang w:val="en-US"/>
              </w:rPr>
              <w:t xml:space="preserve">Perennial ryegrass </w:t>
            </w:r>
            <w:r w:rsidRPr="001D2342">
              <w:rPr>
                <w:i/>
                <w:iCs/>
                <w:lang w:val="en-US"/>
              </w:rPr>
              <w:t>(</w:t>
            </w:r>
            <w:r>
              <w:rPr>
                <w:i/>
                <w:iCs/>
                <w:lang w:val="en-US"/>
              </w:rPr>
              <w:t xml:space="preserve">grass; </w:t>
            </w:r>
            <w:r w:rsidRPr="001D2342">
              <w:rPr>
                <w:i/>
                <w:iCs/>
                <w:lang w:val="en-US"/>
              </w:rPr>
              <w:t>Lolium perenne)</w:t>
            </w:r>
            <w:r>
              <w:rPr>
                <w:lang w:val="en-US"/>
              </w:rPr>
              <w:t xml:space="preserve"> and red clover </w:t>
            </w:r>
            <w:r w:rsidRPr="001D2342">
              <w:rPr>
                <w:i/>
                <w:iCs/>
                <w:lang w:val="en-US"/>
              </w:rPr>
              <w:t>(</w:t>
            </w:r>
            <w:r>
              <w:rPr>
                <w:i/>
                <w:iCs/>
                <w:lang w:val="en-US"/>
              </w:rPr>
              <w:t xml:space="preserve">clover; </w:t>
            </w:r>
            <w:r w:rsidRPr="001D2342">
              <w:rPr>
                <w:i/>
                <w:iCs/>
                <w:lang w:val="en-US"/>
              </w:rPr>
              <w:t xml:space="preserve">Trifolium </w:t>
            </w:r>
            <w:r>
              <w:rPr>
                <w:i/>
                <w:iCs/>
                <w:lang w:val="en-US"/>
              </w:rPr>
              <w:t>pratense</w:t>
            </w:r>
            <w:r w:rsidRPr="001D2342">
              <w:rPr>
                <w:i/>
                <w:iCs/>
                <w:lang w:val="en-US"/>
              </w:rPr>
              <w:t>)</w:t>
            </w:r>
          </w:p>
        </w:tc>
        <w:tc>
          <w:tcPr>
            <w:tcW w:w="1843" w:type="dxa"/>
            <w:vMerge w:val="restart"/>
            <w:vAlign w:val="center"/>
          </w:tcPr>
          <w:p w14:paraId="090484E7" w14:textId="77777777" w:rsidR="00A70C8E" w:rsidRDefault="00A70C8E">
            <w:pPr>
              <w:jc w:val="center"/>
              <w:rPr>
                <w:lang w:val="en-US"/>
              </w:rPr>
            </w:pPr>
            <w:r>
              <w:rPr>
                <w:lang w:val="en-US"/>
              </w:rPr>
              <w:t>3 kg ha</w:t>
            </w:r>
            <w:r w:rsidRPr="004158F6">
              <w:rPr>
                <w:vertAlign w:val="superscript"/>
                <w:lang w:val="en-US"/>
              </w:rPr>
              <w:t>-1</w:t>
            </w:r>
            <w:r>
              <w:rPr>
                <w:lang w:val="en-US"/>
              </w:rPr>
              <w:t xml:space="preserve"> grass + 8 kg clover ha</w:t>
            </w:r>
            <w:r w:rsidRPr="004158F6">
              <w:rPr>
                <w:vertAlign w:val="superscript"/>
                <w:lang w:val="en-US"/>
              </w:rPr>
              <w:t>-1</w:t>
            </w:r>
          </w:p>
        </w:tc>
        <w:tc>
          <w:tcPr>
            <w:tcW w:w="2976" w:type="dxa"/>
            <w:vAlign w:val="center"/>
          </w:tcPr>
          <w:p w14:paraId="0D6B549C" w14:textId="77777777" w:rsidR="00A70C8E" w:rsidRDefault="00A70C8E">
            <w:pPr>
              <w:jc w:val="center"/>
              <w:rPr>
                <w:lang w:val="en-US"/>
              </w:rPr>
            </w:pPr>
            <w:r>
              <w:rPr>
                <w:lang w:val="en-US"/>
              </w:rPr>
              <w:t>Sown 1 cm deep in 12.5 cm rows between cash crop rows shortly after cash crop planting</w:t>
            </w:r>
          </w:p>
        </w:tc>
      </w:tr>
      <w:tr w:rsidR="00A70C8E" w:rsidRPr="00863080" w14:paraId="46A1FE34" w14:textId="77777777">
        <w:tc>
          <w:tcPr>
            <w:tcW w:w="1555" w:type="dxa"/>
            <w:vAlign w:val="center"/>
          </w:tcPr>
          <w:p w14:paraId="427A91FB" w14:textId="77777777" w:rsidR="00A70C8E" w:rsidRDefault="00A70C8E">
            <w:pPr>
              <w:jc w:val="center"/>
              <w:rPr>
                <w:lang w:val="en-US"/>
              </w:rPr>
            </w:pPr>
            <w:r>
              <w:rPr>
                <w:lang w:val="en-US"/>
              </w:rPr>
              <w:t>Mix-mid</w:t>
            </w:r>
          </w:p>
        </w:tc>
        <w:tc>
          <w:tcPr>
            <w:tcW w:w="2126" w:type="dxa"/>
            <w:vMerge/>
            <w:vAlign w:val="center"/>
          </w:tcPr>
          <w:p w14:paraId="733F17BB" w14:textId="77777777" w:rsidR="00A70C8E" w:rsidRDefault="00A70C8E">
            <w:pPr>
              <w:jc w:val="center"/>
              <w:rPr>
                <w:lang w:val="en-US"/>
              </w:rPr>
            </w:pPr>
          </w:p>
        </w:tc>
        <w:tc>
          <w:tcPr>
            <w:tcW w:w="1843" w:type="dxa"/>
            <w:vMerge/>
            <w:vAlign w:val="center"/>
          </w:tcPr>
          <w:p w14:paraId="567E610F" w14:textId="77777777" w:rsidR="00A70C8E" w:rsidRDefault="00A70C8E">
            <w:pPr>
              <w:jc w:val="center"/>
              <w:rPr>
                <w:lang w:val="en-US"/>
              </w:rPr>
            </w:pPr>
          </w:p>
        </w:tc>
        <w:tc>
          <w:tcPr>
            <w:tcW w:w="2976" w:type="dxa"/>
            <w:vAlign w:val="center"/>
          </w:tcPr>
          <w:p w14:paraId="495E6DAA" w14:textId="494080CA" w:rsidR="00A70C8E" w:rsidRDefault="00A70C8E">
            <w:pPr>
              <w:jc w:val="center"/>
              <w:rPr>
                <w:lang w:val="en-US"/>
              </w:rPr>
            </w:pPr>
            <w:r w:rsidRPr="00782730">
              <w:rPr>
                <w:lang w:val="en-US"/>
              </w:rPr>
              <w:t>Broadcast into standing crop approx</w:t>
            </w:r>
            <w:r w:rsidR="00D54833" w:rsidRPr="00782730">
              <w:rPr>
                <w:lang w:val="en-US"/>
              </w:rPr>
              <w:t>imately</w:t>
            </w:r>
            <w:r w:rsidRPr="00782730">
              <w:rPr>
                <w:lang w:val="en-US"/>
              </w:rPr>
              <w:t xml:space="preserve"> 14 days before expected cash crop harvest</w:t>
            </w:r>
          </w:p>
        </w:tc>
      </w:tr>
      <w:tr w:rsidR="00A70C8E" w:rsidRPr="00863080" w14:paraId="49E1C5D0" w14:textId="77777777">
        <w:tc>
          <w:tcPr>
            <w:tcW w:w="1555" w:type="dxa"/>
            <w:vAlign w:val="center"/>
          </w:tcPr>
          <w:p w14:paraId="4FA1FCDD" w14:textId="77777777" w:rsidR="00A70C8E" w:rsidRDefault="00A70C8E">
            <w:pPr>
              <w:jc w:val="center"/>
              <w:rPr>
                <w:lang w:val="en-US"/>
              </w:rPr>
            </w:pPr>
            <w:r>
              <w:rPr>
                <w:lang w:val="en-US"/>
              </w:rPr>
              <w:t>Radish-mid</w:t>
            </w:r>
          </w:p>
        </w:tc>
        <w:tc>
          <w:tcPr>
            <w:tcW w:w="2126" w:type="dxa"/>
            <w:vMerge w:val="restart"/>
            <w:vAlign w:val="center"/>
          </w:tcPr>
          <w:p w14:paraId="146E7A50" w14:textId="77777777" w:rsidR="00A70C8E" w:rsidRDefault="00A70C8E">
            <w:pPr>
              <w:jc w:val="center"/>
              <w:rPr>
                <w:lang w:val="en-US"/>
              </w:rPr>
            </w:pPr>
            <w:r>
              <w:rPr>
                <w:lang w:val="en-US"/>
              </w:rPr>
              <w:t xml:space="preserve">Fodder radish </w:t>
            </w:r>
            <w:r w:rsidRPr="001D2342">
              <w:rPr>
                <w:i/>
                <w:iCs/>
                <w:lang w:val="en-US"/>
              </w:rPr>
              <w:t>(Raphanus sativus)</w:t>
            </w:r>
          </w:p>
        </w:tc>
        <w:tc>
          <w:tcPr>
            <w:tcW w:w="1843" w:type="dxa"/>
            <w:vMerge w:val="restart"/>
            <w:vAlign w:val="center"/>
          </w:tcPr>
          <w:p w14:paraId="6D57023C" w14:textId="77777777" w:rsidR="00A70C8E" w:rsidRDefault="00A70C8E">
            <w:pPr>
              <w:jc w:val="center"/>
              <w:rPr>
                <w:lang w:val="en-US"/>
              </w:rPr>
            </w:pPr>
            <w:r>
              <w:rPr>
                <w:lang w:val="en-US"/>
              </w:rPr>
              <w:t>14 kg ha</w:t>
            </w:r>
            <w:r w:rsidRPr="004158F6">
              <w:rPr>
                <w:vertAlign w:val="superscript"/>
                <w:lang w:val="en-US"/>
              </w:rPr>
              <w:t>-1</w:t>
            </w:r>
          </w:p>
        </w:tc>
        <w:tc>
          <w:tcPr>
            <w:tcW w:w="2976" w:type="dxa"/>
            <w:vAlign w:val="center"/>
          </w:tcPr>
          <w:p w14:paraId="3DFDBA53" w14:textId="77777777" w:rsidR="00A70C8E" w:rsidRDefault="00A70C8E">
            <w:pPr>
              <w:jc w:val="center"/>
              <w:rPr>
                <w:lang w:val="en-US"/>
              </w:rPr>
            </w:pPr>
            <w:r>
              <w:rPr>
                <w:lang w:val="en-US"/>
              </w:rPr>
              <w:t>Broadcast into standing crop approx. 14 days before expected crop harvest</w:t>
            </w:r>
          </w:p>
        </w:tc>
      </w:tr>
      <w:tr w:rsidR="00A70C8E" w:rsidRPr="00863080" w14:paraId="5DB034BC" w14:textId="77777777">
        <w:tc>
          <w:tcPr>
            <w:tcW w:w="1555" w:type="dxa"/>
            <w:vAlign w:val="center"/>
          </w:tcPr>
          <w:p w14:paraId="756E9739" w14:textId="77777777" w:rsidR="00A70C8E" w:rsidRDefault="00A70C8E">
            <w:pPr>
              <w:jc w:val="center"/>
              <w:rPr>
                <w:lang w:val="en-US"/>
              </w:rPr>
            </w:pPr>
            <w:r>
              <w:rPr>
                <w:lang w:val="en-US"/>
              </w:rPr>
              <w:t>Radish-late</w:t>
            </w:r>
          </w:p>
        </w:tc>
        <w:tc>
          <w:tcPr>
            <w:tcW w:w="2126" w:type="dxa"/>
            <w:vMerge/>
            <w:vAlign w:val="center"/>
          </w:tcPr>
          <w:p w14:paraId="2EAC5DAB" w14:textId="77777777" w:rsidR="00A70C8E" w:rsidRDefault="00A70C8E">
            <w:pPr>
              <w:jc w:val="center"/>
              <w:rPr>
                <w:lang w:val="en-US"/>
              </w:rPr>
            </w:pPr>
          </w:p>
        </w:tc>
        <w:tc>
          <w:tcPr>
            <w:tcW w:w="1843" w:type="dxa"/>
            <w:vMerge/>
            <w:vAlign w:val="center"/>
          </w:tcPr>
          <w:p w14:paraId="25923B9E" w14:textId="77777777" w:rsidR="00A70C8E" w:rsidRDefault="00A70C8E">
            <w:pPr>
              <w:jc w:val="center"/>
              <w:rPr>
                <w:lang w:val="en-US"/>
              </w:rPr>
            </w:pPr>
          </w:p>
        </w:tc>
        <w:tc>
          <w:tcPr>
            <w:tcW w:w="2976" w:type="dxa"/>
            <w:vAlign w:val="center"/>
          </w:tcPr>
          <w:p w14:paraId="7605F5B6" w14:textId="77777777" w:rsidR="00A70C8E" w:rsidRDefault="00A70C8E">
            <w:pPr>
              <w:jc w:val="center"/>
              <w:rPr>
                <w:lang w:val="en-US"/>
              </w:rPr>
            </w:pPr>
            <w:r>
              <w:rPr>
                <w:lang w:val="en-US"/>
              </w:rPr>
              <w:t>Broadcast into the crop stubble post crop harvest</w:t>
            </w:r>
          </w:p>
        </w:tc>
      </w:tr>
      <w:tr w:rsidR="00A70C8E" w:rsidRPr="001D2342" w14:paraId="3D3A3A7E" w14:textId="77777777">
        <w:tc>
          <w:tcPr>
            <w:tcW w:w="1555" w:type="dxa"/>
            <w:vAlign w:val="center"/>
          </w:tcPr>
          <w:p w14:paraId="4BE4069C" w14:textId="77777777" w:rsidR="00A70C8E" w:rsidRDefault="00A70C8E">
            <w:pPr>
              <w:jc w:val="center"/>
              <w:rPr>
                <w:lang w:val="en-US"/>
              </w:rPr>
            </w:pPr>
            <w:r>
              <w:rPr>
                <w:lang w:val="en-US"/>
              </w:rPr>
              <w:t>No CC</w:t>
            </w:r>
          </w:p>
        </w:tc>
        <w:tc>
          <w:tcPr>
            <w:tcW w:w="2126" w:type="dxa"/>
            <w:vAlign w:val="center"/>
          </w:tcPr>
          <w:p w14:paraId="05DE613F" w14:textId="77777777" w:rsidR="00A70C8E" w:rsidRDefault="00A70C8E">
            <w:pPr>
              <w:jc w:val="center"/>
              <w:rPr>
                <w:lang w:val="en-US"/>
              </w:rPr>
            </w:pPr>
            <w:r>
              <w:rPr>
                <w:lang w:val="en-US"/>
              </w:rPr>
              <w:t>-</w:t>
            </w:r>
          </w:p>
        </w:tc>
        <w:tc>
          <w:tcPr>
            <w:tcW w:w="1843" w:type="dxa"/>
            <w:vAlign w:val="center"/>
          </w:tcPr>
          <w:p w14:paraId="3F4567CF" w14:textId="77777777" w:rsidR="00A70C8E" w:rsidRDefault="00A70C8E">
            <w:pPr>
              <w:jc w:val="center"/>
              <w:rPr>
                <w:lang w:val="en-US"/>
              </w:rPr>
            </w:pPr>
            <w:r>
              <w:rPr>
                <w:lang w:val="en-US"/>
              </w:rPr>
              <w:t>-</w:t>
            </w:r>
          </w:p>
        </w:tc>
        <w:tc>
          <w:tcPr>
            <w:tcW w:w="2976" w:type="dxa"/>
            <w:vAlign w:val="center"/>
          </w:tcPr>
          <w:p w14:paraId="64AC3355" w14:textId="77777777" w:rsidR="00A70C8E" w:rsidRDefault="00A70C8E">
            <w:pPr>
              <w:jc w:val="center"/>
              <w:rPr>
                <w:lang w:val="en-US"/>
              </w:rPr>
            </w:pPr>
            <w:r>
              <w:rPr>
                <w:lang w:val="en-US"/>
              </w:rPr>
              <w:t>-</w:t>
            </w:r>
          </w:p>
        </w:tc>
      </w:tr>
    </w:tbl>
    <w:p w14:paraId="7DE2BBDA" w14:textId="77777777" w:rsidR="00A70C8E" w:rsidRDefault="00A70C8E" w:rsidP="00A70C8E">
      <w:pPr>
        <w:rPr>
          <w:lang w:val="en-US"/>
        </w:rPr>
      </w:pPr>
    </w:p>
    <w:p w14:paraId="3E2638A8" w14:textId="365E04D8" w:rsidR="007477A1" w:rsidRDefault="007477A1" w:rsidP="007477A1">
      <w:pPr>
        <w:pStyle w:val="Heading3"/>
        <w:rPr>
          <w:lang w:val="en-US"/>
        </w:rPr>
      </w:pPr>
      <w:r>
        <w:rPr>
          <w:lang w:val="en-GB"/>
        </w:rPr>
        <w:t>Fertilizer and herbicides</w:t>
      </w:r>
    </w:p>
    <w:p w14:paraId="7E4D905B" w14:textId="3C703EA2" w:rsidR="00A70C8E" w:rsidRDefault="00D54833" w:rsidP="00A70C8E">
      <w:pPr>
        <w:rPr>
          <w:lang w:val="en-GB"/>
        </w:rPr>
      </w:pPr>
      <w:r>
        <w:rPr>
          <w:lang w:val="en-US"/>
        </w:rPr>
        <w:t xml:space="preserve">Mineral fertilizer </w:t>
      </w:r>
      <w:commentRangeStart w:id="8"/>
      <w:r>
        <w:rPr>
          <w:lang w:val="en-US"/>
        </w:rPr>
        <w:t xml:space="preserve">was </w:t>
      </w:r>
      <w:r w:rsidR="007477A1">
        <w:rPr>
          <w:lang w:val="en-US"/>
        </w:rPr>
        <w:t xml:space="preserve">broadcast </w:t>
      </w:r>
      <w:commentRangeEnd w:id="8"/>
      <w:r w:rsidR="007477A1">
        <w:rPr>
          <w:rStyle w:val="CommentReference"/>
        </w:rPr>
        <w:commentReference w:id="8"/>
      </w:r>
      <w:r w:rsidR="007477A1">
        <w:rPr>
          <w:lang w:val="en-US"/>
        </w:rPr>
        <w:t>on spring barley plots on 17 April 2018 (</w:t>
      </w:r>
      <w:r w:rsidR="00A70C8E">
        <w:rPr>
          <w:lang w:val="en-GB"/>
        </w:rPr>
        <w:t>126 kg N ha</w:t>
      </w:r>
      <w:r w:rsidR="00A70C8E" w:rsidRPr="004158F6">
        <w:rPr>
          <w:vertAlign w:val="superscript"/>
          <w:lang w:val="en-GB"/>
        </w:rPr>
        <w:t>-1</w:t>
      </w:r>
      <w:r w:rsidR="00A70C8E">
        <w:rPr>
          <w:lang w:val="en-GB"/>
        </w:rPr>
        <w:t>, 24 kg P ha</w:t>
      </w:r>
      <w:r w:rsidR="00A70C8E" w:rsidRPr="007A2CDE">
        <w:rPr>
          <w:vertAlign w:val="superscript"/>
          <w:lang w:val="en-GB"/>
        </w:rPr>
        <w:t>-1</w:t>
      </w:r>
      <w:r w:rsidR="00A70C8E">
        <w:rPr>
          <w:lang w:val="en-GB"/>
        </w:rPr>
        <w:t xml:space="preserve"> and 60 kg K ha</w:t>
      </w:r>
      <w:r w:rsidR="00A70C8E" w:rsidRPr="007A2CDE">
        <w:rPr>
          <w:vertAlign w:val="superscript"/>
          <w:lang w:val="en-GB"/>
        </w:rPr>
        <w:t>-1</w:t>
      </w:r>
      <w:r>
        <w:rPr>
          <w:lang w:val="en-GB"/>
        </w:rPr>
        <w:t>)</w:t>
      </w:r>
      <w:r w:rsidR="007477A1">
        <w:rPr>
          <w:lang w:val="en-GB"/>
        </w:rPr>
        <w:t xml:space="preserve">; on spring oat plots on </w:t>
      </w:r>
      <w:r>
        <w:rPr>
          <w:lang w:val="en-GB"/>
        </w:rPr>
        <w:t>3 April 2019</w:t>
      </w:r>
      <w:r w:rsidR="007477A1">
        <w:rPr>
          <w:lang w:val="en-GB"/>
        </w:rPr>
        <w:t xml:space="preserve"> (80</w:t>
      </w:r>
      <w:r w:rsidR="00A70C8E">
        <w:rPr>
          <w:lang w:val="en-GB"/>
        </w:rPr>
        <w:t xml:space="preserve"> kg N ha</w:t>
      </w:r>
      <w:r w:rsidR="00A70C8E" w:rsidRPr="007A2CDE">
        <w:rPr>
          <w:vertAlign w:val="superscript"/>
          <w:lang w:val="en-GB"/>
        </w:rPr>
        <w:t>-1</w:t>
      </w:r>
      <w:r w:rsidR="00A70C8E">
        <w:rPr>
          <w:lang w:val="en-GB"/>
        </w:rPr>
        <w:t>, 15 kg P ha</w:t>
      </w:r>
      <w:r w:rsidR="00A70C8E" w:rsidRPr="007A2CDE">
        <w:rPr>
          <w:vertAlign w:val="superscript"/>
          <w:lang w:val="en-GB"/>
        </w:rPr>
        <w:t>-1</w:t>
      </w:r>
      <w:r w:rsidR="00A70C8E">
        <w:rPr>
          <w:lang w:val="en-GB"/>
        </w:rPr>
        <w:t xml:space="preserve"> and 38 kg K ha</w:t>
      </w:r>
      <w:r w:rsidR="00A70C8E" w:rsidRPr="007A2CDE">
        <w:rPr>
          <w:vertAlign w:val="superscript"/>
          <w:lang w:val="en-GB"/>
        </w:rPr>
        <w:t>-1</w:t>
      </w:r>
      <w:r w:rsidR="00A70C8E">
        <w:rPr>
          <w:lang w:val="en-GB"/>
        </w:rPr>
        <w:t xml:space="preserve"> </w:t>
      </w:r>
      <w:r w:rsidR="007477A1">
        <w:rPr>
          <w:lang w:val="en-GB"/>
        </w:rPr>
        <w:t xml:space="preserve">); and on </w:t>
      </w:r>
      <w:r w:rsidR="00A70C8E">
        <w:rPr>
          <w:lang w:val="en-GB"/>
        </w:rPr>
        <w:t xml:space="preserve">faba beans </w:t>
      </w:r>
      <w:r w:rsidR="007477A1">
        <w:rPr>
          <w:lang w:val="en-GB"/>
        </w:rPr>
        <w:t xml:space="preserve">on 15 April 2020 </w:t>
      </w:r>
      <w:r>
        <w:rPr>
          <w:lang w:val="en-GB"/>
        </w:rPr>
        <w:t>(32 kg P ha</w:t>
      </w:r>
      <w:r w:rsidRPr="007A2CDE">
        <w:rPr>
          <w:vertAlign w:val="superscript"/>
          <w:lang w:val="en-GB"/>
        </w:rPr>
        <w:t>-1</w:t>
      </w:r>
      <w:r>
        <w:rPr>
          <w:vertAlign w:val="superscript"/>
          <w:lang w:val="en-GB"/>
        </w:rPr>
        <w:t xml:space="preserve"> </w:t>
      </w:r>
      <w:r>
        <w:rPr>
          <w:lang w:val="en-GB"/>
        </w:rPr>
        <w:t>and 80 kg K ha</w:t>
      </w:r>
      <w:r w:rsidRPr="007A2CDE">
        <w:rPr>
          <w:vertAlign w:val="superscript"/>
          <w:lang w:val="en-GB"/>
        </w:rPr>
        <w:t>-1</w:t>
      </w:r>
      <w:r>
        <w:rPr>
          <w:lang w:val="en-GB"/>
        </w:rPr>
        <w:t>)</w:t>
      </w:r>
      <w:r w:rsidR="00A70C8E">
        <w:rPr>
          <w:lang w:val="en-GB"/>
        </w:rPr>
        <w:t xml:space="preserve">. </w:t>
      </w:r>
    </w:p>
    <w:p w14:paraId="5B4F0AC0" w14:textId="4D4F2528" w:rsidR="00E3737B" w:rsidRDefault="00EF514A" w:rsidP="00E3737B">
      <w:pPr>
        <w:rPr>
          <w:lang w:val="en-US"/>
        </w:rPr>
      </w:pPr>
      <w:r>
        <w:rPr>
          <w:lang w:val="en-GB"/>
        </w:rPr>
        <w:t xml:space="preserve">Herbicide treatments </w:t>
      </w:r>
      <w:r w:rsidR="00F71074">
        <w:rPr>
          <w:lang w:val="en-GB"/>
        </w:rPr>
        <w:t>reflected best practices and constraints imposed by both the tillage and cover crop system treatments.</w:t>
      </w:r>
      <w:r w:rsidR="00964670">
        <w:rPr>
          <w:lang w:val="en-GB"/>
        </w:rPr>
        <w:t xml:space="preserve"> Each herbicide package (HP) is described in detail in supplementary material. </w:t>
      </w:r>
      <w:r w:rsidR="007477A1">
        <w:rPr>
          <w:lang w:val="en-GB"/>
        </w:rPr>
        <w:t xml:space="preserve">In the non-inversion and no-till treatments, all plots were sprayed with </w:t>
      </w:r>
      <w:r w:rsidR="00964670">
        <w:rPr>
          <w:lang w:val="en-GB"/>
        </w:rPr>
        <w:t>HP1</w:t>
      </w:r>
      <w:r w:rsidR="0087481D">
        <w:rPr>
          <w:lang w:val="en-GB"/>
        </w:rPr>
        <w:t xml:space="preserve"> (2018, 2019) or HP2 (2020)</w:t>
      </w:r>
      <w:r w:rsidR="009E3F81">
        <w:rPr>
          <w:lang w:val="en-GB"/>
        </w:rPr>
        <w:t xml:space="preserve"> before cash crop planting</w:t>
      </w:r>
      <w:r>
        <w:rPr>
          <w:lang w:val="en-GB"/>
        </w:rPr>
        <w:t xml:space="preserve">. For the inversion tillage treatments, no herbicide was sprayed before cash crop planting. </w:t>
      </w:r>
      <w:r w:rsidR="00A70C8E">
        <w:rPr>
          <w:lang w:val="en-GB"/>
        </w:rPr>
        <w:t xml:space="preserve">In 2018 (spring barley), </w:t>
      </w:r>
      <w:r w:rsidR="00F71074">
        <w:rPr>
          <w:lang w:val="en-GB"/>
        </w:rPr>
        <w:t>to accommodate the presence of the grass and clover present in the Mix-early plots, those plots were sprayed on 16 May 2018 with an herbicide package that does not affect clover or grasses</w:t>
      </w:r>
      <w:r w:rsidR="00964670">
        <w:rPr>
          <w:lang w:val="en-GB"/>
        </w:rPr>
        <w:t xml:space="preserve"> (HP</w:t>
      </w:r>
      <w:r w:rsidR="0087481D">
        <w:rPr>
          <w:lang w:val="en-GB"/>
        </w:rPr>
        <w:t>3</w:t>
      </w:r>
      <w:r w:rsidR="00964670">
        <w:rPr>
          <w:lang w:val="en-GB"/>
        </w:rPr>
        <w:t>)</w:t>
      </w:r>
      <w:r w:rsidR="00B41B1E">
        <w:rPr>
          <w:lang w:val="en-GB"/>
        </w:rPr>
        <w:t>; a</w:t>
      </w:r>
      <w:r w:rsidR="001114A3">
        <w:rPr>
          <w:lang w:val="en-GB"/>
        </w:rPr>
        <w:t xml:space="preserve">ll other plots </w:t>
      </w:r>
      <w:r w:rsidR="00A70C8E">
        <w:rPr>
          <w:lang w:val="en-GB"/>
        </w:rPr>
        <w:t xml:space="preserve">were sprayed </w:t>
      </w:r>
      <w:r w:rsidR="00B41B1E">
        <w:rPr>
          <w:lang w:val="en-GB"/>
        </w:rPr>
        <w:t xml:space="preserve">the same day </w:t>
      </w:r>
      <w:r w:rsidR="001114A3">
        <w:rPr>
          <w:lang w:val="en-GB"/>
        </w:rPr>
        <w:t>with a different herbicide package</w:t>
      </w:r>
      <w:r w:rsidR="00B41B1E">
        <w:rPr>
          <w:lang w:val="en-GB"/>
        </w:rPr>
        <w:t xml:space="preserve"> (HP</w:t>
      </w:r>
      <w:r w:rsidR="0087481D">
        <w:rPr>
          <w:lang w:val="en-GB"/>
        </w:rPr>
        <w:t>4</w:t>
      </w:r>
      <w:r w:rsidR="00B41B1E">
        <w:rPr>
          <w:lang w:val="en-GB"/>
        </w:rPr>
        <w:t>)</w:t>
      </w:r>
      <w:r w:rsidR="00A70C8E">
        <w:rPr>
          <w:lang w:val="en-GB"/>
        </w:rPr>
        <w:t>. On 29 May 2018</w:t>
      </w:r>
      <w:r w:rsidR="00B41B1E">
        <w:rPr>
          <w:lang w:val="en-GB"/>
        </w:rPr>
        <w:t>,</w:t>
      </w:r>
      <w:r w:rsidR="00A70C8E">
        <w:rPr>
          <w:lang w:val="en-GB"/>
        </w:rPr>
        <w:t xml:space="preserve"> all plots except the Mix-early plots were sprayed</w:t>
      </w:r>
      <w:r w:rsidR="00905DB0">
        <w:rPr>
          <w:lang w:val="en-GB"/>
        </w:rPr>
        <w:t xml:space="preserve"> (</w:t>
      </w:r>
      <w:r w:rsidR="00B41B1E">
        <w:rPr>
          <w:lang w:val="en-GB"/>
        </w:rPr>
        <w:t>HP</w:t>
      </w:r>
      <w:r w:rsidR="0087481D">
        <w:rPr>
          <w:lang w:val="en-GB"/>
        </w:rPr>
        <w:t>5</w:t>
      </w:r>
      <w:r w:rsidR="00905DB0">
        <w:rPr>
          <w:lang w:val="en-GB"/>
        </w:rPr>
        <w:t>)</w:t>
      </w:r>
      <w:r w:rsidR="00B41B1E">
        <w:rPr>
          <w:lang w:val="en-GB"/>
        </w:rPr>
        <w:t xml:space="preserve"> </w:t>
      </w:r>
      <w:r w:rsidR="00A70C8E">
        <w:rPr>
          <w:lang w:val="en-GB"/>
        </w:rPr>
        <w:t>to control Canada thistle (</w:t>
      </w:r>
      <w:r w:rsidR="00A70C8E" w:rsidRPr="000E7519">
        <w:rPr>
          <w:i/>
          <w:iCs/>
          <w:lang w:val="en-GB"/>
        </w:rPr>
        <w:t>Cirsium arvense</w:t>
      </w:r>
      <w:r w:rsidR="00A70C8E">
        <w:rPr>
          <w:lang w:val="en-GB"/>
        </w:rPr>
        <w:t>)</w:t>
      </w:r>
      <w:r w:rsidR="00B41B1E">
        <w:rPr>
          <w:lang w:val="en-GB"/>
        </w:rPr>
        <w:t>.</w:t>
      </w:r>
      <w:r w:rsidR="00A70C8E">
        <w:rPr>
          <w:lang w:val="en-GB"/>
        </w:rPr>
        <w:t xml:space="preserve"> In 2019 (spring oat), on 14 May </w:t>
      </w:r>
      <w:r w:rsidR="00905DB0">
        <w:rPr>
          <w:lang w:val="en-GB"/>
        </w:rPr>
        <w:t>the Mix-early plots were again sprayed with the same herbicide package used in 2018 (HP</w:t>
      </w:r>
      <w:r w:rsidR="0087481D">
        <w:rPr>
          <w:lang w:val="en-GB"/>
        </w:rPr>
        <w:t>3</w:t>
      </w:r>
      <w:r w:rsidR="00905DB0">
        <w:rPr>
          <w:lang w:val="en-GB"/>
        </w:rPr>
        <w:t>) while all other plots were sprayed with a different package (HP</w:t>
      </w:r>
      <w:r w:rsidR="0087481D">
        <w:rPr>
          <w:lang w:val="en-GB"/>
        </w:rPr>
        <w:t>6</w:t>
      </w:r>
      <w:r w:rsidR="00905DB0">
        <w:rPr>
          <w:lang w:val="en-GB"/>
        </w:rPr>
        <w:t>)</w:t>
      </w:r>
      <w:r w:rsidR="00AD5622">
        <w:rPr>
          <w:lang w:val="en-GB"/>
        </w:rPr>
        <w:t xml:space="preserve"> </w:t>
      </w:r>
      <w:commentRangeStart w:id="9"/>
      <w:r w:rsidR="00AD5622" w:rsidRPr="00F65982">
        <w:rPr>
          <w:color w:val="FF0000"/>
          <w:lang w:val="en-GB"/>
        </w:rPr>
        <w:t>to….</w:t>
      </w:r>
      <w:commentRangeEnd w:id="9"/>
      <w:r w:rsidR="00AD5622" w:rsidRPr="00F65982">
        <w:rPr>
          <w:rStyle w:val="CommentReference"/>
          <w:color w:val="FF0000"/>
        </w:rPr>
        <w:commentReference w:id="9"/>
      </w:r>
      <w:r w:rsidR="00905DB0" w:rsidRPr="00F65982">
        <w:rPr>
          <w:color w:val="FF0000"/>
          <w:lang w:val="en-GB"/>
        </w:rPr>
        <w:t xml:space="preserve">. </w:t>
      </w:r>
      <w:bookmarkStart w:id="10" w:name="_Hlk190689276"/>
      <w:r w:rsidR="007D1D13">
        <w:rPr>
          <w:lang w:val="en-GB"/>
        </w:rPr>
        <w:t xml:space="preserve">Following </w:t>
      </w:r>
      <w:r w:rsidR="00A70C8E">
        <w:rPr>
          <w:lang w:val="en-GB"/>
        </w:rPr>
        <w:t xml:space="preserve">faba bean </w:t>
      </w:r>
      <w:r w:rsidR="007D1D13">
        <w:rPr>
          <w:lang w:val="en-GB"/>
        </w:rPr>
        <w:t>planting</w:t>
      </w:r>
      <w:r w:rsidR="000E21EA">
        <w:rPr>
          <w:lang w:val="en-GB"/>
        </w:rPr>
        <w:t xml:space="preserve"> in 2020</w:t>
      </w:r>
      <w:r w:rsidR="007D1D13">
        <w:rPr>
          <w:lang w:val="en-GB"/>
        </w:rPr>
        <w:t xml:space="preserve">, all </w:t>
      </w:r>
      <w:r w:rsidR="00A70C8E">
        <w:rPr>
          <w:lang w:val="en-GB"/>
        </w:rPr>
        <w:t xml:space="preserve">plots were sprayed </w:t>
      </w:r>
      <w:r w:rsidR="000E21EA">
        <w:rPr>
          <w:lang w:val="en-GB"/>
        </w:rPr>
        <w:t xml:space="preserve">with HP7 </w:t>
      </w:r>
      <w:r w:rsidR="00A70C8E">
        <w:rPr>
          <w:lang w:val="en-GB"/>
        </w:rPr>
        <w:t xml:space="preserve">on 6 May 2020 and again on 20 May 2020. On 2 June 2020, </w:t>
      </w:r>
      <w:r w:rsidR="000E21EA">
        <w:rPr>
          <w:lang w:val="en-GB"/>
        </w:rPr>
        <w:t xml:space="preserve">all plots were sprayed (HP8) to control </w:t>
      </w:r>
      <w:r w:rsidR="00A70C8E">
        <w:rPr>
          <w:lang w:val="en-GB"/>
        </w:rPr>
        <w:t>wild oat (</w:t>
      </w:r>
      <w:r w:rsidR="00A70C8E" w:rsidRPr="00954488">
        <w:rPr>
          <w:i/>
          <w:iCs/>
          <w:lang w:val="en-GB"/>
        </w:rPr>
        <w:t>Avena fatua</w:t>
      </w:r>
      <w:r w:rsidR="00A70C8E">
        <w:rPr>
          <w:lang w:val="en-GB"/>
        </w:rPr>
        <w:t>)</w:t>
      </w:r>
      <w:r w:rsidR="000E21EA">
        <w:rPr>
          <w:lang w:val="en-GB"/>
        </w:rPr>
        <w:t>.</w:t>
      </w:r>
      <w:r w:rsidR="00A70C8E">
        <w:rPr>
          <w:lang w:val="en-GB"/>
        </w:rPr>
        <w:t xml:space="preserve"> </w:t>
      </w:r>
      <w:bookmarkEnd w:id="10"/>
      <w:r w:rsidR="00A70C8E">
        <w:rPr>
          <w:lang w:val="en-GB"/>
        </w:rPr>
        <w:t>All plots were managed identically for diseases and insect pests according to Danish standard recommendations and policies.</w:t>
      </w:r>
      <w:r w:rsidR="00E3737B">
        <w:rPr>
          <w:lang w:val="en-GB"/>
        </w:rPr>
        <w:t xml:space="preserve"> </w:t>
      </w:r>
      <w:r w:rsidR="00E3737B">
        <w:rPr>
          <w:lang w:val="en-US"/>
        </w:rPr>
        <w:t xml:space="preserve">Herbicide use data was translated into potential toxicity loads to society using the Danish Pesticide Load Indicator (PLI; </w:t>
      </w:r>
      <w:r w:rsidR="00E3737B">
        <w:rPr>
          <w:lang w:val="en-US"/>
        </w:rPr>
        <w:fldChar w:fldCharType="begin"/>
      </w:r>
      <w:r w:rsidR="00E3737B">
        <w:rPr>
          <w:lang w:val="en-US"/>
        </w:rPr>
        <w:instrText xml:space="preserve"> ADDIN ZOTERO_ITEM CSL_CITATION {"citationID":"M6Rsp5BQ","properties":{"formattedCitation":"(Kudsk et al., 2018)","plainCitation":"(Kudsk et al., 2018)","noteIndex":0},"citationItems":[{"id":49,"uris":["http://zotero.org/users/3599437/items/NAVLB2GA"],"itemData":{"id":49,"type":"article-journal","abstract":"Pesticides provide growers with an effective tool for the control of damaging crop pests preventing yield losses that could jeopardise food security. In recent years the potentially adverse effects of their use on human health and the environment has received increasing attention by the public and the competent authorities. In this context reliable pesticide risk indicators are pivotal to assess the potential risk associated with the use of pesticide. Several pesticide risk indicators, serving various purposes, have been developed over the years. Recently, a new pesticide risk indicator, the Pesticide Load (PL), was introduced in Denmark. The PL has replaced the Treatment Frequency Index (TFI) as the official pesticide risk indicator. The PL consists of three sub-indicators for human health, ecotoxicology and environmental fate, respectively. For each of the three sub-indicators a pesticide load (PL) is calculated and expressed as the PL per unit commercial product (kg, L or tablet). PL for human health (PLHH) is based on the risk phrases on the product label, while PL for ecotoxicology (PLECO) is calculated on basis of the LC/LD/EC50 values of the active ingredients for acute toxicity to mammals, birds, fish, daphnia, algae, aquatic plants, earthworms and bees and NOEC values for chronic toxicity to fish, daphnia and earthworms. PL for environmental fate (PLFATE) is calculated on basis of the half-life in soil (DT50), the bioaccumulation factor (BCF) and the SCI-GROW index. PL does not consider the actual exposure, i.e. it reflects the relative risks associated with the use of pesticides. Besides using PL for monitoring the yearly trend in pesticide use and load, the PL was also used for setting up a new pesticide tax scheme and for setting quantitative reduction targets. In Denmark, it is now compulsory for farmers to upload their pesticide use data, i.e. the annual pesticide statistics and the calculation of the PL can be produced on basis of pesticide use data rather than sales data that may not reflect the actual use by farmers. Because pesticide use data is available for each farm, maps providing detailed information on pesticide use in different regions can be produced. From 2010/11 to 2013/14 only minor differences were observed in the PL and, overall, similar trends were observed for the PL and TFI. Significant geographical differences, which could be attributed to differences in crop rotations, were apparent when estimating PL for each of the four major groups of pesticides (herbicides, fungicides, insecticides and plant growth regulators). The maps produced from the pesticide use data revealed significant variation in PL for ecotoxicological effects on aqueous organisms and bees as well as environmental parameters such as leaching potential. It is suggested to use the maps to identify ‘hot spots’ and design monitoring programmes or to launch initiatives that can reduce the PL. By linking information on mode of action to each commercial pesticide product it was also possible to obtain detailed information on the use pattern of the various pesticide modes of action, which is relevant information assessing the risk of evolution of pesticide resistance.","container-title":"Land Use Policy","DOI":"10.1016/j.landusepol.2017.11.010","ISSN":"0264-8377","journalAbbreviation":"Land Use Policy","language":"en","page":"384-393","source":"ScienceDirect","title":"Pesticide Load—A new Danish pesticide risk indicator with multiple applications","volume":"70","author":[{"family":"Kudsk","given":"Per"},{"family":"Jørgensen","given":"Lise Nistrup"},{"family":"Ørum","given":"Jens Erik"}],"issued":{"date-parts":[["2018",1,1]]}}}],"schema":"https://github.com/citation-style-language/schema/raw/master/csl-citation.json"} </w:instrText>
      </w:r>
      <w:r w:rsidR="00E3737B">
        <w:rPr>
          <w:lang w:val="en-US"/>
        </w:rPr>
        <w:fldChar w:fldCharType="separate"/>
      </w:r>
      <w:r w:rsidR="00E3737B" w:rsidRPr="00E3737B">
        <w:rPr>
          <w:rFonts w:ascii="Aptos" w:hAnsi="Aptos"/>
          <w:lang w:val="en-US"/>
        </w:rPr>
        <w:t>(Kudsk et al., 2018)</w:t>
      </w:r>
      <w:r w:rsidR="00E3737B">
        <w:rPr>
          <w:lang w:val="en-US"/>
        </w:rPr>
        <w:fldChar w:fldCharType="end"/>
      </w:r>
      <w:r w:rsidR="00E3737B">
        <w:rPr>
          <w:lang w:val="en-US"/>
        </w:rPr>
        <w:t>).</w:t>
      </w:r>
    </w:p>
    <w:p w14:paraId="5A3124A0" w14:textId="77777777" w:rsidR="00F65982" w:rsidRDefault="00F65982" w:rsidP="00F65982">
      <w:pPr>
        <w:rPr>
          <w:lang w:val="en-GB"/>
        </w:rPr>
      </w:pPr>
      <w:r>
        <w:rPr>
          <w:lang w:val="en-GB"/>
        </w:rPr>
        <w:lastRenderedPageBreak/>
        <w:t>Supplemental table 1. Product and active ingredients in each herbicide package applied.</w:t>
      </w:r>
    </w:p>
    <w:tbl>
      <w:tblPr>
        <w:tblStyle w:val="TableGrid"/>
        <w:tblW w:w="0" w:type="auto"/>
        <w:tblLook w:val="04A0" w:firstRow="1" w:lastRow="0" w:firstColumn="1" w:lastColumn="0" w:noHBand="0" w:noVBand="1"/>
      </w:tblPr>
      <w:tblGrid>
        <w:gridCol w:w="1199"/>
        <w:gridCol w:w="2263"/>
        <w:gridCol w:w="3128"/>
        <w:gridCol w:w="2426"/>
      </w:tblGrid>
      <w:tr w:rsidR="00352C6F" w:rsidRPr="00352C6F" w14:paraId="35337907" w14:textId="75099706" w:rsidTr="00352C6F">
        <w:tc>
          <w:tcPr>
            <w:tcW w:w="1199" w:type="dxa"/>
          </w:tcPr>
          <w:p w14:paraId="2A56F2E8" w14:textId="77777777" w:rsidR="00352C6F" w:rsidRPr="00782730" w:rsidRDefault="00352C6F">
            <w:pPr>
              <w:rPr>
                <w:b/>
                <w:bCs/>
                <w:lang w:val="en-GB"/>
              </w:rPr>
            </w:pPr>
            <w:r w:rsidRPr="00782730">
              <w:rPr>
                <w:b/>
                <w:bCs/>
                <w:lang w:val="en-GB"/>
              </w:rPr>
              <w:t>Herbicide Package (HP)</w:t>
            </w:r>
          </w:p>
        </w:tc>
        <w:tc>
          <w:tcPr>
            <w:tcW w:w="2263" w:type="dxa"/>
          </w:tcPr>
          <w:p w14:paraId="64B16D85" w14:textId="77777777" w:rsidR="00352C6F" w:rsidRPr="00782730" w:rsidRDefault="00352C6F">
            <w:pPr>
              <w:rPr>
                <w:b/>
                <w:bCs/>
                <w:lang w:val="en-GB"/>
              </w:rPr>
            </w:pPr>
            <w:r w:rsidRPr="00782730">
              <w:rPr>
                <w:b/>
                <w:bCs/>
                <w:lang w:val="en-GB"/>
              </w:rPr>
              <w:t>Product name and application amount</w:t>
            </w:r>
          </w:p>
        </w:tc>
        <w:tc>
          <w:tcPr>
            <w:tcW w:w="3128" w:type="dxa"/>
          </w:tcPr>
          <w:p w14:paraId="05C36CD9" w14:textId="77777777" w:rsidR="00352C6F" w:rsidRPr="00782730" w:rsidRDefault="00352C6F">
            <w:pPr>
              <w:rPr>
                <w:b/>
                <w:bCs/>
                <w:lang w:val="en-GB"/>
              </w:rPr>
            </w:pPr>
            <w:r w:rsidRPr="00782730">
              <w:rPr>
                <w:b/>
                <w:bCs/>
                <w:lang w:val="en-GB"/>
              </w:rPr>
              <w:t>Active ingredient name, CAS identification number, and application amount</w:t>
            </w:r>
          </w:p>
        </w:tc>
        <w:tc>
          <w:tcPr>
            <w:tcW w:w="2426" w:type="dxa"/>
          </w:tcPr>
          <w:p w14:paraId="0BF3AEE1" w14:textId="7C7876E6" w:rsidR="00352C6F" w:rsidRPr="00623FE4" w:rsidRDefault="00352C6F">
            <w:pPr>
              <w:rPr>
                <w:b/>
                <w:bCs/>
                <w:lang w:val="en-US"/>
              </w:rPr>
            </w:pPr>
            <w:r>
              <w:rPr>
                <w:b/>
                <w:bCs/>
                <w:lang w:val="en-GB"/>
              </w:rPr>
              <w:t>Pesticide Load Indice</w:t>
            </w:r>
          </w:p>
        </w:tc>
      </w:tr>
      <w:tr w:rsidR="00352C6F" w14:paraId="7E170C70" w14:textId="1E889E38" w:rsidTr="00352C6F">
        <w:tc>
          <w:tcPr>
            <w:tcW w:w="1199" w:type="dxa"/>
          </w:tcPr>
          <w:p w14:paraId="12B6E43A" w14:textId="77777777" w:rsidR="00352C6F" w:rsidRDefault="00352C6F">
            <w:pPr>
              <w:rPr>
                <w:lang w:val="en-GB"/>
              </w:rPr>
            </w:pPr>
            <w:r>
              <w:rPr>
                <w:lang w:val="en-GB"/>
              </w:rPr>
              <w:t>HP1</w:t>
            </w:r>
          </w:p>
        </w:tc>
        <w:tc>
          <w:tcPr>
            <w:tcW w:w="2263" w:type="dxa"/>
          </w:tcPr>
          <w:p w14:paraId="0D5E4104" w14:textId="77777777" w:rsidR="00352C6F" w:rsidRDefault="00352C6F">
            <w:pPr>
              <w:rPr>
                <w:lang w:val="en-GB"/>
              </w:rPr>
            </w:pPr>
            <w:r>
              <w:rPr>
                <w:lang w:val="en-GB"/>
              </w:rPr>
              <w:t xml:space="preserve">2.1 L ha-1 Roundup Flex XXL </w:t>
            </w:r>
          </w:p>
        </w:tc>
        <w:tc>
          <w:tcPr>
            <w:tcW w:w="3128" w:type="dxa"/>
          </w:tcPr>
          <w:p w14:paraId="73F0F5EA" w14:textId="77777777" w:rsidR="00352C6F" w:rsidRDefault="00352C6F">
            <w:pPr>
              <w:rPr>
                <w:lang w:val="en-GB"/>
              </w:rPr>
            </w:pPr>
            <w:r>
              <w:rPr>
                <w:lang w:val="en-GB"/>
              </w:rPr>
              <w:t xml:space="preserve">1000 g ha-1 glyphosate; CAS </w:t>
            </w:r>
            <w:r w:rsidRPr="00EF514A">
              <w:rPr>
                <w:lang w:val="en-US"/>
              </w:rPr>
              <w:t>1071-83-6</w:t>
            </w:r>
          </w:p>
        </w:tc>
        <w:tc>
          <w:tcPr>
            <w:tcW w:w="2426" w:type="dxa"/>
          </w:tcPr>
          <w:p w14:paraId="7A2A91D2" w14:textId="77777777" w:rsidR="00352C6F" w:rsidRDefault="00352C6F">
            <w:pPr>
              <w:rPr>
                <w:lang w:val="en-GB"/>
              </w:rPr>
            </w:pPr>
          </w:p>
        </w:tc>
      </w:tr>
      <w:tr w:rsidR="00352C6F" w14:paraId="41BC29AB" w14:textId="4E29306E" w:rsidTr="00352C6F">
        <w:tc>
          <w:tcPr>
            <w:tcW w:w="1199" w:type="dxa"/>
          </w:tcPr>
          <w:p w14:paraId="55451D65" w14:textId="77777777" w:rsidR="00352C6F" w:rsidRDefault="00352C6F">
            <w:pPr>
              <w:rPr>
                <w:lang w:val="en-GB"/>
              </w:rPr>
            </w:pPr>
            <w:r>
              <w:rPr>
                <w:lang w:val="en-GB"/>
              </w:rPr>
              <w:t>HP2</w:t>
            </w:r>
          </w:p>
        </w:tc>
        <w:tc>
          <w:tcPr>
            <w:tcW w:w="2263" w:type="dxa"/>
          </w:tcPr>
          <w:p w14:paraId="57859D82" w14:textId="77777777" w:rsidR="00352C6F" w:rsidRDefault="00352C6F">
            <w:pPr>
              <w:rPr>
                <w:lang w:val="en-GB"/>
              </w:rPr>
            </w:pPr>
            <w:r>
              <w:rPr>
                <w:lang w:val="en-GB"/>
              </w:rPr>
              <w:t xml:space="preserve">2.5 L ha-1 Roundup Flex XXL </w:t>
            </w:r>
          </w:p>
        </w:tc>
        <w:tc>
          <w:tcPr>
            <w:tcW w:w="3128" w:type="dxa"/>
          </w:tcPr>
          <w:p w14:paraId="3BF85AB2" w14:textId="77777777" w:rsidR="00352C6F" w:rsidRDefault="00352C6F">
            <w:pPr>
              <w:rPr>
                <w:lang w:val="en-GB"/>
              </w:rPr>
            </w:pPr>
            <w:r>
              <w:rPr>
                <w:lang w:val="en-GB"/>
              </w:rPr>
              <w:t xml:space="preserve">1200 g ha-1 glyphosate; CAS </w:t>
            </w:r>
            <w:r w:rsidRPr="00EF514A">
              <w:rPr>
                <w:lang w:val="en-US"/>
              </w:rPr>
              <w:t>1071-83-6</w:t>
            </w:r>
          </w:p>
        </w:tc>
        <w:tc>
          <w:tcPr>
            <w:tcW w:w="2426" w:type="dxa"/>
          </w:tcPr>
          <w:p w14:paraId="1D33D1A4" w14:textId="77777777" w:rsidR="00352C6F" w:rsidRDefault="00352C6F">
            <w:pPr>
              <w:rPr>
                <w:lang w:val="en-GB"/>
              </w:rPr>
            </w:pPr>
          </w:p>
        </w:tc>
      </w:tr>
      <w:tr w:rsidR="00352C6F" w:rsidRPr="00863080" w14:paraId="4DF3C3F4" w14:textId="67FE46B5" w:rsidTr="00352C6F">
        <w:tc>
          <w:tcPr>
            <w:tcW w:w="1199" w:type="dxa"/>
          </w:tcPr>
          <w:p w14:paraId="6A975824" w14:textId="77777777" w:rsidR="00352C6F" w:rsidRDefault="00352C6F">
            <w:pPr>
              <w:rPr>
                <w:lang w:val="en-GB"/>
              </w:rPr>
            </w:pPr>
            <w:r>
              <w:rPr>
                <w:lang w:val="en-GB"/>
              </w:rPr>
              <w:t>HP3</w:t>
            </w:r>
          </w:p>
        </w:tc>
        <w:tc>
          <w:tcPr>
            <w:tcW w:w="2263" w:type="dxa"/>
          </w:tcPr>
          <w:p w14:paraId="4B1D40CF" w14:textId="77777777" w:rsidR="00352C6F" w:rsidRDefault="00352C6F">
            <w:pPr>
              <w:rPr>
                <w:lang w:val="en-GB"/>
              </w:rPr>
            </w:pPr>
            <w:r>
              <w:rPr>
                <w:lang w:val="en-GB"/>
              </w:rPr>
              <w:t xml:space="preserve">12 g </w:t>
            </w:r>
            <w:r w:rsidRPr="00964670">
              <w:rPr>
                <w:lang w:val="en-GB"/>
              </w:rPr>
              <w:t>ha</w:t>
            </w:r>
            <w:r w:rsidRPr="00964670">
              <w:rPr>
                <w:vertAlign w:val="superscript"/>
                <w:lang w:val="en-GB"/>
              </w:rPr>
              <w:t xml:space="preserve">-1 </w:t>
            </w:r>
            <w:r>
              <w:rPr>
                <w:lang w:val="en-GB"/>
              </w:rPr>
              <w:t xml:space="preserve">Harmony SX + </w:t>
            </w:r>
          </w:p>
        </w:tc>
        <w:tc>
          <w:tcPr>
            <w:tcW w:w="3128" w:type="dxa"/>
          </w:tcPr>
          <w:p w14:paraId="3C4C15F9" w14:textId="77777777" w:rsidR="00352C6F" w:rsidRDefault="00352C6F">
            <w:pPr>
              <w:rPr>
                <w:lang w:val="en-GB"/>
              </w:rPr>
            </w:pPr>
            <w:r>
              <w:rPr>
                <w:lang w:val="en-GB"/>
              </w:rPr>
              <w:t xml:space="preserve">6 g ha-1 thifensulfuron-methyl; CAS </w:t>
            </w:r>
            <w:r w:rsidRPr="00F71074">
              <w:rPr>
                <w:lang w:val="en-US"/>
              </w:rPr>
              <w:t>79277-27-3</w:t>
            </w:r>
          </w:p>
        </w:tc>
        <w:tc>
          <w:tcPr>
            <w:tcW w:w="2426" w:type="dxa"/>
          </w:tcPr>
          <w:p w14:paraId="20EB8E8F" w14:textId="77777777" w:rsidR="00352C6F" w:rsidRDefault="00352C6F">
            <w:pPr>
              <w:rPr>
                <w:lang w:val="en-GB"/>
              </w:rPr>
            </w:pPr>
          </w:p>
        </w:tc>
      </w:tr>
      <w:tr w:rsidR="00352C6F" w14:paraId="011669BD" w14:textId="07C8C0A5" w:rsidTr="00352C6F">
        <w:tc>
          <w:tcPr>
            <w:tcW w:w="1199" w:type="dxa"/>
          </w:tcPr>
          <w:p w14:paraId="1BB140F5" w14:textId="77777777" w:rsidR="00352C6F" w:rsidRDefault="00352C6F">
            <w:pPr>
              <w:rPr>
                <w:lang w:val="en-GB"/>
              </w:rPr>
            </w:pPr>
          </w:p>
        </w:tc>
        <w:tc>
          <w:tcPr>
            <w:tcW w:w="2263" w:type="dxa"/>
          </w:tcPr>
          <w:p w14:paraId="7A15BE42" w14:textId="77777777" w:rsidR="00352C6F" w:rsidRDefault="00352C6F">
            <w:pPr>
              <w:rPr>
                <w:lang w:val="en-GB"/>
              </w:rPr>
            </w:pPr>
            <w:r>
              <w:rPr>
                <w:lang w:val="en-GB"/>
              </w:rPr>
              <w:t>0.15 L ha-1 Agropol (a surfactant)</w:t>
            </w:r>
          </w:p>
        </w:tc>
        <w:tc>
          <w:tcPr>
            <w:tcW w:w="3128" w:type="dxa"/>
          </w:tcPr>
          <w:p w14:paraId="2F30E037" w14:textId="77777777" w:rsidR="00352C6F" w:rsidRDefault="00352C6F">
            <w:pPr>
              <w:rPr>
                <w:lang w:val="en-GB"/>
              </w:rPr>
            </w:pPr>
            <w:r>
              <w:rPr>
                <w:lang w:val="en-GB"/>
              </w:rPr>
              <w:t xml:space="preserve">- </w:t>
            </w:r>
          </w:p>
        </w:tc>
        <w:tc>
          <w:tcPr>
            <w:tcW w:w="2426" w:type="dxa"/>
          </w:tcPr>
          <w:p w14:paraId="3B93325D" w14:textId="77777777" w:rsidR="00352C6F" w:rsidRDefault="00352C6F">
            <w:pPr>
              <w:rPr>
                <w:lang w:val="en-GB"/>
              </w:rPr>
            </w:pPr>
          </w:p>
        </w:tc>
      </w:tr>
      <w:tr w:rsidR="00352C6F" w14:paraId="44BB41FC" w14:textId="18FFEB03" w:rsidTr="00352C6F">
        <w:tc>
          <w:tcPr>
            <w:tcW w:w="1199" w:type="dxa"/>
          </w:tcPr>
          <w:p w14:paraId="53E31D46" w14:textId="77777777" w:rsidR="00352C6F" w:rsidRDefault="00352C6F">
            <w:pPr>
              <w:rPr>
                <w:lang w:val="en-GB"/>
              </w:rPr>
            </w:pPr>
            <w:r>
              <w:rPr>
                <w:lang w:val="en-GB"/>
              </w:rPr>
              <w:t>HP4</w:t>
            </w:r>
          </w:p>
        </w:tc>
        <w:tc>
          <w:tcPr>
            <w:tcW w:w="2263" w:type="dxa"/>
          </w:tcPr>
          <w:p w14:paraId="4AE6E750" w14:textId="77777777" w:rsidR="00352C6F" w:rsidRDefault="00352C6F">
            <w:pPr>
              <w:rPr>
                <w:lang w:val="en-GB"/>
              </w:rPr>
            </w:pPr>
            <w:r>
              <w:rPr>
                <w:lang w:val="en-GB"/>
              </w:rPr>
              <w:t>0.25 L ha</w:t>
            </w:r>
            <w:r w:rsidRPr="002D6E0C">
              <w:rPr>
                <w:vertAlign w:val="superscript"/>
                <w:lang w:val="en-GB"/>
              </w:rPr>
              <w:t>-1</w:t>
            </w:r>
            <w:r>
              <w:rPr>
                <w:lang w:val="en-GB"/>
              </w:rPr>
              <w:t xml:space="preserve"> Starane 333 HL plus </w:t>
            </w:r>
          </w:p>
        </w:tc>
        <w:tc>
          <w:tcPr>
            <w:tcW w:w="3128" w:type="dxa"/>
          </w:tcPr>
          <w:p w14:paraId="1744C80C" w14:textId="77777777" w:rsidR="00352C6F" w:rsidRDefault="00352C6F">
            <w:pPr>
              <w:rPr>
                <w:lang w:val="en-GB"/>
              </w:rPr>
            </w:pPr>
            <w:r>
              <w:rPr>
                <w:lang w:val="en-GB"/>
              </w:rPr>
              <w:t xml:space="preserve">83 g ha-1 fluroxypyr (CAS </w:t>
            </w:r>
            <w:r w:rsidRPr="001114A3">
              <w:rPr>
                <w:lang w:val="en-US"/>
              </w:rPr>
              <w:t>69377-81-7</w:t>
            </w:r>
            <w:r>
              <w:rPr>
                <w:lang w:val="en-US"/>
              </w:rPr>
              <w:t>)</w:t>
            </w:r>
          </w:p>
        </w:tc>
        <w:tc>
          <w:tcPr>
            <w:tcW w:w="2426" w:type="dxa"/>
          </w:tcPr>
          <w:p w14:paraId="2CE781AC" w14:textId="77777777" w:rsidR="00352C6F" w:rsidRDefault="00352C6F">
            <w:pPr>
              <w:rPr>
                <w:lang w:val="en-GB"/>
              </w:rPr>
            </w:pPr>
          </w:p>
        </w:tc>
      </w:tr>
      <w:tr w:rsidR="00352C6F" w:rsidRPr="00863080" w14:paraId="092C8A31" w14:textId="48666413" w:rsidTr="00352C6F">
        <w:tc>
          <w:tcPr>
            <w:tcW w:w="1199" w:type="dxa"/>
          </w:tcPr>
          <w:p w14:paraId="5EDF4147" w14:textId="77777777" w:rsidR="00352C6F" w:rsidRDefault="00352C6F">
            <w:pPr>
              <w:rPr>
                <w:lang w:val="en-GB"/>
              </w:rPr>
            </w:pPr>
          </w:p>
        </w:tc>
        <w:tc>
          <w:tcPr>
            <w:tcW w:w="2263" w:type="dxa"/>
          </w:tcPr>
          <w:p w14:paraId="35D82DBD" w14:textId="77777777" w:rsidR="00352C6F" w:rsidRDefault="00352C6F">
            <w:pPr>
              <w:rPr>
                <w:lang w:val="en-GB"/>
              </w:rPr>
            </w:pPr>
            <w:r>
              <w:rPr>
                <w:lang w:val="en-GB"/>
              </w:rPr>
              <w:t>0.03 L ha</w:t>
            </w:r>
            <w:r w:rsidRPr="00232073">
              <w:rPr>
                <w:vertAlign w:val="superscript"/>
                <w:lang w:val="en-GB"/>
              </w:rPr>
              <w:t>-1</w:t>
            </w:r>
            <w:r>
              <w:rPr>
                <w:lang w:val="en-GB"/>
              </w:rPr>
              <w:t xml:space="preserve"> Hussar OD </w:t>
            </w:r>
          </w:p>
        </w:tc>
        <w:tc>
          <w:tcPr>
            <w:tcW w:w="3128" w:type="dxa"/>
          </w:tcPr>
          <w:p w14:paraId="415F898C" w14:textId="77777777" w:rsidR="00352C6F" w:rsidRDefault="00352C6F">
            <w:pPr>
              <w:rPr>
                <w:lang w:val="en-GB"/>
              </w:rPr>
            </w:pPr>
            <w:r>
              <w:rPr>
                <w:lang w:val="en-GB"/>
              </w:rPr>
              <w:t xml:space="preserve">3 g ha-1 mefenpyr-diethyl (CAS </w:t>
            </w:r>
            <w:r w:rsidRPr="00964670">
              <w:rPr>
                <w:lang w:val="en-US"/>
              </w:rPr>
              <w:t>135590-91-9</w:t>
            </w:r>
            <w:r>
              <w:rPr>
                <w:lang w:val="en-US"/>
              </w:rPr>
              <w:t>) and 1 g ha-1</w:t>
            </w:r>
            <w:r w:rsidRPr="00964670">
              <w:rPr>
                <w:lang w:val="en-US"/>
              </w:rPr>
              <w:t xml:space="preserve"> </w:t>
            </w:r>
            <w:r>
              <w:rPr>
                <w:lang w:val="en-GB"/>
              </w:rPr>
              <w:t xml:space="preserve">iodosulfuron-methyl-Na (CAS </w:t>
            </w:r>
            <w:r w:rsidRPr="00964670">
              <w:rPr>
                <w:lang w:val="en-US"/>
              </w:rPr>
              <w:t>144550-36-7</w:t>
            </w:r>
            <w:r>
              <w:rPr>
                <w:lang w:val="en-US"/>
              </w:rPr>
              <w:t>)</w:t>
            </w:r>
          </w:p>
        </w:tc>
        <w:tc>
          <w:tcPr>
            <w:tcW w:w="2426" w:type="dxa"/>
          </w:tcPr>
          <w:p w14:paraId="1B19F669" w14:textId="77777777" w:rsidR="00352C6F" w:rsidRDefault="00352C6F">
            <w:pPr>
              <w:rPr>
                <w:lang w:val="en-GB"/>
              </w:rPr>
            </w:pPr>
          </w:p>
        </w:tc>
      </w:tr>
      <w:tr w:rsidR="00352C6F" w14:paraId="0B66A988" w14:textId="4E0ED4E3" w:rsidTr="00352C6F">
        <w:tc>
          <w:tcPr>
            <w:tcW w:w="1199" w:type="dxa"/>
          </w:tcPr>
          <w:p w14:paraId="0CBE3479" w14:textId="77777777" w:rsidR="00352C6F" w:rsidRDefault="00352C6F">
            <w:pPr>
              <w:rPr>
                <w:lang w:val="en-GB"/>
              </w:rPr>
            </w:pPr>
          </w:p>
        </w:tc>
        <w:tc>
          <w:tcPr>
            <w:tcW w:w="2263" w:type="dxa"/>
          </w:tcPr>
          <w:p w14:paraId="77EFC20C" w14:textId="77777777" w:rsidR="00352C6F" w:rsidRDefault="00352C6F">
            <w:pPr>
              <w:rPr>
                <w:lang w:val="en-GB"/>
              </w:rPr>
            </w:pPr>
            <w:r>
              <w:rPr>
                <w:lang w:val="en-GB"/>
              </w:rPr>
              <w:t>0.5 L ha-1 Renol (a penetrating oil)</w:t>
            </w:r>
          </w:p>
        </w:tc>
        <w:tc>
          <w:tcPr>
            <w:tcW w:w="3128" w:type="dxa"/>
          </w:tcPr>
          <w:p w14:paraId="43F43A20" w14:textId="77777777" w:rsidR="00352C6F" w:rsidRDefault="00352C6F">
            <w:pPr>
              <w:rPr>
                <w:lang w:val="en-GB"/>
              </w:rPr>
            </w:pPr>
            <w:r>
              <w:rPr>
                <w:lang w:val="en-GB"/>
              </w:rPr>
              <w:t xml:space="preserve">- </w:t>
            </w:r>
          </w:p>
        </w:tc>
        <w:tc>
          <w:tcPr>
            <w:tcW w:w="2426" w:type="dxa"/>
          </w:tcPr>
          <w:p w14:paraId="2A09F1E4" w14:textId="77777777" w:rsidR="00352C6F" w:rsidRDefault="00352C6F">
            <w:pPr>
              <w:rPr>
                <w:lang w:val="en-GB"/>
              </w:rPr>
            </w:pPr>
          </w:p>
        </w:tc>
      </w:tr>
      <w:tr w:rsidR="00352C6F" w14:paraId="44875D16" w14:textId="5A91811B" w:rsidTr="00352C6F">
        <w:tc>
          <w:tcPr>
            <w:tcW w:w="1199" w:type="dxa"/>
          </w:tcPr>
          <w:p w14:paraId="7C8279F4" w14:textId="77777777" w:rsidR="00352C6F" w:rsidRDefault="00352C6F">
            <w:pPr>
              <w:rPr>
                <w:lang w:val="en-GB"/>
              </w:rPr>
            </w:pPr>
            <w:r>
              <w:rPr>
                <w:lang w:val="en-GB"/>
              </w:rPr>
              <w:t>HP5</w:t>
            </w:r>
          </w:p>
        </w:tc>
        <w:tc>
          <w:tcPr>
            <w:tcW w:w="2263" w:type="dxa"/>
          </w:tcPr>
          <w:p w14:paraId="348D84A5" w14:textId="77777777" w:rsidR="00352C6F" w:rsidRDefault="00352C6F">
            <w:pPr>
              <w:rPr>
                <w:lang w:val="en-GB"/>
              </w:rPr>
            </w:pPr>
            <w:r>
              <w:rPr>
                <w:lang w:val="en-GB"/>
              </w:rPr>
              <w:t>1 L ha</w:t>
            </w:r>
            <w:r w:rsidRPr="00A94A1F">
              <w:rPr>
                <w:vertAlign w:val="superscript"/>
                <w:lang w:val="en-GB"/>
              </w:rPr>
              <w:t>-1</w:t>
            </w:r>
            <w:r>
              <w:rPr>
                <w:vertAlign w:val="superscript"/>
                <w:lang w:val="en-GB"/>
              </w:rPr>
              <w:t xml:space="preserve"> </w:t>
            </w:r>
            <w:r>
              <w:rPr>
                <w:lang w:val="en-GB"/>
              </w:rPr>
              <w:t>Metaxone</w:t>
            </w:r>
          </w:p>
        </w:tc>
        <w:tc>
          <w:tcPr>
            <w:tcW w:w="3128" w:type="dxa"/>
          </w:tcPr>
          <w:p w14:paraId="34268349" w14:textId="77777777" w:rsidR="00352C6F" w:rsidRPr="00B41B1E" w:rsidRDefault="00352C6F">
            <w:pPr>
              <w:rPr>
                <w:lang w:val="en-US"/>
              </w:rPr>
            </w:pPr>
            <w:r>
              <w:rPr>
                <w:lang w:val="en-GB"/>
              </w:rPr>
              <w:t xml:space="preserve">750 g ha-1 MCPA (CAS </w:t>
            </w:r>
            <w:r w:rsidRPr="00B41B1E">
              <w:rPr>
                <w:lang w:val="en-US"/>
              </w:rPr>
              <w:t>94-74-6</w:t>
            </w:r>
            <w:r>
              <w:rPr>
                <w:lang w:val="en-US"/>
              </w:rPr>
              <w:t>)</w:t>
            </w:r>
          </w:p>
        </w:tc>
        <w:tc>
          <w:tcPr>
            <w:tcW w:w="2426" w:type="dxa"/>
          </w:tcPr>
          <w:p w14:paraId="1B12DB60" w14:textId="77777777" w:rsidR="00352C6F" w:rsidRDefault="00352C6F">
            <w:pPr>
              <w:rPr>
                <w:lang w:val="en-GB"/>
              </w:rPr>
            </w:pPr>
          </w:p>
        </w:tc>
      </w:tr>
      <w:tr w:rsidR="00352C6F" w14:paraId="0AB6DADA" w14:textId="3D76C14D" w:rsidTr="00352C6F">
        <w:tc>
          <w:tcPr>
            <w:tcW w:w="1199" w:type="dxa"/>
          </w:tcPr>
          <w:p w14:paraId="180AFF78" w14:textId="77777777" w:rsidR="00352C6F" w:rsidRDefault="00352C6F">
            <w:pPr>
              <w:rPr>
                <w:lang w:val="en-GB"/>
              </w:rPr>
            </w:pPr>
            <w:r>
              <w:rPr>
                <w:lang w:val="en-GB"/>
              </w:rPr>
              <w:t>HP6</w:t>
            </w:r>
          </w:p>
        </w:tc>
        <w:tc>
          <w:tcPr>
            <w:tcW w:w="2263" w:type="dxa"/>
          </w:tcPr>
          <w:p w14:paraId="78F75656" w14:textId="77777777" w:rsidR="00352C6F" w:rsidRDefault="00352C6F">
            <w:pPr>
              <w:rPr>
                <w:lang w:val="en-GB"/>
              </w:rPr>
            </w:pPr>
            <w:r>
              <w:rPr>
                <w:lang w:val="en-GB"/>
              </w:rPr>
              <w:t>0.5 L ha</w:t>
            </w:r>
            <w:r w:rsidRPr="00F605CE">
              <w:rPr>
                <w:vertAlign w:val="superscript"/>
                <w:lang w:val="en-GB"/>
              </w:rPr>
              <w:t>-1</w:t>
            </w:r>
            <w:r>
              <w:rPr>
                <w:lang w:val="en-GB"/>
              </w:rPr>
              <w:t xml:space="preserve"> Starane XL </w:t>
            </w:r>
          </w:p>
        </w:tc>
        <w:tc>
          <w:tcPr>
            <w:tcW w:w="3128" w:type="dxa"/>
          </w:tcPr>
          <w:p w14:paraId="43B826D7" w14:textId="77777777" w:rsidR="00352C6F" w:rsidRPr="0087481D" w:rsidRDefault="00352C6F">
            <w:pPr>
              <w:rPr>
                <w:lang w:val="en-US"/>
              </w:rPr>
            </w:pPr>
            <w:r>
              <w:rPr>
                <w:lang w:val="en-GB"/>
              </w:rPr>
              <w:t xml:space="preserve">90 g ha-1 Fluroxypyr (CAS </w:t>
            </w:r>
            <w:r w:rsidRPr="0087481D">
              <w:rPr>
                <w:lang w:val="en-US"/>
              </w:rPr>
              <w:t>69377-81-7</w:t>
            </w:r>
            <w:r>
              <w:rPr>
                <w:lang w:val="en-US"/>
              </w:rPr>
              <w:t>)</w:t>
            </w:r>
          </w:p>
        </w:tc>
        <w:tc>
          <w:tcPr>
            <w:tcW w:w="2426" w:type="dxa"/>
          </w:tcPr>
          <w:p w14:paraId="0FE26F22" w14:textId="77777777" w:rsidR="00352C6F" w:rsidRDefault="00352C6F">
            <w:pPr>
              <w:rPr>
                <w:lang w:val="en-GB"/>
              </w:rPr>
            </w:pPr>
          </w:p>
        </w:tc>
      </w:tr>
      <w:tr w:rsidR="00352C6F" w:rsidRPr="00863080" w14:paraId="58424C2D" w14:textId="7CCE1BC0" w:rsidTr="00352C6F">
        <w:tc>
          <w:tcPr>
            <w:tcW w:w="1199" w:type="dxa"/>
          </w:tcPr>
          <w:p w14:paraId="23F6A162" w14:textId="77777777" w:rsidR="00352C6F" w:rsidRDefault="00352C6F">
            <w:pPr>
              <w:rPr>
                <w:lang w:val="en-GB"/>
              </w:rPr>
            </w:pPr>
          </w:p>
        </w:tc>
        <w:tc>
          <w:tcPr>
            <w:tcW w:w="2263" w:type="dxa"/>
          </w:tcPr>
          <w:p w14:paraId="4799EB51" w14:textId="77777777" w:rsidR="00352C6F" w:rsidRDefault="00352C6F">
            <w:pPr>
              <w:rPr>
                <w:lang w:val="en-GB"/>
              </w:rPr>
            </w:pPr>
            <w:r>
              <w:rPr>
                <w:lang w:val="en-GB"/>
              </w:rPr>
              <w:t>10 g ha</w:t>
            </w:r>
            <w:r w:rsidRPr="00F605CE">
              <w:rPr>
                <w:vertAlign w:val="superscript"/>
                <w:lang w:val="en-GB"/>
              </w:rPr>
              <w:t>-1</w:t>
            </w:r>
            <w:r>
              <w:rPr>
                <w:lang w:val="en-GB"/>
              </w:rPr>
              <w:t xml:space="preserve"> Trimmer SG</w:t>
            </w:r>
          </w:p>
        </w:tc>
        <w:tc>
          <w:tcPr>
            <w:tcW w:w="3128" w:type="dxa"/>
          </w:tcPr>
          <w:p w14:paraId="76E55D89" w14:textId="77777777" w:rsidR="00352C6F" w:rsidRDefault="00352C6F">
            <w:pPr>
              <w:rPr>
                <w:lang w:val="en-GB"/>
              </w:rPr>
            </w:pPr>
            <w:r>
              <w:rPr>
                <w:lang w:val="en-GB"/>
              </w:rPr>
              <w:t xml:space="preserve">5 g ha-1 tribenuron-methyl (CAS </w:t>
            </w:r>
            <w:r w:rsidRPr="0087481D">
              <w:rPr>
                <w:lang w:val="en-US"/>
              </w:rPr>
              <w:t>101200-48-0</w:t>
            </w:r>
            <w:r>
              <w:rPr>
                <w:lang w:val="en-GB"/>
              </w:rPr>
              <w:t>)</w:t>
            </w:r>
          </w:p>
        </w:tc>
        <w:tc>
          <w:tcPr>
            <w:tcW w:w="2426" w:type="dxa"/>
          </w:tcPr>
          <w:p w14:paraId="0A0BA1FE" w14:textId="77777777" w:rsidR="00352C6F" w:rsidRDefault="00352C6F">
            <w:pPr>
              <w:rPr>
                <w:lang w:val="en-GB"/>
              </w:rPr>
            </w:pPr>
          </w:p>
        </w:tc>
      </w:tr>
      <w:tr w:rsidR="00352C6F" w14:paraId="2BC32893" w14:textId="7B524FE2" w:rsidTr="00352C6F">
        <w:tc>
          <w:tcPr>
            <w:tcW w:w="1199" w:type="dxa"/>
          </w:tcPr>
          <w:p w14:paraId="02713A7C" w14:textId="77777777" w:rsidR="00352C6F" w:rsidRDefault="00352C6F">
            <w:pPr>
              <w:rPr>
                <w:lang w:val="en-GB"/>
              </w:rPr>
            </w:pPr>
          </w:p>
        </w:tc>
        <w:tc>
          <w:tcPr>
            <w:tcW w:w="2263" w:type="dxa"/>
          </w:tcPr>
          <w:p w14:paraId="4CDD5C3F" w14:textId="77777777" w:rsidR="00352C6F" w:rsidRDefault="00352C6F">
            <w:pPr>
              <w:rPr>
                <w:lang w:val="en-GB"/>
              </w:rPr>
            </w:pPr>
            <w:r>
              <w:rPr>
                <w:lang w:val="en-GB"/>
              </w:rPr>
              <w:t>0.15 L ha-1 Agropol (a surfactant)</w:t>
            </w:r>
          </w:p>
        </w:tc>
        <w:tc>
          <w:tcPr>
            <w:tcW w:w="3128" w:type="dxa"/>
          </w:tcPr>
          <w:p w14:paraId="6328B561" w14:textId="77777777" w:rsidR="00352C6F" w:rsidRDefault="00352C6F">
            <w:pPr>
              <w:rPr>
                <w:lang w:val="en-GB"/>
              </w:rPr>
            </w:pPr>
            <w:r>
              <w:rPr>
                <w:lang w:val="en-GB"/>
              </w:rPr>
              <w:t>-</w:t>
            </w:r>
          </w:p>
        </w:tc>
        <w:tc>
          <w:tcPr>
            <w:tcW w:w="2426" w:type="dxa"/>
          </w:tcPr>
          <w:p w14:paraId="1FCF7D4D" w14:textId="77777777" w:rsidR="00352C6F" w:rsidRDefault="00352C6F">
            <w:pPr>
              <w:rPr>
                <w:lang w:val="en-GB"/>
              </w:rPr>
            </w:pPr>
          </w:p>
        </w:tc>
      </w:tr>
      <w:tr w:rsidR="00352C6F" w14:paraId="585E291C" w14:textId="7606B189" w:rsidTr="00352C6F">
        <w:tc>
          <w:tcPr>
            <w:tcW w:w="1199" w:type="dxa"/>
          </w:tcPr>
          <w:p w14:paraId="78F85D2D" w14:textId="77777777" w:rsidR="00352C6F" w:rsidRDefault="00352C6F">
            <w:pPr>
              <w:rPr>
                <w:lang w:val="en-GB"/>
              </w:rPr>
            </w:pPr>
            <w:r>
              <w:rPr>
                <w:lang w:val="en-GB"/>
              </w:rPr>
              <w:t>HP7</w:t>
            </w:r>
          </w:p>
        </w:tc>
        <w:tc>
          <w:tcPr>
            <w:tcW w:w="2263" w:type="dxa"/>
          </w:tcPr>
          <w:p w14:paraId="6B1B7604" w14:textId="77777777" w:rsidR="00352C6F" w:rsidRDefault="00352C6F">
            <w:pPr>
              <w:rPr>
                <w:lang w:val="en-GB"/>
              </w:rPr>
            </w:pPr>
            <w:r>
              <w:rPr>
                <w:lang w:val="en-GB"/>
              </w:rPr>
              <w:t>0.5 L ha</w:t>
            </w:r>
            <w:r w:rsidRPr="00974453">
              <w:rPr>
                <w:vertAlign w:val="superscript"/>
                <w:lang w:val="en-GB"/>
              </w:rPr>
              <w:t>-1</w:t>
            </w:r>
            <w:r>
              <w:rPr>
                <w:lang w:val="en-GB"/>
              </w:rPr>
              <w:t xml:space="preserve"> Stomp CS </w:t>
            </w:r>
          </w:p>
        </w:tc>
        <w:tc>
          <w:tcPr>
            <w:tcW w:w="3128" w:type="dxa"/>
          </w:tcPr>
          <w:p w14:paraId="178B5C3C" w14:textId="77777777" w:rsidR="00352C6F" w:rsidRDefault="00352C6F">
            <w:pPr>
              <w:rPr>
                <w:lang w:val="en-GB"/>
              </w:rPr>
            </w:pPr>
            <w:r>
              <w:rPr>
                <w:lang w:val="en-GB"/>
              </w:rPr>
              <w:t xml:space="preserve">228 g ha-1 pendimethalin (CAS </w:t>
            </w:r>
            <w:r w:rsidRPr="007D1D13">
              <w:rPr>
                <w:lang w:val="en-US"/>
              </w:rPr>
              <w:t>40487-42-1</w:t>
            </w:r>
            <w:r>
              <w:rPr>
                <w:lang w:val="en-GB"/>
              </w:rPr>
              <w:t>)</w:t>
            </w:r>
          </w:p>
        </w:tc>
        <w:tc>
          <w:tcPr>
            <w:tcW w:w="2426" w:type="dxa"/>
          </w:tcPr>
          <w:p w14:paraId="79D5C84E" w14:textId="77777777" w:rsidR="00352C6F" w:rsidRDefault="00352C6F">
            <w:pPr>
              <w:rPr>
                <w:lang w:val="en-GB"/>
              </w:rPr>
            </w:pPr>
          </w:p>
        </w:tc>
      </w:tr>
      <w:tr w:rsidR="00352C6F" w14:paraId="15F64B4D" w14:textId="19725C23" w:rsidTr="00352C6F">
        <w:tc>
          <w:tcPr>
            <w:tcW w:w="1199" w:type="dxa"/>
          </w:tcPr>
          <w:p w14:paraId="2F5C03AB" w14:textId="77777777" w:rsidR="00352C6F" w:rsidRDefault="00352C6F">
            <w:pPr>
              <w:rPr>
                <w:lang w:val="en-GB"/>
              </w:rPr>
            </w:pPr>
          </w:p>
        </w:tc>
        <w:tc>
          <w:tcPr>
            <w:tcW w:w="2263" w:type="dxa"/>
          </w:tcPr>
          <w:p w14:paraId="7805918E" w14:textId="77777777" w:rsidR="00352C6F" w:rsidRDefault="00352C6F">
            <w:pPr>
              <w:rPr>
                <w:lang w:val="en-GB"/>
              </w:rPr>
            </w:pPr>
            <w:r>
              <w:rPr>
                <w:lang w:val="en-GB"/>
              </w:rPr>
              <w:t>0.4 L ha</w:t>
            </w:r>
            <w:r w:rsidRPr="00AE61AA">
              <w:rPr>
                <w:vertAlign w:val="superscript"/>
                <w:lang w:val="en-GB"/>
              </w:rPr>
              <w:t>-1</w:t>
            </w:r>
            <w:r>
              <w:rPr>
                <w:vertAlign w:val="superscript"/>
                <w:lang w:val="en-GB"/>
              </w:rPr>
              <w:t xml:space="preserve"> </w:t>
            </w:r>
            <w:r>
              <w:rPr>
                <w:lang w:val="en-GB"/>
              </w:rPr>
              <w:t xml:space="preserve">Fighter 480 </w:t>
            </w:r>
          </w:p>
        </w:tc>
        <w:tc>
          <w:tcPr>
            <w:tcW w:w="3128" w:type="dxa"/>
          </w:tcPr>
          <w:p w14:paraId="08ADFE02" w14:textId="77777777" w:rsidR="00352C6F" w:rsidRDefault="00352C6F">
            <w:pPr>
              <w:rPr>
                <w:lang w:val="en-GB"/>
              </w:rPr>
            </w:pPr>
            <w:r>
              <w:rPr>
                <w:lang w:val="en-GB"/>
              </w:rPr>
              <w:t>192 g ha-1 bentazone (C</w:t>
            </w:r>
            <w:r w:rsidRPr="00023C12">
              <w:rPr>
                <w:lang w:val="en-US"/>
              </w:rPr>
              <w:t>AS 25057-89-0)</w:t>
            </w:r>
          </w:p>
        </w:tc>
        <w:tc>
          <w:tcPr>
            <w:tcW w:w="2426" w:type="dxa"/>
          </w:tcPr>
          <w:p w14:paraId="534571AC" w14:textId="77777777" w:rsidR="00352C6F" w:rsidRDefault="00352C6F">
            <w:pPr>
              <w:rPr>
                <w:lang w:val="en-GB"/>
              </w:rPr>
            </w:pPr>
          </w:p>
        </w:tc>
      </w:tr>
      <w:tr w:rsidR="00352C6F" w14:paraId="346AE8C9" w14:textId="2A26ADD9" w:rsidTr="00352C6F">
        <w:tc>
          <w:tcPr>
            <w:tcW w:w="1199" w:type="dxa"/>
          </w:tcPr>
          <w:p w14:paraId="24B381C5" w14:textId="77777777" w:rsidR="00352C6F" w:rsidRDefault="00352C6F">
            <w:pPr>
              <w:rPr>
                <w:lang w:val="en-GB"/>
              </w:rPr>
            </w:pPr>
            <w:r>
              <w:rPr>
                <w:lang w:val="en-GB"/>
              </w:rPr>
              <w:t>HP8</w:t>
            </w:r>
          </w:p>
        </w:tc>
        <w:tc>
          <w:tcPr>
            <w:tcW w:w="2263" w:type="dxa"/>
          </w:tcPr>
          <w:p w14:paraId="15863045" w14:textId="77777777" w:rsidR="00352C6F" w:rsidRDefault="00352C6F">
            <w:pPr>
              <w:rPr>
                <w:lang w:val="en-GB"/>
              </w:rPr>
            </w:pPr>
            <w:r>
              <w:rPr>
                <w:lang w:val="en-GB"/>
              </w:rPr>
              <w:t>0.93 L ha</w:t>
            </w:r>
            <w:r w:rsidRPr="0083405F">
              <w:rPr>
                <w:vertAlign w:val="superscript"/>
                <w:lang w:val="en-GB"/>
              </w:rPr>
              <w:t>-1</w:t>
            </w:r>
            <w:r>
              <w:rPr>
                <w:lang w:val="en-GB"/>
              </w:rPr>
              <w:t xml:space="preserve">Agil 100 EC </w:t>
            </w:r>
          </w:p>
        </w:tc>
        <w:tc>
          <w:tcPr>
            <w:tcW w:w="3128" w:type="dxa"/>
          </w:tcPr>
          <w:p w14:paraId="57F68867" w14:textId="77777777" w:rsidR="00352C6F" w:rsidRDefault="00352C6F">
            <w:pPr>
              <w:rPr>
                <w:lang w:val="en-GB"/>
              </w:rPr>
            </w:pPr>
            <w:r>
              <w:rPr>
                <w:lang w:val="en-GB"/>
              </w:rPr>
              <w:t>93 g ha-1</w:t>
            </w:r>
            <w:r w:rsidRPr="00023C12">
              <w:rPr>
                <w:rFonts w:ascii="Roboto" w:hAnsi="Roboto"/>
                <w:color w:val="71777D"/>
                <w:sz w:val="21"/>
                <w:szCs w:val="21"/>
                <w:shd w:val="clear" w:color="auto" w:fill="FFFFFF"/>
                <w:lang w:val="en-US"/>
              </w:rPr>
              <w:t xml:space="preserve"> </w:t>
            </w:r>
            <w:r>
              <w:rPr>
                <w:rFonts w:ascii="Roboto" w:hAnsi="Roboto"/>
                <w:color w:val="71777D"/>
                <w:sz w:val="21"/>
                <w:szCs w:val="21"/>
                <w:shd w:val="clear" w:color="auto" w:fill="FFFFFF"/>
                <w:lang w:val="en-US"/>
              </w:rPr>
              <w:t>p</w:t>
            </w:r>
            <w:r>
              <w:rPr>
                <w:lang w:val="en-GB"/>
              </w:rPr>
              <w:t>ropaquizafop</w:t>
            </w:r>
            <w:r w:rsidRPr="00023C12">
              <w:rPr>
                <w:lang w:val="en-US"/>
              </w:rPr>
              <w:t xml:space="preserve"> </w:t>
            </w:r>
            <w:r>
              <w:rPr>
                <w:lang w:val="en-US"/>
              </w:rPr>
              <w:t>(</w:t>
            </w:r>
            <w:r w:rsidRPr="00023C12">
              <w:rPr>
                <w:lang w:val="en-US"/>
              </w:rPr>
              <w:t>CAS 111479-05-1</w:t>
            </w:r>
            <w:r>
              <w:rPr>
                <w:lang w:val="en-GB"/>
              </w:rPr>
              <w:t>)</w:t>
            </w:r>
          </w:p>
          <w:p w14:paraId="27DBC03F" w14:textId="77777777" w:rsidR="00352C6F" w:rsidRDefault="00352C6F">
            <w:pPr>
              <w:rPr>
                <w:lang w:val="en-GB"/>
              </w:rPr>
            </w:pPr>
          </w:p>
        </w:tc>
        <w:tc>
          <w:tcPr>
            <w:tcW w:w="2426" w:type="dxa"/>
          </w:tcPr>
          <w:p w14:paraId="28E839EC" w14:textId="77777777" w:rsidR="00352C6F" w:rsidRDefault="00352C6F">
            <w:pPr>
              <w:rPr>
                <w:lang w:val="en-GB"/>
              </w:rPr>
            </w:pPr>
          </w:p>
        </w:tc>
      </w:tr>
    </w:tbl>
    <w:p w14:paraId="04712DD5" w14:textId="77777777" w:rsidR="00F65982" w:rsidRDefault="00F65982" w:rsidP="00F65982">
      <w:pPr>
        <w:rPr>
          <w:lang w:val="en-GB"/>
        </w:rPr>
      </w:pPr>
    </w:p>
    <w:p w14:paraId="5817CB21" w14:textId="3E8F69A0" w:rsidR="00A70C8E" w:rsidRDefault="00A70C8E" w:rsidP="00A70C8E">
      <w:pPr>
        <w:rPr>
          <w:lang w:val="en-US"/>
        </w:rPr>
      </w:pPr>
      <w:r>
        <w:rPr>
          <w:lang w:val="en-US"/>
        </w:rPr>
        <w:t xml:space="preserve">The long-term experiment is rainfed, but in 2018 an exception was made due to an </w:t>
      </w:r>
      <w:r w:rsidR="000E21EA">
        <w:rPr>
          <w:lang w:val="en-US"/>
        </w:rPr>
        <w:t xml:space="preserve">extremely </w:t>
      </w:r>
      <w:r>
        <w:rPr>
          <w:lang w:val="en-US"/>
        </w:rPr>
        <w:t xml:space="preserve">hot and dry </w:t>
      </w:r>
      <w:r w:rsidR="000E21EA">
        <w:rPr>
          <w:lang w:val="en-US"/>
        </w:rPr>
        <w:t xml:space="preserve">early </w:t>
      </w:r>
      <w:r>
        <w:rPr>
          <w:lang w:val="en-US"/>
        </w:rPr>
        <w:t xml:space="preserve">growing season. In order to maintain the long-term viability of the experiment, all plots were irrigated with 25 mm in early June to ensure the early establishment </w:t>
      </w:r>
      <w:r w:rsidR="000E21EA">
        <w:rPr>
          <w:lang w:val="en-US"/>
        </w:rPr>
        <w:t xml:space="preserve">of </w:t>
      </w:r>
      <w:r>
        <w:rPr>
          <w:lang w:val="en-US"/>
        </w:rPr>
        <w:t xml:space="preserve">all treatments. Irrigation was done with sprinklers mounted on a boom that was dragged through the experiment. </w:t>
      </w:r>
    </w:p>
    <w:p w14:paraId="2EE128BE" w14:textId="77777777" w:rsidR="00A70C8E" w:rsidDel="00461971" w:rsidRDefault="00A70C8E" w:rsidP="00A70C8E">
      <w:pPr>
        <w:rPr>
          <w:del w:id="11" w:author="Virginia Anne Nichols" w:date="2025-02-13T09:42:00Z" w16du:dateUtc="2025-02-13T08:42:00Z"/>
          <w:lang w:val="en-US"/>
        </w:rPr>
      </w:pPr>
      <w:r>
        <w:rPr>
          <w:lang w:val="en-US"/>
        </w:rPr>
        <w:t xml:space="preserve">Weather data for the present study was obtained from the </w:t>
      </w:r>
      <w:r w:rsidRPr="00EA03AB">
        <w:rPr>
          <w:lang w:val="en-US"/>
        </w:rPr>
        <w:t>Danish Meteorological Institute's (DMI) Open Data API</w:t>
      </w:r>
      <w:r>
        <w:rPr>
          <w:lang w:val="en-US"/>
        </w:rPr>
        <w:t xml:space="preserve"> for the Flakkebjerg station (55.322, 11.388). The 30-year (1990-2020) mean annual temperature and precipitation for the site are 8.9 degrees Celsius and 589 mm, respectively. </w:t>
      </w:r>
    </w:p>
    <w:p w14:paraId="23D8A009" w14:textId="77777777" w:rsidR="00A70C8E" w:rsidRDefault="00A70C8E" w:rsidP="00A70C8E">
      <w:pPr>
        <w:pStyle w:val="Heading2"/>
        <w:rPr>
          <w:lang w:val="en-US"/>
        </w:rPr>
      </w:pPr>
      <w:r>
        <w:rPr>
          <w:lang w:val="en-US"/>
        </w:rPr>
        <w:lastRenderedPageBreak/>
        <w:t>Measurements</w:t>
      </w:r>
    </w:p>
    <w:p w14:paraId="7C470746" w14:textId="77777777" w:rsidR="00A70C8E" w:rsidRDefault="00A70C8E" w:rsidP="00A70C8E">
      <w:pPr>
        <w:pStyle w:val="Heading3"/>
        <w:rPr>
          <w:lang w:val="en-US"/>
        </w:rPr>
      </w:pPr>
      <w:r>
        <w:rPr>
          <w:lang w:val="en-US"/>
        </w:rPr>
        <w:t>Crop yields</w:t>
      </w:r>
    </w:p>
    <w:p w14:paraId="4BEF01AA" w14:textId="2F35F657" w:rsidR="00A70C8E" w:rsidRPr="00372A54" w:rsidRDefault="00A70C8E" w:rsidP="00A70C8E">
      <w:pPr>
        <w:rPr>
          <w:lang w:val="en-GB"/>
        </w:rPr>
      </w:pPr>
      <w:r w:rsidRPr="00372A54">
        <w:rPr>
          <w:lang w:val="en-GB"/>
        </w:rPr>
        <w:t>Each plot</w:t>
      </w:r>
      <w:r>
        <w:rPr>
          <w:lang w:val="en-GB"/>
        </w:rPr>
        <w:t xml:space="preserve"> (net size 10 m x 1.5 m)</w:t>
      </w:r>
      <w:r w:rsidRPr="00372A54">
        <w:rPr>
          <w:lang w:val="en-GB"/>
        </w:rPr>
        <w:t xml:space="preserve"> was harvested for grain yield with a plot combine</w:t>
      </w:r>
      <w:r>
        <w:rPr>
          <w:lang w:val="en-GB"/>
        </w:rPr>
        <w:t xml:space="preserve"> (8 August 2018 barley, 15 August 2019 oat, 24 August 2020 faba bean)</w:t>
      </w:r>
      <w:r w:rsidRPr="00372A54">
        <w:rPr>
          <w:lang w:val="en-GB"/>
        </w:rPr>
        <w:t xml:space="preserve">. </w:t>
      </w:r>
      <w:r>
        <w:rPr>
          <w:lang w:val="en-GB"/>
        </w:rPr>
        <w:t>D</w:t>
      </w:r>
      <w:r w:rsidRPr="00372A54">
        <w:rPr>
          <w:lang w:val="en-GB"/>
        </w:rPr>
        <w:t>ry matter content was determined by a near-infrared spectroscopy analyzer (Infra</w:t>
      </w:r>
      <w:r w:rsidR="00AD5622">
        <w:rPr>
          <w:lang w:val="en-GB"/>
        </w:rPr>
        <w:t>T</w:t>
      </w:r>
      <w:r w:rsidRPr="00372A54">
        <w:rPr>
          <w:lang w:val="en-GB"/>
        </w:rPr>
        <w:t>ec™ 1241 Grain Analyzer, Foss A/S; </w:t>
      </w:r>
      <w:bookmarkStart w:id="12" w:name="bbib4"/>
      <w:r w:rsidRPr="00372A54">
        <w:fldChar w:fldCharType="begin"/>
      </w:r>
      <w:r w:rsidRPr="00372A54">
        <w:rPr>
          <w:lang w:val="en-GB"/>
        </w:rPr>
        <w:instrText>HYPERLINK "https://www-sciencedirect-com.ez.statsbiblioteket.dk/science/article/pii/S0167198710000541" \l "bib4"</w:instrText>
      </w:r>
      <w:r w:rsidRPr="00372A54">
        <w:fldChar w:fldCharType="separate"/>
      </w:r>
      <w:r w:rsidRPr="00372A54">
        <w:rPr>
          <w:rStyle w:val="Hyperlink"/>
          <w:lang w:val="en-GB"/>
        </w:rPr>
        <w:t>Buchmann et al., 2001</w:t>
      </w:r>
      <w:r w:rsidRPr="00372A54">
        <w:fldChar w:fldCharType="end"/>
      </w:r>
      <w:bookmarkEnd w:id="12"/>
      <w:r w:rsidRPr="00372A54">
        <w:rPr>
          <w:lang w:val="en-GB"/>
        </w:rPr>
        <w:t xml:space="preserve">). </w:t>
      </w:r>
      <w:r>
        <w:rPr>
          <w:lang w:val="en-GB"/>
        </w:rPr>
        <w:t>Grain yields are reported on a dry matter basis.</w:t>
      </w:r>
    </w:p>
    <w:p w14:paraId="34A7B1DB" w14:textId="6322EFBE" w:rsidR="00A70C8E" w:rsidRPr="00FF440C" w:rsidRDefault="00997973" w:rsidP="007B22B0">
      <w:pPr>
        <w:pStyle w:val="Heading3"/>
        <w:rPr>
          <w:lang w:val="en-US"/>
        </w:rPr>
      </w:pPr>
      <w:r>
        <w:rPr>
          <w:lang w:val="en-US"/>
        </w:rPr>
        <w:t>Vegetation measurements</w:t>
      </w:r>
    </w:p>
    <w:p w14:paraId="74A6B46E" w14:textId="1D1E439A" w:rsidR="00997973" w:rsidRPr="0029022B" w:rsidRDefault="00997973" w:rsidP="00997973">
      <w:pPr>
        <w:rPr>
          <w:lang w:val="en-US"/>
        </w:rPr>
      </w:pPr>
      <w:r>
        <w:rPr>
          <w:lang w:val="en-US"/>
        </w:rPr>
        <w:t xml:space="preserve">Table </w:t>
      </w:r>
      <w:r w:rsidR="00E752C9">
        <w:rPr>
          <w:lang w:val="en-US"/>
        </w:rPr>
        <w:t>2</w:t>
      </w:r>
      <w:r>
        <w:rPr>
          <w:lang w:val="en-US"/>
        </w:rPr>
        <w:t>. Summary of vegetation measurements</w:t>
      </w:r>
    </w:p>
    <w:tbl>
      <w:tblPr>
        <w:tblStyle w:val="TableGrid"/>
        <w:tblW w:w="0" w:type="auto"/>
        <w:tblLook w:val="04A0" w:firstRow="1" w:lastRow="0" w:firstColumn="1" w:lastColumn="0" w:noHBand="0" w:noVBand="1"/>
      </w:tblPr>
      <w:tblGrid>
        <w:gridCol w:w="3539"/>
        <w:gridCol w:w="5477"/>
      </w:tblGrid>
      <w:tr w:rsidR="00997973" w14:paraId="5579D178" w14:textId="77777777">
        <w:tc>
          <w:tcPr>
            <w:tcW w:w="3539" w:type="dxa"/>
          </w:tcPr>
          <w:p w14:paraId="3A64DEF7" w14:textId="77777777" w:rsidR="00997973" w:rsidRDefault="00997973">
            <w:pPr>
              <w:rPr>
                <w:b/>
                <w:bCs/>
                <w:lang w:val="en-US"/>
              </w:rPr>
            </w:pPr>
            <w:r>
              <w:rPr>
                <w:b/>
                <w:bCs/>
                <w:lang w:val="en-US"/>
              </w:rPr>
              <w:t>Measurement</w:t>
            </w:r>
          </w:p>
        </w:tc>
        <w:tc>
          <w:tcPr>
            <w:tcW w:w="5477" w:type="dxa"/>
          </w:tcPr>
          <w:p w14:paraId="4ACA7F13" w14:textId="77777777" w:rsidR="00997973" w:rsidRDefault="00997973">
            <w:pPr>
              <w:rPr>
                <w:b/>
                <w:bCs/>
                <w:lang w:val="en-US"/>
              </w:rPr>
            </w:pPr>
            <w:r>
              <w:rPr>
                <w:b/>
                <w:bCs/>
                <w:lang w:val="en-US"/>
              </w:rPr>
              <w:t>Units of identification</w:t>
            </w:r>
          </w:p>
        </w:tc>
      </w:tr>
      <w:tr w:rsidR="00997973" w:rsidRPr="00175629" w14:paraId="5E7D783C" w14:textId="77777777">
        <w:tc>
          <w:tcPr>
            <w:tcW w:w="3539" w:type="dxa"/>
          </w:tcPr>
          <w:p w14:paraId="3D65D311" w14:textId="77777777" w:rsidR="00997973" w:rsidRPr="00A11E01" w:rsidRDefault="00997973">
            <w:pPr>
              <w:rPr>
                <w:lang w:val="en-US"/>
              </w:rPr>
            </w:pPr>
            <w:r w:rsidRPr="00A11E01">
              <w:rPr>
                <w:lang w:val="en-US"/>
              </w:rPr>
              <w:t>Fall ground cover</w:t>
            </w:r>
            <w:r>
              <w:rPr>
                <w:lang w:val="en-US"/>
              </w:rPr>
              <w:t xml:space="preserve"> (%)</w:t>
            </w:r>
          </w:p>
        </w:tc>
        <w:tc>
          <w:tcPr>
            <w:tcW w:w="5477" w:type="dxa"/>
          </w:tcPr>
          <w:p w14:paraId="065F114A" w14:textId="77777777" w:rsidR="00997973" w:rsidRDefault="00997973">
            <w:pPr>
              <w:rPr>
                <w:lang w:val="en-US"/>
              </w:rPr>
            </w:pPr>
            <w:r>
              <w:rPr>
                <w:lang w:val="en-US"/>
              </w:rPr>
              <w:t>Soil</w:t>
            </w:r>
          </w:p>
          <w:p w14:paraId="0826FCC2" w14:textId="77777777" w:rsidR="00997973" w:rsidRDefault="00997973">
            <w:pPr>
              <w:rPr>
                <w:lang w:val="en-US"/>
              </w:rPr>
            </w:pPr>
            <w:r>
              <w:rPr>
                <w:lang w:val="en-US"/>
              </w:rPr>
              <w:t>Species (AVESA*, CAPBP, CIRAR, EPHEX, HORVW, LOLPE, MATIN, PAPRH, RAPSR, TAROF, TRFRE)</w:t>
            </w:r>
          </w:p>
          <w:p w14:paraId="5ABB4CC8" w14:textId="77777777" w:rsidR="00997973" w:rsidRPr="00A11E01" w:rsidRDefault="00997973">
            <w:pPr>
              <w:rPr>
                <w:lang w:val="en-US"/>
              </w:rPr>
            </w:pPr>
            <w:r>
              <w:rPr>
                <w:lang w:val="en-US"/>
              </w:rPr>
              <w:t>Genus (GERSS, LAMSS, SENSS, VERSS)</w:t>
            </w:r>
          </w:p>
        </w:tc>
      </w:tr>
      <w:tr w:rsidR="00997973" w:rsidRPr="00863080" w14:paraId="113DFB5B" w14:textId="77777777">
        <w:tc>
          <w:tcPr>
            <w:tcW w:w="3539" w:type="dxa"/>
          </w:tcPr>
          <w:p w14:paraId="0E7A7F00" w14:textId="77777777" w:rsidR="00997973" w:rsidRPr="00A11E01" w:rsidRDefault="00997973">
            <w:pPr>
              <w:rPr>
                <w:lang w:val="en-US"/>
              </w:rPr>
            </w:pPr>
            <w:r w:rsidRPr="00A11E01">
              <w:rPr>
                <w:lang w:val="en-US"/>
              </w:rPr>
              <w:t>Fall biomass</w:t>
            </w:r>
            <w:r>
              <w:rPr>
                <w:lang w:val="en-US"/>
              </w:rPr>
              <w:t xml:space="preserve"> (g m-2)</w:t>
            </w:r>
          </w:p>
        </w:tc>
        <w:tc>
          <w:tcPr>
            <w:tcW w:w="5477" w:type="dxa"/>
          </w:tcPr>
          <w:p w14:paraId="0C66D761" w14:textId="77777777" w:rsidR="00997973" w:rsidRDefault="00997973">
            <w:pPr>
              <w:rPr>
                <w:lang w:val="en-US"/>
              </w:rPr>
            </w:pPr>
            <w:r w:rsidRPr="00A11E01">
              <w:rPr>
                <w:lang w:val="en-US"/>
              </w:rPr>
              <w:t>Cover crop</w:t>
            </w:r>
          </w:p>
          <w:p w14:paraId="60615670" w14:textId="77777777" w:rsidR="00997973" w:rsidRPr="00A11E01" w:rsidRDefault="00997973">
            <w:pPr>
              <w:rPr>
                <w:lang w:val="en-US"/>
              </w:rPr>
            </w:pPr>
            <w:r>
              <w:rPr>
                <w:lang w:val="en-US"/>
              </w:rPr>
              <w:t>Other (all other biomass)</w:t>
            </w:r>
          </w:p>
        </w:tc>
      </w:tr>
      <w:tr w:rsidR="00997973" w:rsidRPr="00175629" w14:paraId="57003081" w14:textId="77777777">
        <w:tc>
          <w:tcPr>
            <w:tcW w:w="3539" w:type="dxa"/>
          </w:tcPr>
          <w:p w14:paraId="11E07E6B" w14:textId="77777777" w:rsidR="00997973" w:rsidRPr="00A11E01" w:rsidRDefault="00997973">
            <w:pPr>
              <w:rPr>
                <w:lang w:val="en-US"/>
              </w:rPr>
            </w:pPr>
            <w:r w:rsidRPr="00A11E01">
              <w:rPr>
                <w:lang w:val="en-US"/>
              </w:rPr>
              <w:t>Spring weed counts</w:t>
            </w:r>
            <w:r>
              <w:rPr>
                <w:lang w:val="en-US"/>
              </w:rPr>
              <w:t xml:space="preserve"> (</w:t>
            </w:r>
            <w:r w:rsidRPr="005839BC">
              <w:rPr>
                <w:color w:val="FF0000"/>
                <w:lang w:val="en-US"/>
              </w:rPr>
              <w:t>number m-2</w:t>
            </w:r>
            <w:r>
              <w:rPr>
                <w:lang w:val="en-US"/>
              </w:rPr>
              <w:t xml:space="preserve">) </w:t>
            </w:r>
            <w:r w:rsidRPr="005839BC">
              <w:rPr>
                <w:color w:val="FF0000"/>
                <w:lang w:val="en-US"/>
              </w:rPr>
              <w:t xml:space="preserve">Bo, </w:t>
            </w:r>
            <w:r>
              <w:rPr>
                <w:color w:val="FF0000"/>
                <w:lang w:val="en-US"/>
              </w:rPr>
              <w:t xml:space="preserve">just </w:t>
            </w:r>
            <w:r w:rsidRPr="005839BC">
              <w:rPr>
                <w:color w:val="FF0000"/>
                <w:lang w:val="en-US"/>
              </w:rPr>
              <w:t>making sure the data you gave me is on a per m2 basis</w:t>
            </w:r>
          </w:p>
        </w:tc>
        <w:tc>
          <w:tcPr>
            <w:tcW w:w="5477" w:type="dxa"/>
          </w:tcPr>
          <w:p w14:paraId="6C5E96BA" w14:textId="77777777" w:rsidR="00997973" w:rsidRPr="00C13F5B" w:rsidRDefault="00997973">
            <w:pPr>
              <w:rPr>
                <w:lang w:val="en-US"/>
              </w:rPr>
            </w:pPr>
            <w:r>
              <w:rPr>
                <w:lang w:val="en-US"/>
              </w:rPr>
              <w:t>CIRAR</w:t>
            </w:r>
          </w:p>
          <w:p w14:paraId="03C93ED5" w14:textId="77777777" w:rsidR="00997973" w:rsidRPr="00C13F5B" w:rsidRDefault="00997973">
            <w:pPr>
              <w:rPr>
                <w:lang w:val="en-US"/>
              </w:rPr>
            </w:pPr>
            <w:r>
              <w:rPr>
                <w:lang w:val="en-US"/>
              </w:rPr>
              <w:t>EQUAR</w:t>
            </w:r>
          </w:p>
          <w:p w14:paraId="5A7C1C29" w14:textId="77777777" w:rsidR="00997973" w:rsidRPr="00C13F5B" w:rsidRDefault="00997973">
            <w:pPr>
              <w:rPr>
                <w:lang w:val="en-US"/>
              </w:rPr>
            </w:pPr>
            <w:r w:rsidRPr="00C13F5B">
              <w:rPr>
                <w:lang w:val="en-US"/>
              </w:rPr>
              <w:t>Dicot</w:t>
            </w:r>
          </w:p>
          <w:p w14:paraId="6651463B" w14:textId="77777777" w:rsidR="00997973" w:rsidRDefault="00997973">
            <w:pPr>
              <w:rPr>
                <w:b/>
                <w:bCs/>
                <w:lang w:val="en-US"/>
              </w:rPr>
            </w:pPr>
            <w:r w:rsidRPr="00C13F5B">
              <w:rPr>
                <w:lang w:val="en-US"/>
              </w:rPr>
              <w:t>Monocot</w:t>
            </w:r>
          </w:p>
        </w:tc>
      </w:tr>
      <w:tr w:rsidR="00997973" w:rsidRPr="00863080" w14:paraId="26DE969B" w14:textId="77777777">
        <w:tc>
          <w:tcPr>
            <w:tcW w:w="3539" w:type="dxa"/>
          </w:tcPr>
          <w:p w14:paraId="3D51B45B" w14:textId="0BB50A55" w:rsidR="00997973" w:rsidRPr="00A11E01" w:rsidRDefault="00997973">
            <w:pPr>
              <w:rPr>
                <w:lang w:val="en-US"/>
              </w:rPr>
            </w:pPr>
            <w:r>
              <w:rPr>
                <w:lang w:val="en-US"/>
              </w:rPr>
              <w:t>*</w:t>
            </w:r>
            <w:r w:rsidR="008D61F6">
              <w:rPr>
                <w:lang w:val="en-US"/>
              </w:rPr>
              <w:t>EPPO code, s</w:t>
            </w:r>
            <w:r>
              <w:rPr>
                <w:lang w:val="en-US"/>
              </w:rPr>
              <w:t>ee supplemental material for Latin names</w:t>
            </w:r>
          </w:p>
        </w:tc>
        <w:tc>
          <w:tcPr>
            <w:tcW w:w="5477" w:type="dxa"/>
          </w:tcPr>
          <w:p w14:paraId="0280EBB1" w14:textId="77777777" w:rsidR="00997973" w:rsidRPr="00C13F5B" w:rsidRDefault="00997973">
            <w:pPr>
              <w:rPr>
                <w:lang w:val="en-US"/>
              </w:rPr>
            </w:pPr>
          </w:p>
        </w:tc>
      </w:tr>
    </w:tbl>
    <w:p w14:paraId="44447FB8" w14:textId="77777777" w:rsidR="00997973" w:rsidRDefault="00997973" w:rsidP="00997973">
      <w:pPr>
        <w:rPr>
          <w:b/>
          <w:bCs/>
          <w:lang w:val="en-US"/>
        </w:rPr>
      </w:pPr>
    </w:p>
    <w:p w14:paraId="2FC55C32" w14:textId="77777777" w:rsidR="00997973" w:rsidRPr="00CE16B2" w:rsidRDefault="00997973" w:rsidP="007B22B0">
      <w:pPr>
        <w:pStyle w:val="Heading4"/>
        <w:rPr>
          <w:lang w:val="en-US"/>
        </w:rPr>
      </w:pPr>
      <w:r w:rsidRPr="00CE16B2">
        <w:rPr>
          <w:lang w:val="en-US"/>
        </w:rPr>
        <w:t xml:space="preserve">Fall </w:t>
      </w:r>
      <w:r>
        <w:rPr>
          <w:lang w:val="en-US"/>
        </w:rPr>
        <w:t>ground cover</w:t>
      </w:r>
    </w:p>
    <w:p w14:paraId="416EAC1A" w14:textId="790756C1" w:rsidR="00997973" w:rsidRDefault="00997973" w:rsidP="00997973">
      <w:pPr>
        <w:rPr>
          <w:lang w:val="en-US"/>
        </w:rPr>
      </w:pPr>
      <w:r w:rsidRPr="00E02EB6">
        <w:rPr>
          <w:lang w:val="en-US"/>
        </w:rPr>
        <w:t xml:space="preserve">Ground cover </w:t>
      </w:r>
      <w:r>
        <w:rPr>
          <w:lang w:val="en-US"/>
        </w:rPr>
        <w:t xml:space="preserve">composition </w:t>
      </w:r>
      <w:r w:rsidRPr="00E02EB6">
        <w:rPr>
          <w:lang w:val="en-US"/>
        </w:rPr>
        <w:t>was estimated from digital images taken </w:t>
      </w:r>
      <w:r>
        <w:rPr>
          <w:lang w:val="en-US"/>
        </w:rPr>
        <w:t>in the fall (9 November 2018 and 1 November 2019) as done in Melander et al. (2013).</w:t>
      </w:r>
      <w:r w:rsidRPr="00E02EB6">
        <w:rPr>
          <w:lang w:val="en-US"/>
        </w:rPr>
        <w:t xml:space="preserve"> </w:t>
      </w:r>
      <w:r>
        <w:rPr>
          <w:lang w:val="en-US"/>
        </w:rPr>
        <w:t xml:space="preserve">Briefly, a </w:t>
      </w:r>
      <w:r w:rsidRPr="00E02EB6">
        <w:rPr>
          <w:lang w:val="en-US"/>
        </w:rPr>
        <w:t>0.5 m</w:t>
      </w:r>
      <w:r w:rsidRPr="00E02EB6">
        <w:rPr>
          <w:vertAlign w:val="superscript"/>
          <w:lang w:val="en-US"/>
        </w:rPr>
        <w:t>2</w:t>
      </w:r>
      <w:r w:rsidRPr="00E02EB6">
        <w:rPr>
          <w:lang w:val="en-US"/>
        </w:rPr>
        <w:t xml:space="preserve"> quadrat </w:t>
      </w:r>
      <w:r>
        <w:rPr>
          <w:lang w:val="en-US"/>
        </w:rPr>
        <w:t xml:space="preserve">was placed in the plot, and an image was taken from a height of </w:t>
      </w:r>
      <w:r w:rsidRPr="00B21E41">
        <w:rPr>
          <w:lang w:val="en-US"/>
        </w:rPr>
        <w:t xml:space="preserve">1 m </w:t>
      </w:r>
      <w:r w:rsidRPr="00E02EB6">
        <w:rPr>
          <w:lang w:val="en-US"/>
        </w:rPr>
        <w:t>above the cent</w:t>
      </w:r>
      <w:r>
        <w:rPr>
          <w:lang w:val="en-US"/>
        </w:rPr>
        <w:t>er</w:t>
      </w:r>
      <w:r w:rsidRPr="00E02EB6">
        <w:rPr>
          <w:lang w:val="en-US"/>
        </w:rPr>
        <w:t xml:space="preserve"> of the quadrat. </w:t>
      </w:r>
      <w:r>
        <w:rPr>
          <w:lang w:val="en-US"/>
        </w:rPr>
        <w:t xml:space="preserve">Three images were taken in each plot. </w:t>
      </w:r>
      <w:r w:rsidRPr="00E02EB6">
        <w:rPr>
          <w:lang w:val="en-US"/>
        </w:rPr>
        <w:t xml:space="preserve">Each image was subsequently </w:t>
      </w:r>
      <w:r>
        <w:rPr>
          <w:lang w:val="en-US"/>
        </w:rPr>
        <w:t xml:space="preserve">overlaid with a grid consisting of </w:t>
      </w:r>
      <w:r w:rsidRPr="00E02EB6">
        <w:rPr>
          <w:lang w:val="en-US"/>
        </w:rPr>
        <w:t>17 vertical and 17 horizontal lines</w:t>
      </w:r>
      <w:r>
        <w:rPr>
          <w:lang w:val="en-US"/>
        </w:rPr>
        <w:t xml:space="preserve">, resulting in </w:t>
      </w:r>
      <w:r w:rsidRPr="00E02EB6">
        <w:rPr>
          <w:lang w:val="en-US"/>
        </w:rPr>
        <w:t>289 intersections</w:t>
      </w:r>
      <w:r>
        <w:rPr>
          <w:lang w:val="en-US"/>
        </w:rPr>
        <w:t xml:space="preserve"> per image. Each intersection was classified as a soil or plant. Plant intersections were further classified to the species (12) or genus (4) level (Table 1). </w:t>
      </w:r>
      <w:r w:rsidRPr="00E02EB6">
        <w:rPr>
          <w:lang w:val="en-US"/>
        </w:rPr>
        <w:t>Percen</w:t>
      </w:r>
      <w:r>
        <w:rPr>
          <w:lang w:val="en-US"/>
        </w:rPr>
        <w:t xml:space="preserve">t </w:t>
      </w:r>
      <w:r w:rsidRPr="00E02EB6">
        <w:rPr>
          <w:lang w:val="en-US"/>
        </w:rPr>
        <w:t xml:space="preserve">coverage </w:t>
      </w:r>
      <w:r>
        <w:rPr>
          <w:lang w:val="en-US"/>
        </w:rPr>
        <w:t xml:space="preserve">of each </w:t>
      </w:r>
      <w:r w:rsidR="00C86200">
        <w:rPr>
          <w:lang w:val="en-US"/>
        </w:rPr>
        <w:t>type</w:t>
      </w:r>
      <w:r>
        <w:rPr>
          <w:lang w:val="en-US"/>
        </w:rPr>
        <w:t xml:space="preserve"> </w:t>
      </w:r>
      <w:r w:rsidRPr="00E02EB6">
        <w:rPr>
          <w:lang w:val="en-US"/>
        </w:rPr>
        <w:t>was then calculated by dividing the number of touched intersections</w:t>
      </w:r>
      <w:r>
        <w:rPr>
          <w:lang w:val="en-US"/>
        </w:rPr>
        <w:t xml:space="preserve"> in that category by </w:t>
      </w:r>
      <w:r w:rsidRPr="00E02EB6">
        <w:rPr>
          <w:lang w:val="en-US"/>
        </w:rPr>
        <w:t xml:space="preserve">289 intersections. </w:t>
      </w:r>
      <w:r>
        <w:rPr>
          <w:lang w:val="en-US"/>
        </w:rPr>
        <w:t>For categorical analyses, species/genus were classified as ‘cover crop’</w:t>
      </w:r>
      <w:r w:rsidR="00C86200">
        <w:rPr>
          <w:lang w:val="en-US"/>
        </w:rPr>
        <w:t xml:space="preserve">, ‘volunteer’ </w:t>
      </w:r>
      <w:r>
        <w:rPr>
          <w:lang w:val="en-US"/>
        </w:rPr>
        <w:t xml:space="preserve">or ‘other.’ </w:t>
      </w:r>
    </w:p>
    <w:p w14:paraId="6FF0A7B0" w14:textId="77777777" w:rsidR="00A70C8E" w:rsidRPr="00CB0057" w:rsidRDefault="00A70C8E" w:rsidP="007B22B0">
      <w:pPr>
        <w:pStyle w:val="Heading4"/>
        <w:rPr>
          <w:lang w:val="en-US"/>
        </w:rPr>
      </w:pPr>
      <w:r w:rsidRPr="00CB0057">
        <w:rPr>
          <w:lang w:val="en-US"/>
        </w:rPr>
        <w:t>Fall biomass</w:t>
      </w:r>
    </w:p>
    <w:p w14:paraId="7E5DEC1E" w14:textId="1B717A3E" w:rsidR="00A70C8E" w:rsidRDefault="00A70C8E" w:rsidP="00A70C8E">
      <w:pPr>
        <w:rPr>
          <w:lang w:val="en-US"/>
        </w:rPr>
      </w:pPr>
      <w:r>
        <w:rPr>
          <w:lang w:val="en-US"/>
        </w:rPr>
        <w:t xml:space="preserve">The amount of aboveground vegetative biomass in each treatment was measured following image collection for fall ground cover measurements (15 November 2018 and 13 November 2019, respectively). Two 0.5 m2 quadrats were randomly placed in each plot, and all aboveground biomass was cut at ground level and removed. The biomass samples </w:t>
      </w:r>
      <w:r w:rsidR="00C86200">
        <w:rPr>
          <w:lang w:val="en-US"/>
        </w:rPr>
        <w:t xml:space="preserve">from the two quadrats </w:t>
      </w:r>
      <w:r>
        <w:rPr>
          <w:lang w:val="en-US"/>
        </w:rPr>
        <w:t xml:space="preserve">were </w:t>
      </w:r>
      <w:r w:rsidR="00C86200">
        <w:rPr>
          <w:lang w:val="en-US"/>
        </w:rPr>
        <w:t xml:space="preserve">combined, then </w:t>
      </w:r>
      <w:r>
        <w:rPr>
          <w:lang w:val="en-US"/>
        </w:rPr>
        <w:t xml:space="preserve">separated into three fractions: cover </w:t>
      </w:r>
      <w:r w:rsidR="00A33110">
        <w:rPr>
          <w:lang w:val="en-US"/>
        </w:rPr>
        <w:t>crops</w:t>
      </w:r>
      <w:r>
        <w:rPr>
          <w:lang w:val="en-US"/>
        </w:rPr>
        <w:t xml:space="preserve">, weeds and volunteers in 2018. In 2019, only the fractions cover </w:t>
      </w:r>
      <w:r w:rsidR="00A33110">
        <w:rPr>
          <w:lang w:val="en-US"/>
        </w:rPr>
        <w:t>crops</w:t>
      </w:r>
      <w:r>
        <w:rPr>
          <w:lang w:val="en-US"/>
        </w:rPr>
        <w:t xml:space="preserve"> and </w:t>
      </w:r>
      <w:r w:rsidR="00A33110">
        <w:rPr>
          <w:lang w:val="en-US"/>
        </w:rPr>
        <w:t>other</w:t>
      </w:r>
      <w:r>
        <w:rPr>
          <w:lang w:val="en-US"/>
        </w:rPr>
        <w:t xml:space="preserve"> (weeds plus volunteers) were obtained</w:t>
      </w:r>
      <w:r w:rsidR="00A33110">
        <w:rPr>
          <w:lang w:val="en-US"/>
        </w:rPr>
        <w:t>, so the categories ‘cover crop’ and ‘other’ were used for all statistical analyses (Table X)</w:t>
      </w:r>
      <w:r>
        <w:rPr>
          <w:lang w:val="en-US"/>
        </w:rPr>
        <w:t xml:space="preserve">. The </w:t>
      </w:r>
      <w:r w:rsidR="00A33110">
        <w:rPr>
          <w:lang w:val="en-US"/>
        </w:rPr>
        <w:t xml:space="preserve">biomass </w:t>
      </w:r>
      <w:r>
        <w:rPr>
          <w:lang w:val="en-US"/>
        </w:rPr>
        <w:t>fractions were dried in the oven at 80</w:t>
      </w:r>
      <w:r w:rsidRPr="00ED37C5">
        <w:rPr>
          <w:vertAlign w:val="superscript"/>
          <w:lang w:val="en-US"/>
        </w:rPr>
        <w:t>o</w:t>
      </w:r>
      <w:r>
        <w:rPr>
          <w:lang w:val="en-US"/>
        </w:rPr>
        <w:t xml:space="preserve">C for 24 hours and weighed. Dry biomass for each category was converted to grams per m2.  </w:t>
      </w:r>
    </w:p>
    <w:p w14:paraId="74382B5D" w14:textId="77777777" w:rsidR="00A70C8E" w:rsidRPr="00C86200" w:rsidRDefault="00A70C8E" w:rsidP="007B22B0">
      <w:pPr>
        <w:pStyle w:val="Heading4"/>
        <w:rPr>
          <w:lang w:val="en-US"/>
        </w:rPr>
      </w:pPr>
      <w:r w:rsidRPr="00C86200">
        <w:rPr>
          <w:lang w:val="en-US"/>
        </w:rPr>
        <w:lastRenderedPageBreak/>
        <w:t>Spring weed counts</w:t>
      </w:r>
    </w:p>
    <w:p w14:paraId="29E4815A" w14:textId="7C88CB39" w:rsidR="00A70C8E" w:rsidRDefault="00A70C8E" w:rsidP="00A70C8E">
      <w:pPr>
        <w:rPr>
          <w:lang w:val="en-US"/>
        </w:rPr>
      </w:pPr>
      <w:r>
        <w:rPr>
          <w:lang w:val="en-US"/>
        </w:rPr>
        <w:t>The weed flora emerging in spring in the experimental plots was assessed on 22 May 2019 and 27 May 2020</w:t>
      </w:r>
      <w:r w:rsidR="00C86200">
        <w:rPr>
          <w:lang w:val="en-US"/>
        </w:rPr>
        <w:t xml:space="preserve"> after post-emergence weed control. F</w:t>
      </w:r>
      <w:r>
        <w:rPr>
          <w:lang w:val="en-US"/>
        </w:rPr>
        <w:t xml:space="preserve">our weed categories </w:t>
      </w:r>
      <w:r w:rsidR="00C86200">
        <w:rPr>
          <w:lang w:val="en-US"/>
        </w:rPr>
        <w:t xml:space="preserve">were counted </w:t>
      </w:r>
      <w:r>
        <w:rPr>
          <w:lang w:val="en-US"/>
        </w:rPr>
        <w:t>in three randomly placed quadrats (0.25 m</w:t>
      </w:r>
      <w:r w:rsidRPr="00C154A9">
        <w:rPr>
          <w:vertAlign w:val="superscript"/>
          <w:lang w:val="en-US"/>
          <w:rPrChange w:id="13" w:author="Bo Melander" w:date="2025-02-12T12:55:00Z" w16du:dateUtc="2025-02-12T11:55:00Z">
            <w:rPr>
              <w:lang w:val="en-US"/>
            </w:rPr>
          </w:rPrChange>
        </w:rPr>
        <w:t>2</w:t>
      </w:r>
      <w:r>
        <w:rPr>
          <w:lang w:val="en-US"/>
        </w:rPr>
        <w:t xml:space="preserve">) per plot. The categories were dicots, monocots, Canada thistle </w:t>
      </w:r>
      <w:r w:rsidR="00C86200">
        <w:rPr>
          <w:lang w:val="en-US"/>
        </w:rPr>
        <w:t>(</w:t>
      </w:r>
      <w:r w:rsidR="00FC50C6" w:rsidRPr="000E7519">
        <w:rPr>
          <w:i/>
          <w:iCs/>
          <w:lang w:val="en-GB"/>
        </w:rPr>
        <w:t>Cirsium arvense</w:t>
      </w:r>
      <w:r w:rsidR="00C86200">
        <w:rPr>
          <w:lang w:val="en-US"/>
        </w:rPr>
        <w:t xml:space="preserve">) </w:t>
      </w:r>
      <w:r>
        <w:rPr>
          <w:lang w:val="en-US"/>
        </w:rPr>
        <w:t>and horsetail (Equisetum arvense). The spring counts were made to record whether there were any traceable effects from previous year’s cover crop treatments. The weed counts in spring were of course affected by the earlier herbicide spring applications</w:t>
      </w:r>
      <w:r w:rsidR="00FC50C6">
        <w:rPr>
          <w:lang w:val="en-US"/>
        </w:rPr>
        <w:t xml:space="preserve">, and the goal was to assess whether the previous fall vegetation resulted in carry-over effects that were detectable even after weed control measures. </w:t>
      </w:r>
    </w:p>
    <w:p w14:paraId="3E432932" w14:textId="52821A22" w:rsidR="00A70C8E" w:rsidRDefault="00997973" w:rsidP="007B22B0">
      <w:pPr>
        <w:pStyle w:val="Heading4"/>
        <w:rPr>
          <w:lang w:val="en-US"/>
        </w:rPr>
      </w:pPr>
      <w:r>
        <w:rPr>
          <w:lang w:val="en-US"/>
        </w:rPr>
        <w:t>Potential ecological value, agronomic harm</w:t>
      </w:r>
      <w:r w:rsidR="007B22B0">
        <w:rPr>
          <w:lang w:val="en-US"/>
        </w:rPr>
        <w:t>, pesticide toxicity</w:t>
      </w:r>
    </w:p>
    <w:p w14:paraId="7D714056" w14:textId="636331E2" w:rsidR="00530874" w:rsidRDefault="007B22B0" w:rsidP="00CA5767">
      <w:pPr>
        <w:rPr>
          <w:lang w:val="en-US"/>
        </w:rPr>
      </w:pPr>
      <w:r>
        <w:rPr>
          <w:lang w:val="en-US"/>
        </w:rPr>
        <w:t xml:space="preserve">Herbicide use data was translated into potential pesticide load index (PLI) using the Danish-PLI methodology </w:t>
      </w:r>
      <w:r>
        <w:rPr>
          <w:lang w:val="en-US"/>
        </w:rPr>
        <w:fldChar w:fldCharType="begin"/>
      </w:r>
      <w:r>
        <w:rPr>
          <w:lang w:val="en-US"/>
        </w:rPr>
        <w:instrText xml:space="preserve"> ADDIN ZOTERO_ITEM CSL_CITATION {"citationID":"pMYBOUYz","properties":{"formattedCitation":"(Kudsk et al., 2018)","plainCitation":"(Kudsk et al., 2018)","noteIndex":0},"citationItems":[{"id":49,"uris":["http://zotero.org/users/3599437/items/NAVLB2GA"],"itemData":{"id":49,"type":"article-journal","abstract":"Pesticides provide growers with an effective tool for the control of damaging crop pests preventing yield losses that could jeopardise food security. In recent years the potentially adverse effects of their use on human health and the environment has received increasing attention by the public and the competent authorities. In this context reliable pesticide risk indicators are pivotal to assess the potential risk associated with the use of pesticide. Several pesticide risk indicators, serving various purposes, have been developed over the years. Recently, a new pesticide risk indicator, the Pesticide Load (PL), was introduced in Denmark. The PL has replaced the Treatment Frequency Index (TFI) as the official pesticide risk indicator. The PL consists of three sub-indicators for human health, ecotoxicology and environmental fate, respectively. For each of the three sub-indicators a pesticide load (PL) is calculated and expressed as the PL per unit commercial product (kg, L or tablet). PL for human health (PLHH) is based on the risk phrases on the product label, while PL for ecotoxicology (PLECO) is calculated on basis of the LC/LD/EC50 values of the active ingredients for acute toxicity to mammals, birds, fish, daphnia, algae, aquatic plants, earthworms and bees and NOEC values for chronic toxicity to fish, daphnia and earthworms. PL for environmental fate (PLFATE) is calculated on basis of the half-life in soil (DT50), the bioaccumulation factor (BCF) and the SCI-GROW index. PL does not consider the actual exposure, i.e. it reflects the relative risks associated with the use of pesticides. Besides using PL for monitoring the yearly trend in pesticide use and load, the PL was also used for setting up a new pesticide tax scheme and for setting quantitative reduction targets. In Denmark, it is now compulsory for farmers to upload their pesticide use data, i.e. the annual pesticide statistics and the calculation of the PL can be produced on basis of pesticide use data rather than sales data that may not reflect the actual use by farmers. Because pesticide use data is available for each farm, maps providing detailed information on pesticide use in different regions can be produced. From 2010/11 to 2013/14 only minor differences were observed in the PL and, overall, similar trends were observed for the PL and TFI. Significant geographical differences, which could be attributed to differences in crop rotations, were apparent when estimating PL for each of the four major groups of pesticides (herbicides, fungicides, insecticides and plant growth regulators). The maps produced from the pesticide use data revealed significant variation in PL for ecotoxicological effects on aqueous organisms and bees as well as environmental parameters such as leaching potential. It is suggested to use the maps to identify ‘hot spots’ and design monitoring programmes or to launch initiatives that can reduce the PL. By linking information on mode of action to each commercial pesticide product it was also possible to obtain detailed information on the use pattern of the various pesticide modes of action, which is relevant information assessing the risk of evolution of pesticide resistance.","container-title":"Land Use Policy","DOI":"10.1016/j.landusepol.2017.11.010","ISSN":"0264-8377","journalAbbreviation":"Land Use Policy","language":"en","page":"384-393","source":"ScienceDirect","title":"Pesticide Load—A new Danish pesticide risk indicator with multiple applications","volume":"70","author":[{"family":"Kudsk","given":"Per"},{"family":"Jørgensen","given":"Lise Nistrup"},{"family":"Ørum","given":"Jens Erik"}],"issued":{"date-parts":[["2018",1,1]]}}}],"schema":"https://github.com/citation-style-language/schema/raw/master/csl-citation.json"} </w:instrText>
      </w:r>
      <w:r>
        <w:rPr>
          <w:lang w:val="en-US"/>
        </w:rPr>
        <w:fldChar w:fldCharType="separate"/>
      </w:r>
      <w:r w:rsidRPr="00E3737B">
        <w:rPr>
          <w:rFonts w:ascii="Aptos" w:hAnsi="Aptos"/>
          <w:lang w:val="en-US"/>
        </w:rPr>
        <w:t>(Kudsk et al., 2018)</w:t>
      </w:r>
      <w:r>
        <w:rPr>
          <w:lang w:val="en-US"/>
        </w:rPr>
        <w:fldChar w:fldCharType="end"/>
      </w:r>
      <w:r>
        <w:rPr>
          <w:lang w:val="en-US"/>
        </w:rPr>
        <w:t xml:space="preserve">. </w:t>
      </w:r>
      <w:r w:rsidR="00F65982">
        <w:rPr>
          <w:lang w:val="en-US"/>
        </w:rPr>
        <w:t xml:space="preserve">Ecological harm was estimated using a methodology derived from that of Yvoz et al. 2021. </w:t>
      </w:r>
      <w:r w:rsidR="00553E7F">
        <w:rPr>
          <w:lang w:val="en-US"/>
        </w:rPr>
        <w:t>Three main indices were estimated: (1) p</w:t>
      </w:r>
      <w:r w:rsidR="00F65982">
        <w:rPr>
          <w:lang w:val="en-US"/>
        </w:rPr>
        <w:t xml:space="preserve">otential benefits to pollinators </w:t>
      </w:r>
      <w:r w:rsidR="00553E7F">
        <w:rPr>
          <w:lang w:val="en-US"/>
        </w:rPr>
        <w:t>(</w:t>
      </w:r>
      <w:r w:rsidR="00F65982">
        <w:rPr>
          <w:lang w:val="en-US"/>
        </w:rPr>
        <w:t>three sub-indices representing the absolute benefit to bees (LATIN), bumble bees (LATIN), and hoverflies (LATIN)</w:t>
      </w:r>
      <w:r w:rsidR="00553E7F">
        <w:rPr>
          <w:lang w:val="en-US"/>
        </w:rPr>
        <w:t>, (2) p</w:t>
      </w:r>
      <w:r w:rsidR="00F65982">
        <w:rPr>
          <w:lang w:val="en-US"/>
        </w:rPr>
        <w:t xml:space="preserve">otential benefits to </w:t>
      </w:r>
      <w:r w:rsidR="00750879">
        <w:rPr>
          <w:lang w:val="en-US"/>
        </w:rPr>
        <w:t xml:space="preserve">organisms </w:t>
      </w:r>
      <w:r w:rsidR="00553E7F">
        <w:rPr>
          <w:lang w:val="en-US"/>
        </w:rPr>
        <w:t>(</w:t>
      </w:r>
      <w:r w:rsidR="00750879">
        <w:rPr>
          <w:lang w:val="en-US"/>
        </w:rPr>
        <w:t>three sub-indices representing absolute contributions to farmland birds, carabids, and parasitoid wasps</w:t>
      </w:r>
      <w:r w:rsidR="00553E7F">
        <w:rPr>
          <w:lang w:val="en-US"/>
        </w:rPr>
        <w:t>), and (3) p</w:t>
      </w:r>
      <w:r w:rsidR="00750879">
        <w:rPr>
          <w:lang w:val="en-US"/>
        </w:rPr>
        <w:t xml:space="preserve">otential harm </w:t>
      </w:r>
      <w:r w:rsidR="00553E7F">
        <w:rPr>
          <w:lang w:val="en-US"/>
        </w:rPr>
        <w:t>(</w:t>
      </w:r>
      <w:r w:rsidR="00750879">
        <w:rPr>
          <w:lang w:val="en-US"/>
        </w:rPr>
        <w:t>three sub-indices representing competition with crops, contribution to harvest difficulties, and contribution to future weed infestations</w:t>
      </w:r>
      <w:r w:rsidR="00553E7F">
        <w:rPr>
          <w:lang w:val="en-US"/>
        </w:rPr>
        <w:t xml:space="preserve">; </w:t>
      </w:r>
      <w:r w:rsidR="0034538E">
        <w:rPr>
          <w:lang w:val="en-US"/>
        </w:rPr>
        <w:t xml:space="preserve">see supplemental material). </w:t>
      </w:r>
      <w:r w:rsidR="00997973">
        <w:rPr>
          <w:lang w:val="en-US"/>
        </w:rPr>
        <w:t xml:space="preserve">Plant level attributes reported by Yvoz et al. 2021 for 155 species were used to assign </w:t>
      </w:r>
      <w:r w:rsidR="00CA5767">
        <w:rPr>
          <w:lang w:val="en-US"/>
        </w:rPr>
        <w:t>sub-</w:t>
      </w:r>
      <w:r w:rsidR="00F65982">
        <w:rPr>
          <w:lang w:val="en-US"/>
        </w:rPr>
        <w:t xml:space="preserve">indice </w:t>
      </w:r>
      <w:r w:rsidR="00997973">
        <w:rPr>
          <w:lang w:val="en-US"/>
        </w:rPr>
        <w:t>values to each of the 12 species in our dataset. For the four genuses</w:t>
      </w:r>
      <w:r w:rsidR="00FC50C6">
        <w:rPr>
          <w:lang w:val="en-US"/>
        </w:rPr>
        <w:t xml:space="preserve"> in our dataset</w:t>
      </w:r>
      <w:r w:rsidR="00997973">
        <w:rPr>
          <w:lang w:val="en-US"/>
        </w:rPr>
        <w:t xml:space="preserve">, the median value for all species reported in the database within that genus were used. </w:t>
      </w:r>
      <w:r w:rsidR="00CA5767">
        <w:rPr>
          <w:lang w:val="en-US"/>
        </w:rPr>
        <w:t>After each species/genus in the present study was assigned a value for each of the nine sub-indices, the sub-indices were scaled such that the maximum observed value in this study was assigned a value of 1, and the minimum a value of 0. Sub-indices were summed to provide an estimate for each of the three indices on a scale of 0-3.</w:t>
      </w:r>
      <w:r w:rsidR="00530874">
        <w:rPr>
          <w:lang w:val="en-US"/>
        </w:rPr>
        <w:t xml:space="preserve"> The vegetation community’s potential benefit to pollinators, contributions to organisms, and agronomic harms was assessed separately. The value of each species present was summed, weighted by its contribution to the percent cover. </w:t>
      </w:r>
      <w:r w:rsidR="001451D4">
        <w:rPr>
          <w:lang w:val="en-US"/>
        </w:rPr>
        <w:t>To summarise ‘ecological benefits’ of a community for the synthesis, the maximum value between the benefit to pollinators and contribution to organisms was taken.</w:t>
      </w:r>
    </w:p>
    <w:p w14:paraId="4303446C" w14:textId="265A2676" w:rsidR="00E3737B" w:rsidRDefault="00E3737B" w:rsidP="00997973">
      <w:pPr>
        <w:rPr>
          <w:lang w:val="en-US"/>
        </w:rPr>
      </w:pPr>
      <w:r>
        <w:rPr>
          <w:lang w:val="en-US"/>
        </w:rPr>
        <w:t xml:space="preserve">Supplemental </w:t>
      </w:r>
      <w:r w:rsidR="00E752C9">
        <w:rPr>
          <w:lang w:val="en-US"/>
        </w:rPr>
        <w:t>table 2</w:t>
      </w:r>
      <w:r w:rsidR="0034538E">
        <w:rPr>
          <w:lang w:val="en-US"/>
        </w:rPr>
        <w:t>. Summary of the indices derived from Yvoz et al. 2021 used in the present study. The reader is directed to the publication for more information.</w:t>
      </w:r>
    </w:p>
    <w:tbl>
      <w:tblPr>
        <w:tblStyle w:val="TableGrid"/>
        <w:tblW w:w="9209" w:type="dxa"/>
        <w:tblLook w:val="04A0" w:firstRow="1" w:lastRow="0" w:firstColumn="1" w:lastColumn="0" w:noHBand="0" w:noVBand="1"/>
      </w:tblPr>
      <w:tblGrid>
        <w:gridCol w:w="1463"/>
        <w:gridCol w:w="1463"/>
        <w:gridCol w:w="1806"/>
        <w:gridCol w:w="4477"/>
      </w:tblGrid>
      <w:tr w:rsidR="00E752C9" w14:paraId="70ADEA5D" w14:textId="77777777" w:rsidTr="00E752C9">
        <w:tc>
          <w:tcPr>
            <w:tcW w:w="1463" w:type="dxa"/>
          </w:tcPr>
          <w:p w14:paraId="1EF92159" w14:textId="242C41B7" w:rsidR="00E752C9" w:rsidRDefault="00E752C9" w:rsidP="00AE6425">
            <w:pPr>
              <w:rPr>
                <w:lang w:val="en-US"/>
              </w:rPr>
            </w:pPr>
            <w:r>
              <w:rPr>
                <w:lang w:val="en-US"/>
              </w:rPr>
              <w:t>Indice</w:t>
            </w:r>
          </w:p>
        </w:tc>
        <w:tc>
          <w:tcPr>
            <w:tcW w:w="1463" w:type="dxa"/>
          </w:tcPr>
          <w:p w14:paraId="4DE9262C" w14:textId="36CF9463" w:rsidR="00E752C9" w:rsidRDefault="00E752C9" w:rsidP="00AE6425">
            <w:pPr>
              <w:rPr>
                <w:lang w:val="en-US"/>
              </w:rPr>
            </w:pPr>
            <w:r>
              <w:rPr>
                <w:lang w:val="en-US"/>
              </w:rPr>
              <w:t>Sub-indice</w:t>
            </w:r>
          </w:p>
        </w:tc>
        <w:tc>
          <w:tcPr>
            <w:tcW w:w="1806" w:type="dxa"/>
          </w:tcPr>
          <w:p w14:paraId="30B8104F" w14:textId="5A18BDF0" w:rsidR="00E752C9" w:rsidRDefault="00E752C9" w:rsidP="00AE6425">
            <w:pPr>
              <w:rPr>
                <w:lang w:val="en-US"/>
              </w:rPr>
            </w:pPr>
            <w:r>
              <w:rPr>
                <w:lang w:val="en-US"/>
              </w:rPr>
              <w:t>Description</w:t>
            </w:r>
          </w:p>
        </w:tc>
        <w:tc>
          <w:tcPr>
            <w:tcW w:w="4477" w:type="dxa"/>
          </w:tcPr>
          <w:p w14:paraId="3106E5E2" w14:textId="3C4B5805" w:rsidR="00E752C9" w:rsidRDefault="0034538E" w:rsidP="00AE6425">
            <w:pPr>
              <w:rPr>
                <w:lang w:val="en-US"/>
              </w:rPr>
            </w:pPr>
            <w:r>
              <w:rPr>
                <w:lang w:val="en-US"/>
              </w:rPr>
              <w:t>Components, in brief</w:t>
            </w:r>
          </w:p>
        </w:tc>
      </w:tr>
      <w:tr w:rsidR="00E752C9" w:rsidRPr="00863080" w14:paraId="1D6D2A84" w14:textId="77777777" w:rsidTr="00E752C9">
        <w:tc>
          <w:tcPr>
            <w:tcW w:w="1463" w:type="dxa"/>
            <w:vMerge w:val="restart"/>
          </w:tcPr>
          <w:p w14:paraId="63633B18" w14:textId="2EE84E09" w:rsidR="00E752C9" w:rsidRDefault="00750879" w:rsidP="00AE6425">
            <w:pPr>
              <w:tabs>
                <w:tab w:val="left" w:pos="1942"/>
              </w:tabs>
              <w:rPr>
                <w:lang w:val="en-US"/>
              </w:rPr>
            </w:pPr>
            <w:r>
              <w:rPr>
                <w:lang w:val="en-US"/>
              </w:rPr>
              <w:t>Potential b</w:t>
            </w:r>
            <w:r w:rsidR="00E752C9">
              <w:rPr>
                <w:lang w:val="en-US"/>
              </w:rPr>
              <w:t>enefit to pollinators</w:t>
            </w:r>
          </w:p>
        </w:tc>
        <w:tc>
          <w:tcPr>
            <w:tcW w:w="1463" w:type="dxa"/>
          </w:tcPr>
          <w:p w14:paraId="7B251310" w14:textId="28B071FC" w:rsidR="00E752C9" w:rsidRDefault="00E752C9" w:rsidP="00AE6425">
            <w:pPr>
              <w:tabs>
                <w:tab w:val="left" w:pos="1942"/>
              </w:tabs>
              <w:rPr>
                <w:lang w:val="en-US"/>
              </w:rPr>
            </w:pPr>
            <w:r>
              <w:rPr>
                <w:lang w:val="en-US"/>
              </w:rPr>
              <w:t>Pol1</w:t>
            </w:r>
          </w:p>
        </w:tc>
        <w:tc>
          <w:tcPr>
            <w:tcW w:w="1806" w:type="dxa"/>
          </w:tcPr>
          <w:p w14:paraId="31DED85B" w14:textId="76B796A8" w:rsidR="00E752C9" w:rsidRDefault="00750879" w:rsidP="00AE6425">
            <w:pPr>
              <w:tabs>
                <w:tab w:val="left" w:pos="1942"/>
              </w:tabs>
              <w:rPr>
                <w:lang w:val="en-US"/>
              </w:rPr>
            </w:pPr>
            <w:r>
              <w:rPr>
                <w:lang w:val="en-US"/>
              </w:rPr>
              <w:t>B</w:t>
            </w:r>
            <w:r w:rsidR="00E752C9">
              <w:rPr>
                <w:lang w:val="en-US"/>
              </w:rPr>
              <w:t>enefit to bees</w:t>
            </w:r>
          </w:p>
        </w:tc>
        <w:tc>
          <w:tcPr>
            <w:tcW w:w="4477" w:type="dxa"/>
          </w:tcPr>
          <w:p w14:paraId="347591F5" w14:textId="77777777" w:rsidR="00E752C9" w:rsidRDefault="00E752C9" w:rsidP="00AE6425">
            <w:pPr>
              <w:rPr>
                <w:lang w:val="en-US"/>
              </w:rPr>
            </w:pPr>
            <w:r>
              <w:rPr>
                <w:lang w:val="en-US"/>
              </w:rPr>
              <w:t xml:space="preserve">Value to pollinators group (Table 3 from </w:t>
            </w:r>
            <w:r>
              <w:rPr>
                <w:lang w:val="en-US"/>
              </w:rPr>
              <w:fldChar w:fldCharType="begin"/>
            </w:r>
            <w:r>
              <w:rPr>
                <w:lang w:val="en-US"/>
              </w:rPr>
              <w:instrText xml:space="preserve"> ADDIN ZOTERO_ITEM CSL_CITATION {"citationID":"dvUAjvip","properties":{"formattedCitation":"(Ricou et al., 2014)","plainCitation":"(Ricou et al., 2014)","noteIndex":0},"citationItems":[{"id":1507,"uris":["http://zotero.org/users/3599437/items/ELSJN9Z8"],"itemData":{"id":1507,"type":"article-journal","abstract":"Conservation of pollinator abundance and diversity is an important issue because it contributes to maintaining a diverse community of plant species in agroecosystems. The presence of semi-natural areas favorable to pollination is a key factor for achieving this objective of sustainability. Sowing mixtures of dicotyledonous plants that are rich in pollen and nectar as flower strips along field margins is an efficient solution to attract pollinators and to support their foraging activity on arable land. The enhancement of agroecosystems requires operational methods that make it possible to assess the impact of existing and sown semi-natural areas on pollination. We developed here a new predictive indicator that can be used at the field margin and floral levels, which predicts the pollination value of floral diversity and abundance of field margins on arable land. We based the predictive indicator on decision trees using “if-then” linguistic rules because of the lack of sufficient quantitative knowledge about the relationships between floral traits and pollination. This approach makes it possible to use quantitative and qualitative information. We associated fuzzy subsets to the decision trees and the classes of variables in order to avoid the knife-edge effect of class limits. At the species level, the indicator depends on three criteria: (i) visual attractiveness in terms of flower size, color and UV reflection; (ii) flower accessibility according to the botanical family, the symmetry and the shape of the flower; and (iii) the reward linked to pollen and nectar quantity and quality. An aggregation procedure allows us to obtain a value at the field margin level for each month as a function of the flowering period and pollination activity. Examples of calculations for honeybees, wild bees, bumblebees and hoverflies are shown. The evaluation of the predictive quality yielded significant correlations between pollinator abundance and the indicator value. The level of correlation is satisfying for this type of indicator, which might be further improved with additional data on plant traits. Coupling this indicator with a model that assesses the impact of management on plant diversity and abundance will be a further step to help agronomists who work on the improvement of arable farming management in order to lower its negative impact on pollination.","container-title":"Ecological Indicators","DOI":"10.1016/j.ecolind.2014.03.022","ISSN":"1470-160X","journalAbbreviation":"Ecological Indicators","page":"320-331","source":"ScienceDirect","title":"A vegetation-based indicator to assess the pollination value of field margin flora","volume":"45","author":[{"family":"Ricou","given":"Charles"},{"family":"Schneller","given":"Chloé"},{"family":"Amiaud","given":"Bernard"},{"family":"Plantureux","given":"Sylvain"},{"family":"Bockstaller","given":"Christian"}],"issued":{"date-parts":[["2014",10,1]]}}}],"schema":"https://github.com/citation-style-language/schema/raw/master/csl-citation.json"} </w:instrText>
            </w:r>
            <w:r>
              <w:rPr>
                <w:lang w:val="en-US"/>
              </w:rPr>
              <w:fldChar w:fldCharType="separate"/>
            </w:r>
            <w:r w:rsidRPr="00DB54A3">
              <w:rPr>
                <w:rFonts w:ascii="Aptos" w:hAnsi="Aptos"/>
                <w:lang w:val="en-US"/>
              </w:rPr>
              <w:t>(Ricou et al., 2014)</w:t>
            </w:r>
            <w:r>
              <w:rPr>
                <w:lang w:val="en-US"/>
              </w:rPr>
              <w:fldChar w:fldCharType="end"/>
            </w:r>
            <w:r>
              <w:rPr>
                <w:lang w:val="en-US"/>
              </w:rPr>
              <w:t>) flower diameter, average number of flowers per plant</w:t>
            </w:r>
          </w:p>
        </w:tc>
      </w:tr>
      <w:tr w:rsidR="00E752C9" w:rsidRPr="00863080" w14:paraId="3A55977A" w14:textId="77777777" w:rsidTr="00E752C9">
        <w:tc>
          <w:tcPr>
            <w:tcW w:w="1463" w:type="dxa"/>
            <w:vMerge/>
          </w:tcPr>
          <w:p w14:paraId="5073DBAD" w14:textId="43936D1B" w:rsidR="00E752C9" w:rsidRDefault="00E752C9" w:rsidP="00AE6425">
            <w:pPr>
              <w:rPr>
                <w:lang w:val="en-US"/>
              </w:rPr>
            </w:pPr>
          </w:p>
        </w:tc>
        <w:tc>
          <w:tcPr>
            <w:tcW w:w="1463" w:type="dxa"/>
          </w:tcPr>
          <w:p w14:paraId="739EF333" w14:textId="14119A5B" w:rsidR="00E752C9" w:rsidRDefault="00E752C9" w:rsidP="00AE6425">
            <w:pPr>
              <w:rPr>
                <w:lang w:val="en-US"/>
              </w:rPr>
            </w:pPr>
            <w:r>
              <w:rPr>
                <w:lang w:val="en-US"/>
              </w:rPr>
              <w:t>Pol2</w:t>
            </w:r>
          </w:p>
        </w:tc>
        <w:tc>
          <w:tcPr>
            <w:tcW w:w="1806" w:type="dxa"/>
          </w:tcPr>
          <w:p w14:paraId="534CB4B4" w14:textId="36A31238" w:rsidR="00E752C9" w:rsidRDefault="00750879" w:rsidP="00AE6425">
            <w:pPr>
              <w:rPr>
                <w:lang w:val="en-US"/>
              </w:rPr>
            </w:pPr>
            <w:r>
              <w:rPr>
                <w:lang w:val="en-US"/>
              </w:rPr>
              <w:t>B</w:t>
            </w:r>
            <w:r w:rsidR="00E752C9">
              <w:rPr>
                <w:lang w:val="en-US"/>
              </w:rPr>
              <w:t>enefit to bumble bees</w:t>
            </w:r>
          </w:p>
        </w:tc>
        <w:tc>
          <w:tcPr>
            <w:tcW w:w="4477" w:type="dxa"/>
          </w:tcPr>
          <w:p w14:paraId="34EE7043" w14:textId="4940A422" w:rsidR="00E752C9" w:rsidRDefault="0034538E" w:rsidP="00AE6425">
            <w:pPr>
              <w:rPr>
                <w:lang w:val="en-US"/>
              </w:rPr>
            </w:pPr>
            <w:r>
              <w:rPr>
                <w:lang w:val="en-US"/>
              </w:rPr>
              <w:t>Same as above</w:t>
            </w:r>
          </w:p>
        </w:tc>
      </w:tr>
      <w:tr w:rsidR="00E752C9" w:rsidRPr="00863080" w14:paraId="5FFD2ED1" w14:textId="77777777" w:rsidTr="00E752C9">
        <w:tc>
          <w:tcPr>
            <w:tcW w:w="1463" w:type="dxa"/>
            <w:vMerge/>
          </w:tcPr>
          <w:p w14:paraId="39D80E2E" w14:textId="09CD7BE1" w:rsidR="00E752C9" w:rsidRDefault="00E752C9" w:rsidP="00AE6425">
            <w:pPr>
              <w:rPr>
                <w:lang w:val="en-US"/>
              </w:rPr>
            </w:pPr>
          </w:p>
        </w:tc>
        <w:tc>
          <w:tcPr>
            <w:tcW w:w="1463" w:type="dxa"/>
          </w:tcPr>
          <w:p w14:paraId="6E14EF32" w14:textId="025B4551" w:rsidR="00E752C9" w:rsidRDefault="00E752C9" w:rsidP="00AE6425">
            <w:pPr>
              <w:rPr>
                <w:lang w:val="en-US"/>
              </w:rPr>
            </w:pPr>
            <w:r>
              <w:rPr>
                <w:lang w:val="en-US"/>
              </w:rPr>
              <w:t>Pol3</w:t>
            </w:r>
          </w:p>
        </w:tc>
        <w:tc>
          <w:tcPr>
            <w:tcW w:w="1806" w:type="dxa"/>
          </w:tcPr>
          <w:p w14:paraId="3F35D9F4" w14:textId="4F5E5B40" w:rsidR="00E752C9" w:rsidRDefault="00750879" w:rsidP="00AE6425">
            <w:pPr>
              <w:rPr>
                <w:lang w:val="en-US"/>
              </w:rPr>
            </w:pPr>
            <w:r>
              <w:rPr>
                <w:lang w:val="en-US"/>
              </w:rPr>
              <w:t>B</w:t>
            </w:r>
            <w:r w:rsidR="00E752C9">
              <w:rPr>
                <w:lang w:val="en-US"/>
              </w:rPr>
              <w:t>enefit to hoverflies</w:t>
            </w:r>
          </w:p>
        </w:tc>
        <w:tc>
          <w:tcPr>
            <w:tcW w:w="4477" w:type="dxa"/>
          </w:tcPr>
          <w:p w14:paraId="1A2030CF" w14:textId="786CA8E2" w:rsidR="00E752C9" w:rsidRDefault="0034538E" w:rsidP="00AE6425">
            <w:pPr>
              <w:rPr>
                <w:lang w:val="en-US"/>
              </w:rPr>
            </w:pPr>
            <w:r>
              <w:rPr>
                <w:lang w:val="en-US"/>
              </w:rPr>
              <w:t>Same as above</w:t>
            </w:r>
          </w:p>
        </w:tc>
      </w:tr>
      <w:tr w:rsidR="00E752C9" w:rsidRPr="00863080" w14:paraId="6FC74A4A" w14:textId="77777777" w:rsidTr="00E752C9">
        <w:tc>
          <w:tcPr>
            <w:tcW w:w="1463" w:type="dxa"/>
            <w:vMerge w:val="restart"/>
          </w:tcPr>
          <w:p w14:paraId="274220BE" w14:textId="62842994" w:rsidR="00E752C9" w:rsidRDefault="00750879" w:rsidP="00AE6425">
            <w:pPr>
              <w:rPr>
                <w:lang w:val="en-US"/>
              </w:rPr>
            </w:pPr>
            <w:r>
              <w:rPr>
                <w:lang w:val="en-US"/>
              </w:rPr>
              <w:t>Potential c</w:t>
            </w:r>
            <w:r w:rsidR="00E752C9">
              <w:rPr>
                <w:lang w:val="en-US"/>
              </w:rPr>
              <w:t>ontribution to organisms</w:t>
            </w:r>
          </w:p>
        </w:tc>
        <w:tc>
          <w:tcPr>
            <w:tcW w:w="1463" w:type="dxa"/>
          </w:tcPr>
          <w:p w14:paraId="2E268BDD" w14:textId="027EE702" w:rsidR="00E752C9" w:rsidRDefault="00E752C9" w:rsidP="00AE6425">
            <w:pPr>
              <w:rPr>
                <w:lang w:val="en-US"/>
              </w:rPr>
            </w:pPr>
            <w:r>
              <w:rPr>
                <w:lang w:val="en-US"/>
              </w:rPr>
              <w:t>Cont1</w:t>
            </w:r>
          </w:p>
        </w:tc>
        <w:tc>
          <w:tcPr>
            <w:tcW w:w="1806" w:type="dxa"/>
          </w:tcPr>
          <w:p w14:paraId="1D051B32" w14:textId="246A593D" w:rsidR="00E752C9" w:rsidRDefault="00750879" w:rsidP="00AE6425">
            <w:pPr>
              <w:rPr>
                <w:lang w:val="en-US"/>
              </w:rPr>
            </w:pPr>
            <w:r>
              <w:rPr>
                <w:lang w:val="en-US"/>
              </w:rPr>
              <w:t>C</w:t>
            </w:r>
            <w:r w:rsidR="00E752C9">
              <w:rPr>
                <w:lang w:val="en-US"/>
              </w:rPr>
              <w:t>ontribution to farmland birds</w:t>
            </w:r>
          </w:p>
        </w:tc>
        <w:tc>
          <w:tcPr>
            <w:tcW w:w="4477" w:type="dxa"/>
          </w:tcPr>
          <w:p w14:paraId="271F1DCF" w14:textId="77777777" w:rsidR="00E752C9" w:rsidRDefault="00E752C9" w:rsidP="00AE6425">
            <w:pPr>
              <w:rPr>
                <w:lang w:val="en-US"/>
              </w:rPr>
            </w:pPr>
            <w:r>
              <w:rPr>
                <w:lang w:val="en-US"/>
              </w:rPr>
              <w:t>Seed lipid content, seed mass, average number of seeds per plant</w:t>
            </w:r>
          </w:p>
        </w:tc>
      </w:tr>
      <w:tr w:rsidR="00E752C9" w:rsidRPr="00863080" w14:paraId="0E7DE4AA" w14:textId="77777777" w:rsidTr="00E752C9">
        <w:tc>
          <w:tcPr>
            <w:tcW w:w="1463" w:type="dxa"/>
            <w:vMerge/>
          </w:tcPr>
          <w:p w14:paraId="1F786836" w14:textId="4ECC63A8" w:rsidR="00E752C9" w:rsidRDefault="00E752C9" w:rsidP="00AE6425">
            <w:pPr>
              <w:rPr>
                <w:lang w:val="en-US"/>
              </w:rPr>
            </w:pPr>
          </w:p>
        </w:tc>
        <w:tc>
          <w:tcPr>
            <w:tcW w:w="1463" w:type="dxa"/>
          </w:tcPr>
          <w:p w14:paraId="2FD0A254" w14:textId="5970DC25" w:rsidR="00E752C9" w:rsidRDefault="00E752C9" w:rsidP="00AE6425">
            <w:pPr>
              <w:rPr>
                <w:lang w:val="en-US"/>
              </w:rPr>
            </w:pPr>
            <w:r>
              <w:rPr>
                <w:lang w:val="en-US"/>
              </w:rPr>
              <w:t>Cont2</w:t>
            </w:r>
          </w:p>
        </w:tc>
        <w:tc>
          <w:tcPr>
            <w:tcW w:w="1806" w:type="dxa"/>
          </w:tcPr>
          <w:p w14:paraId="3A14B143" w14:textId="35B4128A" w:rsidR="00E752C9" w:rsidRDefault="00750879" w:rsidP="00AE6425">
            <w:pPr>
              <w:rPr>
                <w:lang w:val="en-US"/>
              </w:rPr>
            </w:pPr>
            <w:r>
              <w:rPr>
                <w:lang w:val="en-US"/>
              </w:rPr>
              <w:t>C</w:t>
            </w:r>
            <w:r w:rsidR="00E752C9">
              <w:rPr>
                <w:lang w:val="en-US"/>
              </w:rPr>
              <w:t>ontribution to carabids</w:t>
            </w:r>
          </w:p>
        </w:tc>
        <w:tc>
          <w:tcPr>
            <w:tcW w:w="4477" w:type="dxa"/>
          </w:tcPr>
          <w:p w14:paraId="47792B46" w14:textId="77777777" w:rsidR="00E752C9" w:rsidRDefault="00E752C9" w:rsidP="00AE6425">
            <w:pPr>
              <w:rPr>
                <w:lang w:val="en-US"/>
              </w:rPr>
            </w:pPr>
            <w:r>
              <w:rPr>
                <w:lang w:val="en-US"/>
              </w:rPr>
              <w:t>Seed lipid content, seed mass, seed accessibility (size), average number of seeds per plant</w:t>
            </w:r>
          </w:p>
        </w:tc>
      </w:tr>
      <w:tr w:rsidR="00E752C9" w:rsidRPr="00863080" w14:paraId="3163CF02" w14:textId="77777777" w:rsidTr="00E752C9">
        <w:tc>
          <w:tcPr>
            <w:tcW w:w="1463" w:type="dxa"/>
            <w:vMerge/>
          </w:tcPr>
          <w:p w14:paraId="1163A5BF" w14:textId="5CEDF378" w:rsidR="00E752C9" w:rsidRDefault="00E752C9" w:rsidP="00AE6425">
            <w:pPr>
              <w:rPr>
                <w:lang w:val="en-US"/>
              </w:rPr>
            </w:pPr>
          </w:p>
        </w:tc>
        <w:tc>
          <w:tcPr>
            <w:tcW w:w="1463" w:type="dxa"/>
          </w:tcPr>
          <w:p w14:paraId="29CEBD54" w14:textId="59BA4C8E" w:rsidR="00E752C9" w:rsidRDefault="00E752C9" w:rsidP="00AE6425">
            <w:pPr>
              <w:rPr>
                <w:lang w:val="en-US"/>
              </w:rPr>
            </w:pPr>
            <w:r>
              <w:rPr>
                <w:lang w:val="en-US"/>
              </w:rPr>
              <w:t>Cont3</w:t>
            </w:r>
          </w:p>
        </w:tc>
        <w:tc>
          <w:tcPr>
            <w:tcW w:w="1806" w:type="dxa"/>
          </w:tcPr>
          <w:p w14:paraId="70BA6C50" w14:textId="770E320B" w:rsidR="00E752C9" w:rsidRDefault="00750879" w:rsidP="00AE6425">
            <w:pPr>
              <w:rPr>
                <w:lang w:val="en-US"/>
              </w:rPr>
            </w:pPr>
            <w:r>
              <w:rPr>
                <w:lang w:val="en-US"/>
              </w:rPr>
              <w:t>C</w:t>
            </w:r>
            <w:r w:rsidR="00E752C9">
              <w:rPr>
                <w:lang w:val="en-US"/>
              </w:rPr>
              <w:t>ontribution to parasitoid wasps</w:t>
            </w:r>
          </w:p>
        </w:tc>
        <w:tc>
          <w:tcPr>
            <w:tcW w:w="4477" w:type="dxa"/>
          </w:tcPr>
          <w:p w14:paraId="6004C0C2" w14:textId="55335B42" w:rsidR="00E752C9" w:rsidRDefault="00E752C9" w:rsidP="00AE6425">
            <w:pPr>
              <w:rPr>
                <w:lang w:val="en-US"/>
              </w:rPr>
            </w:pPr>
            <w:r>
              <w:rPr>
                <w:lang w:val="en-US"/>
              </w:rPr>
              <w:t xml:space="preserve">Nectar quantity, </w:t>
            </w:r>
            <w:r w:rsidR="0034538E">
              <w:rPr>
                <w:lang w:val="en-US"/>
              </w:rPr>
              <w:t>flower form, corolla depth, flower number, extra floral nectar production</w:t>
            </w:r>
          </w:p>
        </w:tc>
      </w:tr>
      <w:tr w:rsidR="00E752C9" w:rsidRPr="00863080" w14:paraId="68B0E23A" w14:textId="77777777" w:rsidTr="00E752C9">
        <w:tc>
          <w:tcPr>
            <w:tcW w:w="1463" w:type="dxa"/>
            <w:vMerge w:val="restart"/>
          </w:tcPr>
          <w:p w14:paraId="4A1728D9" w14:textId="51070F79" w:rsidR="00E752C9" w:rsidRDefault="00750879" w:rsidP="00AE6425">
            <w:pPr>
              <w:rPr>
                <w:lang w:val="en-US"/>
              </w:rPr>
            </w:pPr>
            <w:r>
              <w:rPr>
                <w:lang w:val="en-US"/>
              </w:rPr>
              <w:lastRenderedPageBreak/>
              <w:t>Potential a</w:t>
            </w:r>
            <w:r w:rsidR="00E752C9">
              <w:rPr>
                <w:lang w:val="en-US"/>
              </w:rPr>
              <w:t>gronomic harm</w:t>
            </w:r>
          </w:p>
        </w:tc>
        <w:tc>
          <w:tcPr>
            <w:tcW w:w="1463" w:type="dxa"/>
          </w:tcPr>
          <w:p w14:paraId="2EC5ACE9" w14:textId="5B17C2F8" w:rsidR="00E752C9" w:rsidRDefault="00E752C9" w:rsidP="00AE6425">
            <w:pPr>
              <w:rPr>
                <w:lang w:val="en-US"/>
              </w:rPr>
            </w:pPr>
            <w:r>
              <w:rPr>
                <w:lang w:val="en-US"/>
              </w:rPr>
              <w:t>Harm1</w:t>
            </w:r>
          </w:p>
        </w:tc>
        <w:tc>
          <w:tcPr>
            <w:tcW w:w="1806" w:type="dxa"/>
          </w:tcPr>
          <w:p w14:paraId="548E17AC" w14:textId="77777777" w:rsidR="00E752C9" w:rsidRDefault="00E752C9" w:rsidP="00AE6425">
            <w:pPr>
              <w:rPr>
                <w:lang w:val="en-US"/>
              </w:rPr>
            </w:pPr>
            <w:r>
              <w:rPr>
                <w:lang w:val="en-US"/>
              </w:rPr>
              <w:t>Competition with crop</w:t>
            </w:r>
          </w:p>
        </w:tc>
        <w:tc>
          <w:tcPr>
            <w:tcW w:w="4477" w:type="dxa"/>
          </w:tcPr>
          <w:p w14:paraId="2732F36A" w14:textId="5551AD0C" w:rsidR="00E752C9" w:rsidRDefault="00750879" w:rsidP="00AE6425">
            <w:pPr>
              <w:rPr>
                <w:lang w:val="en-US"/>
              </w:rPr>
            </w:pPr>
            <w:r>
              <w:rPr>
                <w:lang w:val="en-US"/>
              </w:rPr>
              <w:t>Germination period, flowering period, relative height, relative Ellenberg N, relative specific leaf area, survival success in crop</w:t>
            </w:r>
          </w:p>
        </w:tc>
      </w:tr>
      <w:tr w:rsidR="00E752C9" w:rsidRPr="00863080" w14:paraId="64ED5AB1" w14:textId="77777777" w:rsidTr="00E752C9">
        <w:tc>
          <w:tcPr>
            <w:tcW w:w="1463" w:type="dxa"/>
            <w:vMerge/>
          </w:tcPr>
          <w:p w14:paraId="0F1D0F15" w14:textId="7B91FC8F" w:rsidR="00E752C9" w:rsidRDefault="00E752C9" w:rsidP="00AE6425">
            <w:pPr>
              <w:rPr>
                <w:lang w:val="en-US"/>
              </w:rPr>
            </w:pPr>
          </w:p>
        </w:tc>
        <w:tc>
          <w:tcPr>
            <w:tcW w:w="1463" w:type="dxa"/>
          </w:tcPr>
          <w:p w14:paraId="0B385AF8" w14:textId="399F86B3" w:rsidR="00E752C9" w:rsidRDefault="00E752C9" w:rsidP="00AE6425">
            <w:pPr>
              <w:rPr>
                <w:lang w:val="en-US"/>
              </w:rPr>
            </w:pPr>
            <w:r>
              <w:rPr>
                <w:lang w:val="en-US"/>
              </w:rPr>
              <w:t>Harm2</w:t>
            </w:r>
          </w:p>
        </w:tc>
        <w:tc>
          <w:tcPr>
            <w:tcW w:w="1806" w:type="dxa"/>
          </w:tcPr>
          <w:p w14:paraId="4F1D0043" w14:textId="77777777" w:rsidR="00E752C9" w:rsidRDefault="00E752C9" w:rsidP="00AE6425">
            <w:pPr>
              <w:rPr>
                <w:lang w:val="en-US"/>
              </w:rPr>
            </w:pPr>
            <w:r>
              <w:rPr>
                <w:lang w:val="en-US"/>
              </w:rPr>
              <w:t>Contribution to harvest difficulties</w:t>
            </w:r>
          </w:p>
        </w:tc>
        <w:tc>
          <w:tcPr>
            <w:tcW w:w="4477" w:type="dxa"/>
          </w:tcPr>
          <w:p w14:paraId="5F3DE7AA" w14:textId="09879045" w:rsidR="00E752C9" w:rsidRDefault="00750879" w:rsidP="00AE6425">
            <w:pPr>
              <w:rPr>
                <w:lang w:val="en-US"/>
              </w:rPr>
            </w:pPr>
            <w:r>
              <w:rPr>
                <w:lang w:val="en-US"/>
              </w:rPr>
              <w:t>Maximum height, proportion of plants green at harvest, synchrony between flowering period and crop harvest</w:t>
            </w:r>
          </w:p>
        </w:tc>
      </w:tr>
      <w:tr w:rsidR="00E752C9" w:rsidRPr="00863080" w14:paraId="186264A0" w14:textId="77777777" w:rsidTr="00E752C9">
        <w:tc>
          <w:tcPr>
            <w:tcW w:w="1463" w:type="dxa"/>
            <w:vMerge/>
          </w:tcPr>
          <w:p w14:paraId="759DC500" w14:textId="1E103272" w:rsidR="00E752C9" w:rsidRDefault="00E752C9" w:rsidP="00AE6425">
            <w:pPr>
              <w:rPr>
                <w:lang w:val="en-US"/>
              </w:rPr>
            </w:pPr>
          </w:p>
        </w:tc>
        <w:tc>
          <w:tcPr>
            <w:tcW w:w="1463" w:type="dxa"/>
          </w:tcPr>
          <w:p w14:paraId="74FD8BD8" w14:textId="37FF5C5E" w:rsidR="00E752C9" w:rsidRDefault="00E752C9" w:rsidP="00AE6425">
            <w:pPr>
              <w:rPr>
                <w:lang w:val="en-US"/>
              </w:rPr>
            </w:pPr>
            <w:r>
              <w:rPr>
                <w:lang w:val="en-US"/>
              </w:rPr>
              <w:t>Harm3</w:t>
            </w:r>
          </w:p>
        </w:tc>
        <w:tc>
          <w:tcPr>
            <w:tcW w:w="1806" w:type="dxa"/>
          </w:tcPr>
          <w:p w14:paraId="276F7F99" w14:textId="77777777" w:rsidR="00E752C9" w:rsidRDefault="00E752C9" w:rsidP="00AE6425">
            <w:pPr>
              <w:rPr>
                <w:lang w:val="en-US"/>
              </w:rPr>
            </w:pPr>
            <w:r>
              <w:rPr>
                <w:lang w:val="en-US"/>
              </w:rPr>
              <w:t>Contribution to future weed infestations</w:t>
            </w:r>
          </w:p>
        </w:tc>
        <w:tc>
          <w:tcPr>
            <w:tcW w:w="4477" w:type="dxa"/>
          </w:tcPr>
          <w:p w14:paraId="4B5F0C29" w14:textId="7C3FB3B5" w:rsidR="00E752C9" w:rsidRDefault="0034538E" w:rsidP="00AE6425">
            <w:pPr>
              <w:rPr>
                <w:lang w:val="en-US"/>
              </w:rPr>
            </w:pPr>
            <w:r>
              <w:rPr>
                <w:lang w:val="en-US"/>
              </w:rPr>
              <w:t>Seed longevity, average seed number per plant</w:t>
            </w:r>
          </w:p>
        </w:tc>
      </w:tr>
    </w:tbl>
    <w:p w14:paraId="11BB1EE7" w14:textId="77777777" w:rsidR="00997973" w:rsidRPr="00FF440C" w:rsidRDefault="00997973" w:rsidP="00997973">
      <w:pPr>
        <w:rPr>
          <w:lang w:val="en-US"/>
        </w:rPr>
      </w:pPr>
    </w:p>
    <w:p w14:paraId="529D300D" w14:textId="223AD316" w:rsidR="00997973" w:rsidRDefault="00997973" w:rsidP="00997973">
      <w:pPr>
        <w:rPr>
          <w:lang w:val="en-US"/>
        </w:rPr>
      </w:pPr>
    </w:p>
    <w:p w14:paraId="050FF2C8" w14:textId="77777777" w:rsidR="00997973" w:rsidRDefault="00997973" w:rsidP="00A70C8E">
      <w:pPr>
        <w:rPr>
          <w:lang w:val="en-US"/>
        </w:rPr>
      </w:pPr>
    </w:p>
    <w:p w14:paraId="1DCD7691" w14:textId="77777777" w:rsidR="00997973" w:rsidRDefault="00997973" w:rsidP="00A70C8E">
      <w:pPr>
        <w:rPr>
          <w:lang w:val="en-US"/>
        </w:rPr>
      </w:pPr>
    </w:p>
    <w:p w14:paraId="746D4232" w14:textId="74EDF368" w:rsidR="00E3737B" w:rsidRPr="00CA5767" w:rsidRDefault="00CA5767" w:rsidP="007B22B0">
      <w:pPr>
        <w:rPr>
          <w:i/>
          <w:iCs/>
          <w:color w:val="FF0000"/>
          <w:lang w:val="en-US"/>
        </w:rPr>
      </w:pPr>
      <w:r w:rsidRPr="00CA5767">
        <w:rPr>
          <w:i/>
          <w:iCs/>
          <w:color w:val="FF0000"/>
          <w:lang w:val="en-US"/>
        </w:rPr>
        <w:t>T</w:t>
      </w:r>
      <w:r w:rsidR="004E57F2" w:rsidRPr="00CA5767">
        <w:rPr>
          <w:i/>
          <w:iCs/>
          <w:color w:val="FF0000"/>
          <w:lang w:val="en-US"/>
        </w:rPr>
        <w:t>he problem is these all depend on flowers being present, or seeds becoming present. The value of the green thing is not…included</w:t>
      </w:r>
      <w:r w:rsidRPr="00CA5767">
        <w:rPr>
          <w:i/>
          <w:iCs/>
          <w:color w:val="FF0000"/>
          <w:lang w:val="en-US"/>
        </w:rPr>
        <w:t>…except in the case of harm</w:t>
      </w:r>
      <w:r w:rsidR="004E57F2" w:rsidRPr="00CA5767">
        <w:rPr>
          <w:i/>
          <w:iCs/>
          <w:color w:val="FF0000"/>
          <w:lang w:val="en-US"/>
        </w:rPr>
        <w:t>.</w:t>
      </w:r>
      <w:r w:rsidRPr="00CA5767">
        <w:rPr>
          <w:i/>
          <w:iCs/>
          <w:color w:val="FF0000"/>
          <w:lang w:val="en-US"/>
        </w:rPr>
        <w:t xml:space="preserve"> I will just have to ignore that I think. </w:t>
      </w:r>
      <w:r w:rsidR="004E57F2" w:rsidRPr="00CA5767">
        <w:rPr>
          <w:i/>
          <w:iCs/>
          <w:color w:val="FF0000"/>
          <w:lang w:val="en-US"/>
        </w:rPr>
        <w:t xml:space="preserve"> </w:t>
      </w:r>
    </w:p>
    <w:p w14:paraId="441146D7" w14:textId="68641AC0" w:rsidR="001451D4" w:rsidRDefault="001451D4" w:rsidP="001451D4">
      <w:pPr>
        <w:rPr>
          <w:lang w:val="en-US"/>
        </w:rPr>
      </w:pPr>
    </w:p>
    <w:p w14:paraId="3465B130" w14:textId="01C6D620" w:rsidR="00B730C3" w:rsidRPr="00B730C3" w:rsidRDefault="00B730C3" w:rsidP="00344A84">
      <w:pPr>
        <w:pStyle w:val="Heading1"/>
        <w:rPr>
          <w:lang w:val="en-US"/>
        </w:rPr>
      </w:pPr>
      <w:r w:rsidRPr="00B730C3">
        <w:rPr>
          <w:lang w:val="en-US"/>
        </w:rPr>
        <w:lastRenderedPageBreak/>
        <w:t>Results</w:t>
      </w:r>
    </w:p>
    <w:p w14:paraId="3C4B3E6D" w14:textId="77777777" w:rsidR="00B730C3" w:rsidRDefault="00B730C3" w:rsidP="00344A84">
      <w:pPr>
        <w:pStyle w:val="Heading2"/>
        <w:rPr>
          <w:lang w:val="en-US"/>
        </w:rPr>
      </w:pPr>
      <w:r w:rsidRPr="00B730C3">
        <w:rPr>
          <w:lang w:val="en-US"/>
        </w:rPr>
        <w:t>Weather</w:t>
      </w:r>
    </w:p>
    <w:p w14:paraId="031DC5B5" w14:textId="21893993" w:rsidR="00F139C1" w:rsidRPr="00863080" w:rsidRDefault="00F139C1" w:rsidP="00F139C1">
      <w:pPr>
        <w:rPr>
          <w:lang w:val="en-US"/>
        </w:rPr>
      </w:pPr>
      <w:r w:rsidRPr="00F139C1">
        <w:rPr>
          <w:noProof/>
        </w:rPr>
        <w:drawing>
          <wp:inline distT="0" distB="0" distL="0" distR="0" wp14:anchorId="037037EA" wp14:editId="4B7429E3">
            <wp:extent cx="5731510" cy="5731510"/>
            <wp:effectExtent l="0" t="0" r="2540" b="2540"/>
            <wp:docPr id="1283435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580477DB" w14:textId="555EEA8B" w:rsidR="007B22B0" w:rsidRPr="00E752C9" w:rsidRDefault="007B22B0" w:rsidP="007B22B0">
      <w:pPr>
        <w:rPr>
          <w:lang w:val="en-US"/>
        </w:rPr>
      </w:pPr>
    </w:p>
    <w:p w14:paraId="7B3D35F8" w14:textId="008F706E" w:rsidR="00344A84" w:rsidRDefault="00344A84" w:rsidP="00344A84">
      <w:pPr>
        <w:rPr>
          <w:lang w:val="en-US"/>
        </w:rPr>
      </w:pPr>
    </w:p>
    <w:p w14:paraId="715D77CE" w14:textId="49B533CD" w:rsidR="007B22B0" w:rsidRDefault="008A7B67" w:rsidP="007B22B0">
      <w:pPr>
        <w:pStyle w:val="Heading2"/>
        <w:rPr>
          <w:lang w:val="en-US"/>
        </w:rPr>
      </w:pPr>
      <w:r>
        <w:rPr>
          <w:lang w:val="en-US"/>
        </w:rPr>
        <w:t>Individual metrics</w:t>
      </w:r>
    </w:p>
    <w:p w14:paraId="4804875D" w14:textId="1BE702A7" w:rsidR="00991510" w:rsidRPr="00991510" w:rsidRDefault="00991510" w:rsidP="00991510">
      <w:pPr>
        <w:pStyle w:val="Heading3"/>
        <w:rPr>
          <w:lang w:val="en-US"/>
        </w:rPr>
      </w:pPr>
      <w:r>
        <w:rPr>
          <w:lang w:val="en-US"/>
        </w:rPr>
        <w:t>Yields</w:t>
      </w:r>
    </w:p>
    <w:p w14:paraId="135E33BB" w14:textId="2B8624DB" w:rsidR="008A7B67" w:rsidRDefault="008A7B67" w:rsidP="00B730C3">
      <w:pPr>
        <w:rPr>
          <w:rFonts w:ascii="Calibri" w:hAnsi="Calibri" w:cs="Calibri"/>
          <w:sz w:val="24"/>
          <w:szCs w:val="24"/>
          <w:lang w:val="en-US"/>
        </w:rPr>
      </w:pPr>
      <w:r>
        <w:rPr>
          <w:rFonts w:ascii="Calibri" w:hAnsi="Calibri" w:cs="Calibri"/>
          <w:sz w:val="24"/>
          <w:szCs w:val="24"/>
          <w:lang w:val="en-US"/>
        </w:rPr>
        <w:t xml:space="preserve">As would be expected, yields varied significantly by crop (p= xx). Cover crop treatment had a significant (p = xx) impact on crop yields, and was not moderated by crop, tillage, </w:t>
      </w:r>
      <w:r w:rsidR="00A643A5">
        <w:rPr>
          <w:rFonts w:ascii="Calibri" w:hAnsi="Calibri" w:cs="Calibri"/>
          <w:sz w:val="24"/>
          <w:szCs w:val="24"/>
          <w:lang w:val="en-US"/>
        </w:rPr>
        <w:t xml:space="preserve">residue management, or any of their interactions. The MixEarly treatment yielded the lowest, the MidRadish the highest, with all other treatments falling in between. Tillage and residue </w:t>
      </w:r>
      <w:r w:rsidR="00A643A5">
        <w:rPr>
          <w:rFonts w:ascii="Calibri" w:hAnsi="Calibri" w:cs="Calibri"/>
          <w:sz w:val="24"/>
          <w:szCs w:val="24"/>
          <w:lang w:val="en-US"/>
        </w:rPr>
        <w:lastRenderedPageBreak/>
        <w:t>management had a significant interaction (p = xx), with no-till yields being higher than both xxxxx.</w:t>
      </w:r>
    </w:p>
    <w:p w14:paraId="6D653985" w14:textId="77777777" w:rsidR="001451D4" w:rsidRDefault="00991510" w:rsidP="00991510">
      <w:pPr>
        <w:pStyle w:val="Heading3"/>
        <w:rPr>
          <w:lang w:val="en-US"/>
        </w:rPr>
      </w:pPr>
      <w:r>
        <w:rPr>
          <w:lang w:val="en-US"/>
        </w:rPr>
        <w:t>Fall biomass</w:t>
      </w:r>
    </w:p>
    <w:p w14:paraId="71334260" w14:textId="5E757D73" w:rsidR="001451D4" w:rsidRDefault="001451D4" w:rsidP="001451D4">
      <w:pPr>
        <w:rPr>
          <w:rFonts w:ascii="Calibri" w:hAnsi="Calibri" w:cs="Calibri"/>
          <w:sz w:val="24"/>
          <w:szCs w:val="24"/>
          <w:lang w:val="en-US"/>
        </w:rPr>
      </w:pPr>
      <w:r w:rsidRPr="00B730C3">
        <w:rPr>
          <w:rFonts w:ascii="Calibri" w:hAnsi="Calibri" w:cs="Calibri"/>
          <w:sz w:val="24"/>
          <w:szCs w:val="24"/>
          <w:lang w:val="en-US"/>
        </w:rPr>
        <w:t>Cropping system had some influence on total aboveground biomass (increasing biomass with decreasing tillage intensity), but more strongly affected the proportion of biomass attributed to cover crops.</w:t>
      </w:r>
      <w:r>
        <w:rPr>
          <w:rFonts w:ascii="Calibri" w:hAnsi="Calibri" w:cs="Calibri"/>
          <w:sz w:val="24"/>
          <w:szCs w:val="24"/>
          <w:lang w:val="en-US"/>
        </w:rPr>
        <w:t xml:space="preserve"> What do I mean by this???</w:t>
      </w:r>
    </w:p>
    <w:p w14:paraId="719FDCB5" w14:textId="77777777" w:rsidR="001451D4" w:rsidRDefault="001451D4" w:rsidP="001451D4">
      <w:pPr>
        <w:rPr>
          <w:rFonts w:ascii="Calibri" w:hAnsi="Calibri" w:cs="Calibri"/>
          <w:sz w:val="24"/>
          <w:szCs w:val="24"/>
          <w:lang w:val="en-US"/>
        </w:rPr>
      </w:pPr>
    </w:p>
    <w:p w14:paraId="4A0FCD33" w14:textId="5B400693" w:rsidR="001451D4" w:rsidRDefault="001451D4" w:rsidP="001451D4">
      <w:pPr>
        <w:rPr>
          <w:rFonts w:ascii="Calibri" w:hAnsi="Calibri" w:cs="Calibri"/>
          <w:sz w:val="24"/>
          <w:szCs w:val="24"/>
          <w:lang w:val="en-US"/>
        </w:rPr>
      </w:pPr>
      <w:r w:rsidRPr="00B730C3">
        <w:rPr>
          <w:rFonts w:ascii="Calibri" w:hAnsi="Calibri" w:cs="Calibri"/>
          <w:sz w:val="24"/>
          <w:szCs w:val="24"/>
          <w:lang w:val="en-US"/>
        </w:rPr>
        <w:t>Radish cover crops consistently contributed over 50% of total biomass, while the mixes’ contributions varied (0–80%) within both planting timings.</w:t>
      </w:r>
    </w:p>
    <w:p w14:paraId="645AD57E" w14:textId="77777777" w:rsidR="001451D4" w:rsidRDefault="001451D4" w:rsidP="001451D4">
      <w:pPr>
        <w:rPr>
          <w:rFonts w:ascii="Calibri" w:hAnsi="Calibri" w:cs="Calibri"/>
          <w:sz w:val="24"/>
          <w:szCs w:val="24"/>
          <w:lang w:val="en-US"/>
        </w:rPr>
      </w:pPr>
      <w:r>
        <w:rPr>
          <w:rFonts w:ascii="Calibri" w:hAnsi="Calibri" w:cs="Calibri"/>
          <w:sz w:val="24"/>
          <w:szCs w:val="24"/>
          <w:lang w:val="en-US"/>
        </w:rPr>
        <w:t xml:space="preserve">The total fall biomass was blha blha. </w:t>
      </w:r>
    </w:p>
    <w:p w14:paraId="3E768861" w14:textId="77777777" w:rsidR="001451D4" w:rsidRPr="001451D4" w:rsidRDefault="001451D4" w:rsidP="001451D4">
      <w:pPr>
        <w:rPr>
          <w:lang w:val="en-US"/>
        </w:rPr>
      </w:pPr>
    </w:p>
    <w:p w14:paraId="3CB11965" w14:textId="488D10CC" w:rsidR="00991510" w:rsidRDefault="001451D4" w:rsidP="00991510">
      <w:pPr>
        <w:pStyle w:val="Heading3"/>
        <w:rPr>
          <w:lang w:val="en-US"/>
        </w:rPr>
      </w:pPr>
      <w:r>
        <w:rPr>
          <w:lang w:val="en-US"/>
        </w:rPr>
        <w:t>S</w:t>
      </w:r>
      <w:r w:rsidR="00991510">
        <w:rPr>
          <w:lang w:val="en-US"/>
        </w:rPr>
        <w:t>oil cover</w:t>
      </w:r>
      <w:r>
        <w:rPr>
          <w:lang w:val="en-US"/>
        </w:rPr>
        <w:t xml:space="preserve"> (and value)</w:t>
      </w:r>
    </w:p>
    <w:p w14:paraId="393E1623" w14:textId="0AAFBFD0" w:rsidR="00E82F36" w:rsidRDefault="00633A26" w:rsidP="00B730C3">
      <w:pPr>
        <w:rPr>
          <w:rFonts w:ascii="Calibri" w:hAnsi="Calibri" w:cs="Calibri"/>
          <w:sz w:val="24"/>
          <w:szCs w:val="24"/>
          <w:lang w:val="en-US"/>
        </w:rPr>
      </w:pPr>
      <w:r>
        <w:rPr>
          <w:rFonts w:ascii="Calibri" w:hAnsi="Calibri" w:cs="Calibri"/>
          <w:sz w:val="24"/>
          <w:szCs w:val="24"/>
          <w:lang w:val="en-US"/>
        </w:rPr>
        <w:t xml:space="preserve">Percent soil cover did not vary by treatment or year (p = x-x), averaging 75% (Figure 2). Overall, volunteers contributed the highest coverage percent, followed by cover crops (X%) with minimal weed coverage (X%), but the relative contribution of each category varied by cover crop treatment (p = xx), year (p, ), blah blah. </w:t>
      </w:r>
    </w:p>
    <w:p w14:paraId="054A5709" w14:textId="0262F096" w:rsidR="00B730C3" w:rsidRDefault="00B730C3" w:rsidP="00B730C3">
      <w:pPr>
        <w:rPr>
          <w:rFonts w:ascii="Calibri" w:hAnsi="Calibri" w:cs="Calibri"/>
          <w:sz w:val="24"/>
          <w:szCs w:val="24"/>
          <w:lang w:val="en-US"/>
        </w:rPr>
      </w:pPr>
    </w:p>
    <w:p w14:paraId="26B372A3" w14:textId="0258C6F2" w:rsidR="00633A26" w:rsidRPr="00E752C9" w:rsidRDefault="00633A26" w:rsidP="00633A26">
      <w:pPr>
        <w:rPr>
          <w:rFonts w:ascii="Calibri" w:hAnsi="Calibri" w:cs="Calibri"/>
          <w:sz w:val="24"/>
          <w:szCs w:val="24"/>
          <w:lang w:val="en-US"/>
        </w:rPr>
      </w:pPr>
      <w:r w:rsidRPr="00633A26">
        <w:rPr>
          <w:rFonts w:ascii="Calibri" w:hAnsi="Calibri" w:cs="Calibri"/>
          <w:noProof/>
          <w:sz w:val="24"/>
          <w:szCs w:val="24"/>
        </w:rPr>
        <w:lastRenderedPageBreak/>
        <w:drawing>
          <wp:inline distT="0" distB="0" distL="0" distR="0" wp14:anchorId="744C1AF7" wp14:editId="0A86FD46">
            <wp:extent cx="5731510" cy="5731510"/>
            <wp:effectExtent l="0" t="0" r="2540" b="2540"/>
            <wp:docPr id="418324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DFD1A6B" w14:textId="5B4134DF" w:rsidR="00A643A5" w:rsidRPr="00B730C3" w:rsidRDefault="00CE45DF" w:rsidP="00A643A5">
      <w:pPr>
        <w:rPr>
          <w:rFonts w:ascii="Calibri" w:hAnsi="Calibri" w:cs="Calibri"/>
          <w:sz w:val="24"/>
          <w:szCs w:val="24"/>
          <w:lang w:val="en-US"/>
        </w:rPr>
      </w:pPr>
      <w:r>
        <w:rPr>
          <w:rFonts w:ascii="Calibri" w:hAnsi="Calibri" w:cs="Calibri"/>
          <w:sz w:val="24"/>
          <w:szCs w:val="24"/>
          <w:lang w:val="en-US"/>
        </w:rPr>
        <w:t xml:space="preserve">The volunteers (barley or oat), the radish, and the grass cover crop were neutral with regards to both potential ecological contributions, as well as potential agronomic harm. Therefore,  and the </w:t>
      </w:r>
    </w:p>
    <w:p w14:paraId="796587E1" w14:textId="77777777" w:rsidR="00B730C3" w:rsidRPr="00B730C3" w:rsidRDefault="00B730C3" w:rsidP="00B730C3">
      <w:pPr>
        <w:rPr>
          <w:rFonts w:ascii="Calibri" w:hAnsi="Calibri" w:cs="Calibri"/>
          <w:sz w:val="24"/>
          <w:szCs w:val="24"/>
          <w:lang w:val="en-US"/>
        </w:rPr>
      </w:pPr>
    </w:p>
    <w:p w14:paraId="2780878F" w14:textId="08DD3F03" w:rsidR="00F44A44" w:rsidRDefault="00F44A44" w:rsidP="00B730C3">
      <w:pPr>
        <w:rPr>
          <w:rFonts w:ascii="Calibri" w:hAnsi="Calibri" w:cs="Calibri"/>
          <w:sz w:val="24"/>
          <w:szCs w:val="24"/>
          <w:lang w:val="en-US"/>
        </w:rPr>
      </w:pPr>
      <w:r>
        <w:rPr>
          <w:rFonts w:ascii="Calibri" w:hAnsi="Calibri" w:cs="Calibri"/>
          <w:sz w:val="24"/>
          <w:szCs w:val="24"/>
          <w:lang w:val="en-US"/>
        </w:rPr>
        <w:t>Volunteer crops and radish are neutral vegetation types that offer low services, but also low potential dis-services, while the X weed species/genuses offered a range of services and dis-services. When analyzed on a community level, the treatments resulting in the highest weed coverage therefore corresponded to the treatments with the highest potential services (Figure 2).</w:t>
      </w:r>
    </w:p>
    <w:p w14:paraId="41B61232" w14:textId="77777777" w:rsidR="00F44A44" w:rsidRDefault="00F44A44" w:rsidP="00B730C3">
      <w:pPr>
        <w:rPr>
          <w:rFonts w:ascii="Calibri" w:hAnsi="Calibri" w:cs="Calibri"/>
          <w:sz w:val="24"/>
          <w:szCs w:val="24"/>
          <w:lang w:val="en-US"/>
        </w:rPr>
      </w:pPr>
    </w:p>
    <w:p w14:paraId="471ACBC8" w14:textId="38F8F404"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 xml:space="preserve"> </w:t>
      </w:r>
    </w:p>
    <w:p w14:paraId="6A089A09"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Figure</w:t>
      </w:r>
    </w:p>
    <w:p w14:paraId="670A3810" w14:textId="7BFE1663"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lastRenderedPageBreak/>
        <w:t>Radish treatments produced neutral vegetation communities, with neither high potential benefits nor harms. In contrast, the mixes and no cover crop treatments displayed both high potential harm and high potential benefit.</w:t>
      </w:r>
    </w:p>
    <w:p w14:paraId="64E091B0" w14:textId="77777777" w:rsidR="00B730C3" w:rsidRPr="00B730C3" w:rsidRDefault="00B730C3">
      <w:pPr>
        <w:rPr>
          <w:rFonts w:ascii="Calibri" w:hAnsi="Calibri" w:cs="Calibri"/>
          <w:sz w:val="24"/>
          <w:szCs w:val="24"/>
          <w:lang w:val="en-US"/>
        </w:rPr>
      </w:pPr>
    </w:p>
    <w:p w14:paraId="24F44DD6" w14:textId="47A7145C" w:rsidR="007B22B0" w:rsidRDefault="008A7B67" w:rsidP="007B22B0">
      <w:pPr>
        <w:pStyle w:val="Heading2"/>
        <w:rPr>
          <w:lang w:val="en-US"/>
        </w:rPr>
      </w:pPr>
      <w:r>
        <w:rPr>
          <w:lang w:val="en-US"/>
        </w:rPr>
        <w:t>Synthesis</w:t>
      </w:r>
    </w:p>
    <w:p w14:paraId="16F7E9FE" w14:textId="6B0786F1" w:rsidR="00CE45DF" w:rsidRPr="00B730C3" w:rsidRDefault="00CE45DF" w:rsidP="00CE45DF">
      <w:pPr>
        <w:rPr>
          <w:rFonts w:ascii="Calibri" w:hAnsi="Calibri" w:cs="Calibri"/>
          <w:sz w:val="24"/>
          <w:szCs w:val="24"/>
          <w:lang w:val="en-US"/>
        </w:rPr>
      </w:pPr>
      <w:r>
        <w:rPr>
          <w:rFonts w:ascii="Calibri" w:hAnsi="Calibri" w:cs="Calibri"/>
          <w:sz w:val="24"/>
          <w:szCs w:val="24"/>
          <w:lang w:val="en-US"/>
        </w:rPr>
        <w:t xml:space="preserve">Potential contributions to pollinators and ecosystems were calculated by multiplying the value of an individual species/genus by the percent cover. The maximum value (either pollinators or ecosystems) was assigned as the estimate of potential benefits from the fall vegetation, and agronomic harm was used as the estimate of potential disservices. </w:t>
      </w:r>
      <w:r w:rsidR="00484448">
        <w:rPr>
          <w:rFonts w:ascii="Calibri" w:hAnsi="Calibri" w:cs="Calibri"/>
          <w:sz w:val="24"/>
          <w:szCs w:val="24"/>
          <w:lang w:val="en-US"/>
        </w:rPr>
        <w:t xml:space="preserve">The number of stems of Canadian thistle present after two </w:t>
      </w:r>
      <w:r>
        <w:rPr>
          <w:rFonts w:ascii="Calibri" w:hAnsi="Calibri" w:cs="Calibri"/>
          <w:sz w:val="24"/>
          <w:szCs w:val="24"/>
          <w:lang w:val="en-US"/>
        </w:rPr>
        <w:t xml:space="preserve"> </w:t>
      </w:r>
    </w:p>
    <w:tbl>
      <w:tblPr>
        <w:tblStyle w:val="TableGrid"/>
        <w:tblW w:w="0" w:type="auto"/>
        <w:tblLook w:val="04A0" w:firstRow="1" w:lastRow="0" w:firstColumn="1" w:lastColumn="0" w:noHBand="0" w:noVBand="1"/>
      </w:tblPr>
      <w:tblGrid>
        <w:gridCol w:w="5017"/>
        <w:gridCol w:w="3999"/>
      </w:tblGrid>
      <w:tr w:rsidR="00863080" w14:paraId="2E26318C" w14:textId="77777777" w:rsidTr="00863080">
        <w:tc>
          <w:tcPr>
            <w:tcW w:w="4508" w:type="dxa"/>
            <w:vAlign w:val="center"/>
          </w:tcPr>
          <w:p w14:paraId="0DDB0C93" w14:textId="7D0FA93C" w:rsidR="00863080" w:rsidRDefault="00863080" w:rsidP="00863080">
            <w:pPr>
              <w:jc w:val="center"/>
              <w:rPr>
                <w:lang w:val="en-US"/>
              </w:rPr>
            </w:pPr>
            <w:r>
              <w:rPr>
                <w:noProof/>
                <w:lang w:val="en-US"/>
              </w:rPr>
              <w:drawing>
                <wp:inline distT="0" distB="0" distL="0" distR="0" wp14:anchorId="5CDC64F2" wp14:editId="30E52975">
                  <wp:extent cx="3194050" cy="3194050"/>
                  <wp:effectExtent l="0" t="0" r="6350" b="6350"/>
                  <wp:docPr id="1226749863"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49863" name="Picture 3" descr="A screenshot of a graph&#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4050" cy="3194050"/>
                          </a:xfrm>
                          <a:prstGeom prst="rect">
                            <a:avLst/>
                          </a:prstGeom>
                        </pic:spPr>
                      </pic:pic>
                    </a:graphicData>
                  </a:graphic>
                </wp:inline>
              </w:drawing>
            </w:r>
          </w:p>
        </w:tc>
        <w:tc>
          <w:tcPr>
            <w:tcW w:w="4508" w:type="dxa"/>
            <w:vAlign w:val="center"/>
          </w:tcPr>
          <w:p w14:paraId="277E2A36" w14:textId="0B30BC59" w:rsidR="00863080" w:rsidRDefault="00863080" w:rsidP="00863080">
            <w:pPr>
              <w:jc w:val="center"/>
              <w:rPr>
                <w:lang w:val="en-US"/>
              </w:rPr>
            </w:pPr>
            <w:r>
              <w:rPr>
                <w:noProof/>
                <w:lang w:val="en-US"/>
              </w:rPr>
              <w:drawing>
                <wp:inline distT="0" distB="0" distL="0" distR="0" wp14:anchorId="67B65C8D" wp14:editId="32EC5E29">
                  <wp:extent cx="2521585" cy="3025902"/>
                  <wp:effectExtent l="0" t="0" r="0" b="3175"/>
                  <wp:docPr id="1370444940"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44940" name="Picture 5" descr="A screenshot of a graph&#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4673" cy="3029607"/>
                          </a:xfrm>
                          <a:prstGeom prst="rect">
                            <a:avLst/>
                          </a:prstGeom>
                        </pic:spPr>
                      </pic:pic>
                    </a:graphicData>
                  </a:graphic>
                </wp:inline>
              </w:drawing>
            </w:r>
          </w:p>
        </w:tc>
      </w:tr>
    </w:tbl>
    <w:p w14:paraId="7B8E2394" w14:textId="77777777" w:rsidR="00CE45DF" w:rsidRDefault="00CE45DF" w:rsidP="008A7B67">
      <w:pPr>
        <w:rPr>
          <w:lang w:val="en-US"/>
        </w:rPr>
      </w:pPr>
    </w:p>
    <w:p w14:paraId="6B2A858B" w14:textId="2D59BBA7" w:rsidR="007B22B0" w:rsidRDefault="007B22B0" w:rsidP="007B22B0">
      <w:pPr>
        <w:pStyle w:val="Heading1"/>
        <w:rPr>
          <w:lang w:val="en-US"/>
        </w:rPr>
      </w:pPr>
      <w:r>
        <w:rPr>
          <w:lang w:val="en-US"/>
        </w:rPr>
        <w:t>Discussion</w:t>
      </w:r>
    </w:p>
    <w:p w14:paraId="7A1F67E0" w14:textId="77777777" w:rsidR="00B730C3" w:rsidRPr="00B730C3" w:rsidRDefault="00B730C3">
      <w:pPr>
        <w:rPr>
          <w:rFonts w:ascii="Calibri" w:hAnsi="Calibri" w:cs="Calibri"/>
          <w:sz w:val="24"/>
          <w:szCs w:val="24"/>
          <w:lang w:val="en-US"/>
        </w:rPr>
      </w:pPr>
    </w:p>
    <w:p w14:paraId="4D07A561" w14:textId="77777777" w:rsidR="00B730C3" w:rsidRPr="00B730C3" w:rsidRDefault="00B730C3">
      <w:pPr>
        <w:rPr>
          <w:rFonts w:ascii="Calibri" w:hAnsi="Calibri" w:cs="Calibri"/>
          <w:sz w:val="24"/>
          <w:szCs w:val="24"/>
          <w:lang w:val="en-US"/>
        </w:rPr>
      </w:pPr>
    </w:p>
    <w:sectPr w:rsidR="00B730C3" w:rsidRPr="00B730C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Virginia Anne Nichols" w:date="2025-01-30T21:16:00Z" w:initials="VN">
    <w:p w14:paraId="17E1F64F" w14:textId="77777777" w:rsidR="00A70C8E" w:rsidRDefault="00A70C8E" w:rsidP="00A70C8E">
      <w:pPr>
        <w:pStyle w:val="CommentText"/>
      </w:pPr>
      <w:r>
        <w:rPr>
          <w:rStyle w:val="CommentReference"/>
        </w:rPr>
        <w:annotationRef/>
      </w:r>
      <w:r>
        <w:t>I don’t know how these values were determined. They were reported in Scherner et al. 2016, but it was not stated how they came about. What type of sampling was used? Grid sampling at the site?</w:t>
      </w:r>
    </w:p>
  </w:comment>
  <w:comment w:id="1" w:author="Virginia Anne Nichols" w:date="2025-02-18T11:45:00Z" w:initials="VN">
    <w:p w14:paraId="14A79107" w14:textId="77777777" w:rsidR="00782730" w:rsidRDefault="00782730" w:rsidP="00782730">
      <w:pPr>
        <w:pStyle w:val="CommentText"/>
      </w:pPr>
      <w:r>
        <w:rPr>
          <w:rStyle w:val="CommentReference"/>
        </w:rPr>
        <w:annotationRef/>
      </w:r>
      <w:r>
        <w:t>How was the straw removed?</w:t>
      </w:r>
    </w:p>
  </w:comment>
  <w:comment w:id="3" w:author="Virginia Anne Nichols" w:date="2025-02-18T10:54:00Z" w:initials="VN">
    <w:p w14:paraId="20693CA4" w14:textId="2A00A438" w:rsidR="00D54833" w:rsidRDefault="00D54833" w:rsidP="00D54833">
      <w:pPr>
        <w:pStyle w:val="CommentText"/>
      </w:pPr>
      <w:r>
        <w:rPr>
          <w:rStyle w:val="CommentReference"/>
        </w:rPr>
        <w:annotationRef/>
      </w:r>
      <w:r>
        <w:t>There was no tillage in the fall because of the cover crops - correct? You had originally listed a tillage event to a depth of 3-4 cm following cash crop harvest, but this would destroy 3 of the 4 cover crop treatments.</w:t>
      </w:r>
    </w:p>
  </w:comment>
  <w:comment w:id="4" w:author="Virginia Anne Nichols" w:date="2025-02-18T10:55:00Z" w:initials="VN">
    <w:p w14:paraId="65528C40" w14:textId="77777777" w:rsidR="00D54833" w:rsidRDefault="00D54833" w:rsidP="00D54833">
      <w:pPr>
        <w:pStyle w:val="CommentText"/>
      </w:pPr>
      <w:r>
        <w:rPr>
          <w:rStyle w:val="CommentReference"/>
        </w:rPr>
        <w:annotationRef/>
      </w:r>
      <w:r>
        <w:t>Were faba beans planted in 17.5 row spacings?</w:t>
      </w:r>
    </w:p>
  </w:comment>
  <w:comment w:id="8" w:author="Virginia Anne Nichols" w:date="2025-02-18T11:01:00Z" w:initials="VN">
    <w:p w14:paraId="391F965B" w14:textId="77777777" w:rsidR="007477A1" w:rsidRDefault="007477A1" w:rsidP="007477A1">
      <w:pPr>
        <w:pStyle w:val="CommentText"/>
      </w:pPr>
      <w:r>
        <w:rPr>
          <w:rStyle w:val="CommentReference"/>
        </w:rPr>
        <w:annotationRef/>
      </w:r>
      <w:r>
        <w:t>The application method was not specified - was it broadcast?</w:t>
      </w:r>
    </w:p>
  </w:comment>
  <w:comment w:id="9" w:author="Virginia Anne Nichols" w:date="2025-02-18T11:47:00Z" w:initials="VN">
    <w:p w14:paraId="52F3BD5A" w14:textId="77777777" w:rsidR="00AD5622" w:rsidRDefault="00AD5622" w:rsidP="00AD5622">
      <w:pPr>
        <w:pStyle w:val="CommentText"/>
      </w:pPr>
      <w:r>
        <w:rPr>
          <w:rStyle w:val="CommentReference"/>
        </w:rPr>
        <w:annotationRef/>
      </w:r>
      <w:r>
        <w:t>Explain why a different package was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E1F64F" w15:done="0"/>
  <w15:commentEx w15:paraId="14A79107" w15:done="0"/>
  <w15:commentEx w15:paraId="20693CA4" w15:done="0"/>
  <w15:commentEx w15:paraId="65528C40" w15:done="0"/>
  <w15:commentEx w15:paraId="391F965B" w15:done="0"/>
  <w15:commentEx w15:paraId="52F3BD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273C0A" w16cex:dateUtc="2025-01-30T20:16:00Z"/>
  <w16cex:commentExtensible w16cex:durableId="73E22568" w16cex:dateUtc="2025-02-18T10:45:00Z"/>
  <w16cex:commentExtensible w16cex:durableId="26A838AC" w16cex:dateUtc="2025-02-18T09:54:00Z"/>
  <w16cex:commentExtensible w16cex:durableId="719E07D9" w16cex:dateUtc="2025-02-18T09:55:00Z"/>
  <w16cex:commentExtensible w16cex:durableId="5E00243F" w16cex:dateUtc="2025-02-18T10:01:00Z"/>
  <w16cex:commentExtensible w16cex:durableId="3EAA758B" w16cex:dateUtc="2025-02-18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E1F64F" w16cid:durableId="26273C0A"/>
  <w16cid:commentId w16cid:paraId="14A79107" w16cid:durableId="73E22568"/>
  <w16cid:commentId w16cid:paraId="20693CA4" w16cid:durableId="26A838AC"/>
  <w16cid:commentId w16cid:paraId="65528C40" w16cid:durableId="719E07D9"/>
  <w16cid:commentId w16cid:paraId="391F965B" w16cid:durableId="5E00243F"/>
  <w16cid:commentId w16cid:paraId="52F3BD5A" w16cid:durableId="3EAA75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270FF"/>
    <w:multiLevelType w:val="hybridMultilevel"/>
    <w:tmpl w:val="BCB4C2A4"/>
    <w:lvl w:ilvl="0" w:tplc="BE3A52BE">
      <w:numFmt w:val="bullet"/>
      <w:lvlText w:val="-"/>
      <w:lvlJc w:val="left"/>
      <w:pPr>
        <w:ind w:left="720" w:hanging="360"/>
      </w:pPr>
      <w:rPr>
        <w:rFonts w:ascii="Aptos" w:eastAsiaTheme="minorHAnsi" w:hAnsi="Aptos"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D0C1D5C"/>
    <w:multiLevelType w:val="hybridMultilevel"/>
    <w:tmpl w:val="35E854E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34395505">
    <w:abstractNumId w:val="0"/>
  </w:num>
  <w:num w:numId="2" w16cid:durableId="8232766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rginia Anne Nichols">
    <w15:presenceInfo w15:providerId="AD" w15:userId="S::au757887@uni.au.dk::1e8bc941-3906-405c-be8c-f2e8d9cc7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65"/>
    <w:rsid w:val="000010AC"/>
    <w:rsid w:val="00006E1F"/>
    <w:rsid w:val="00023C12"/>
    <w:rsid w:val="00034993"/>
    <w:rsid w:val="00053998"/>
    <w:rsid w:val="000572BC"/>
    <w:rsid w:val="00067D64"/>
    <w:rsid w:val="00073D17"/>
    <w:rsid w:val="000A3A67"/>
    <w:rsid w:val="000B7B02"/>
    <w:rsid w:val="000E21EA"/>
    <w:rsid w:val="001114A3"/>
    <w:rsid w:val="001451D4"/>
    <w:rsid w:val="00175629"/>
    <w:rsid w:val="00180EEB"/>
    <w:rsid w:val="001A0D18"/>
    <w:rsid w:val="001A695F"/>
    <w:rsid w:val="001E07E9"/>
    <w:rsid w:val="00235ADC"/>
    <w:rsid w:val="00264241"/>
    <w:rsid w:val="00275DFF"/>
    <w:rsid w:val="002E3EA3"/>
    <w:rsid w:val="00333287"/>
    <w:rsid w:val="00336BAD"/>
    <w:rsid w:val="00344A84"/>
    <w:rsid w:val="0034538E"/>
    <w:rsid w:val="00352C6F"/>
    <w:rsid w:val="003544E9"/>
    <w:rsid w:val="00371162"/>
    <w:rsid w:val="003A0336"/>
    <w:rsid w:val="003B60EC"/>
    <w:rsid w:val="003E205E"/>
    <w:rsid w:val="00484448"/>
    <w:rsid w:val="004E3E76"/>
    <w:rsid w:val="004E57F2"/>
    <w:rsid w:val="005010F2"/>
    <w:rsid w:val="00530874"/>
    <w:rsid w:val="00553E7F"/>
    <w:rsid w:val="005A2FB4"/>
    <w:rsid w:val="005D1C4B"/>
    <w:rsid w:val="00623FE4"/>
    <w:rsid w:val="00633A26"/>
    <w:rsid w:val="00663D56"/>
    <w:rsid w:val="006A4260"/>
    <w:rsid w:val="006B0948"/>
    <w:rsid w:val="00702EA8"/>
    <w:rsid w:val="007477A1"/>
    <w:rsid w:val="00750879"/>
    <w:rsid w:val="0075226B"/>
    <w:rsid w:val="00782730"/>
    <w:rsid w:val="007B1493"/>
    <w:rsid w:val="007B22B0"/>
    <w:rsid w:val="007D1D13"/>
    <w:rsid w:val="007E32D7"/>
    <w:rsid w:val="008016FE"/>
    <w:rsid w:val="00844404"/>
    <w:rsid w:val="00863080"/>
    <w:rsid w:val="0087481D"/>
    <w:rsid w:val="008A7B67"/>
    <w:rsid w:val="008D61F6"/>
    <w:rsid w:val="008D679E"/>
    <w:rsid w:val="008E4FAD"/>
    <w:rsid w:val="00905DB0"/>
    <w:rsid w:val="0093369E"/>
    <w:rsid w:val="00960509"/>
    <w:rsid w:val="00964670"/>
    <w:rsid w:val="00991510"/>
    <w:rsid w:val="00996DDB"/>
    <w:rsid w:val="00997091"/>
    <w:rsid w:val="00997973"/>
    <w:rsid w:val="009E3F81"/>
    <w:rsid w:val="00A32989"/>
    <w:rsid w:val="00A33110"/>
    <w:rsid w:val="00A6359E"/>
    <w:rsid w:val="00A643A5"/>
    <w:rsid w:val="00A64AC9"/>
    <w:rsid w:val="00A70C8E"/>
    <w:rsid w:val="00A9025D"/>
    <w:rsid w:val="00AD02D7"/>
    <w:rsid w:val="00AD5622"/>
    <w:rsid w:val="00AE6425"/>
    <w:rsid w:val="00AF06FD"/>
    <w:rsid w:val="00B067E5"/>
    <w:rsid w:val="00B07B57"/>
    <w:rsid w:val="00B41B1E"/>
    <w:rsid w:val="00B730C3"/>
    <w:rsid w:val="00C237F2"/>
    <w:rsid w:val="00C51590"/>
    <w:rsid w:val="00C86200"/>
    <w:rsid w:val="00CA5767"/>
    <w:rsid w:val="00CB0057"/>
    <w:rsid w:val="00CC27F8"/>
    <w:rsid w:val="00CE45DF"/>
    <w:rsid w:val="00CF29E1"/>
    <w:rsid w:val="00D27CF0"/>
    <w:rsid w:val="00D3368D"/>
    <w:rsid w:val="00D54833"/>
    <w:rsid w:val="00D60065"/>
    <w:rsid w:val="00D6652C"/>
    <w:rsid w:val="00D94FC7"/>
    <w:rsid w:val="00DB54A3"/>
    <w:rsid w:val="00DE4ABA"/>
    <w:rsid w:val="00E3737B"/>
    <w:rsid w:val="00E519B2"/>
    <w:rsid w:val="00E61978"/>
    <w:rsid w:val="00E752C9"/>
    <w:rsid w:val="00E814F8"/>
    <w:rsid w:val="00E82F36"/>
    <w:rsid w:val="00E976D6"/>
    <w:rsid w:val="00EB3265"/>
    <w:rsid w:val="00EB5C1D"/>
    <w:rsid w:val="00EC1821"/>
    <w:rsid w:val="00EF514A"/>
    <w:rsid w:val="00F139C1"/>
    <w:rsid w:val="00F44A44"/>
    <w:rsid w:val="00F65982"/>
    <w:rsid w:val="00F71074"/>
    <w:rsid w:val="00FB0498"/>
    <w:rsid w:val="00FC50C6"/>
    <w:rsid w:val="00FF44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7938C"/>
  <w15:chartTrackingRefBased/>
  <w15:docId w15:val="{F276E604-6A52-4D0B-A3F8-3368F66A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0C3"/>
  </w:style>
  <w:style w:type="paragraph" w:styleId="Heading1">
    <w:name w:val="heading 1"/>
    <w:basedOn w:val="Normal"/>
    <w:next w:val="Normal"/>
    <w:link w:val="Heading1Char"/>
    <w:uiPriority w:val="9"/>
    <w:qFormat/>
    <w:rsid w:val="00EB3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3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3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B3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3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3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B3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265"/>
    <w:rPr>
      <w:rFonts w:eastAsiaTheme="majorEastAsia" w:cstheme="majorBidi"/>
      <w:color w:val="272727" w:themeColor="text1" w:themeTint="D8"/>
    </w:rPr>
  </w:style>
  <w:style w:type="paragraph" w:styleId="Title">
    <w:name w:val="Title"/>
    <w:basedOn w:val="Normal"/>
    <w:next w:val="Normal"/>
    <w:link w:val="TitleChar"/>
    <w:uiPriority w:val="10"/>
    <w:qFormat/>
    <w:rsid w:val="00EB3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265"/>
    <w:pPr>
      <w:spacing w:before="160"/>
      <w:jc w:val="center"/>
    </w:pPr>
    <w:rPr>
      <w:i/>
      <w:iCs/>
      <w:color w:val="404040" w:themeColor="text1" w:themeTint="BF"/>
    </w:rPr>
  </w:style>
  <w:style w:type="character" w:customStyle="1" w:styleId="QuoteChar">
    <w:name w:val="Quote Char"/>
    <w:basedOn w:val="DefaultParagraphFont"/>
    <w:link w:val="Quote"/>
    <w:uiPriority w:val="29"/>
    <w:rsid w:val="00EB3265"/>
    <w:rPr>
      <w:i/>
      <w:iCs/>
      <w:color w:val="404040" w:themeColor="text1" w:themeTint="BF"/>
    </w:rPr>
  </w:style>
  <w:style w:type="paragraph" w:styleId="ListParagraph">
    <w:name w:val="List Paragraph"/>
    <w:basedOn w:val="Normal"/>
    <w:uiPriority w:val="34"/>
    <w:qFormat/>
    <w:rsid w:val="00EB3265"/>
    <w:pPr>
      <w:ind w:left="720"/>
      <w:contextualSpacing/>
    </w:pPr>
  </w:style>
  <w:style w:type="character" w:styleId="IntenseEmphasis">
    <w:name w:val="Intense Emphasis"/>
    <w:basedOn w:val="DefaultParagraphFont"/>
    <w:uiPriority w:val="21"/>
    <w:qFormat/>
    <w:rsid w:val="00EB3265"/>
    <w:rPr>
      <w:i/>
      <w:iCs/>
      <w:color w:val="0F4761" w:themeColor="accent1" w:themeShade="BF"/>
    </w:rPr>
  </w:style>
  <w:style w:type="paragraph" w:styleId="IntenseQuote">
    <w:name w:val="Intense Quote"/>
    <w:basedOn w:val="Normal"/>
    <w:next w:val="Normal"/>
    <w:link w:val="IntenseQuoteChar"/>
    <w:uiPriority w:val="30"/>
    <w:qFormat/>
    <w:rsid w:val="00EB3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265"/>
    <w:rPr>
      <w:i/>
      <w:iCs/>
      <w:color w:val="0F4761" w:themeColor="accent1" w:themeShade="BF"/>
    </w:rPr>
  </w:style>
  <w:style w:type="character" w:styleId="IntenseReference">
    <w:name w:val="Intense Reference"/>
    <w:basedOn w:val="DefaultParagraphFont"/>
    <w:uiPriority w:val="32"/>
    <w:qFormat/>
    <w:rsid w:val="00EB3265"/>
    <w:rPr>
      <w:b/>
      <w:bCs/>
      <w:smallCaps/>
      <w:color w:val="0F4761" w:themeColor="accent1" w:themeShade="BF"/>
      <w:spacing w:val="5"/>
    </w:rPr>
  </w:style>
  <w:style w:type="character" w:styleId="Hyperlink">
    <w:name w:val="Hyperlink"/>
    <w:basedOn w:val="DefaultParagraphFont"/>
    <w:uiPriority w:val="99"/>
    <w:unhideWhenUsed/>
    <w:rsid w:val="00B730C3"/>
    <w:rPr>
      <w:color w:val="467886" w:themeColor="hyperlink"/>
      <w:u w:val="single"/>
    </w:rPr>
  </w:style>
  <w:style w:type="table" w:styleId="TableGrid">
    <w:name w:val="Table Grid"/>
    <w:basedOn w:val="TableNormal"/>
    <w:uiPriority w:val="39"/>
    <w:rsid w:val="00FF4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0C8E"/>
    <w:rPr>
      <w:sz w:val="16"/>
      <w:szCs w:val="16"/>
    </w:rPr>
  </w:style>
  <w:style w:type="paragraph" w:styleId="CommentText">
    <w:name w:val="annotation text"/>
    <w:basedOn w:val="Normal"/>
    <w:link w:val="CommentTextChar"/>
    <w:uiPriority w:val="99"/>
    <w:unhideWhenUsed/>
    <w:rsid w:val="00A70C8E"/>
    <w:pPr>
      <w:spacing w:line="240" w:lineRule="auto"/>
    </w:pPr>
    <w:rPr>
      <w:sz w:val="20"/>
      <w:szCs w:val="20"/>
    </w:rPr>
  </w:style>
  <w:style w:type="character" w:customStyle="1" w:styleId="CommentTextChar">
    <w:name w:val="Comment Text Char"/>
    <w:basedOn w:val="DefaultParagraphFont"/>
    <w:link w:val="CommentText"/>
    <w:uiPriority w:val="99"/>
    <w:rsid w:val="00A70C8E"/>
    <w:rPr>
      <w:sz w:val="20"/>
      <w:szCs w:val="20"/>
    </w:rPr>
  </w:style>
  <w:style w:type="paragraph" w:styleId="CommentSubject">
    <w:name w:val="annotation subject"/>
    <w:basedOn w:val="CommentText"/>
    <w:next w:val="CommentText"/>
    <w:link w:val="CommentSubjectChar"/>
    <w:uiPriority w:val="99"/>
    <w:semiHidden/>
    <w:unhideWhenUsed/>
    <w:rsid w:val="008D679E"/>
    <w:rPr>
      <w:b/>
      <w:bCs/>
    </w:rPr>
  </w:style>
  <w:style w:type="character" w:customStyle="1" w:styleId="CommentSubjectChar">
    <w:name w:val="Comment Subject Char"/>
    <w:basedOn w:val="CommentTextChar"/>
    <w:link w:val="CommentSubject"/>
    <w:uiPriority w:val="99"/>
    <w:semiHidden/>
    <w:rsid w:val="008D67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412464">
      <w:bodyDiv w:val="1"/>
      <w:marLeft w:val="0"/>
      <w:marRight w:val="0"/>
      <w:marTop w:val="0"/>
      <w:marBottom w:val="0"/>
      <w:divBdr>
        <w:top w:val="none" w:sz="0" w:space="0" w:color="auto"/>
        <w:left w:val="none" w:sz="0" w:space="0" w:color="auto"/>
        <w:bottom w:val="none" w:sz="0" w:space="0" w:color="auto"/>
        <w:right w:val="none" w:sz="0" w:space="0" w:color="auto"/>
      </w:divBdr>
    </w:div>
    <w:div w:id="647326781">
      <w:bodyDiv w:val="1"/>
      <w:marLeft w:val="0"/>
      <w:marRight w:val="0"/>
      <w:marTop w:val="0"/>
      <w:marBottom w:val="0"/>
      <w:divBdr>
        <w:top w:val="none" w:sz="0" w:space="0" w:color="auto"/>
        <w:left w:val="none" w:sz="0" w:space="0" w:color="auto"/>
        <w:bottom w:val="none" w:sz="0" w:space="0" w:color="auto"/>
        <w:right w:val="none" w:sz="0" w:space="0" w:color="auto"/>
      </w:divBdr>
    </w:div>
    <w:div w:id="673147692">
      <w:bodyDiv w:val="1"/>
      <w:marLeft w:val="0"/>
      <w:marRight w:val="0"/>
      <w:marTop w:val="0"/>
      <w:marBottom w:val="0"/>
      <w:divBdr>
        <w:top w:val="none" w:sz="0" w:space="0" w:color="auto"/>
        <w:left w:val="none" w:sz="0" w:space="0" w:color="auto"/>
        <w:bottom w:val="none" w:sz="0" w:space="0" w:color="auto"/>
        <w:right w:val="none" w:sz="0" w:space="0" w:color="auto"/>
      </w:divBdr>
      <w:divsChild>
        <w:div w:id="1103106634">
          <w:marLeft w:val="0"/>
          <w:marRight w:val="0"/>
          <w:marTop w:val="0"/>
          <w:marBottom w:val="0"/>
          <w:divBdr>
            <w:top w:val="none" w:sz="0" w:space="0" w:color="auto"/>
            <w:left w:val="none" w:sz="0" w:space="0" w:color="auto"/>
            <w:bottom w:val="none" w:sz="0" w:space="0" w:color="auto"/>
            <w:right w:val="none" w:sz="0" w:space="0" w:color="auto"/>
          </w:divBdr>
          <w:divsChild>
            <w:div w:id="13708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8969">
      <w:bodyDiv w:val="1"/>
      <w:marLeft w:val="0"/>
      <w:marRight w:val="0"/>
      <w:marTop w:val="0"/>
      <w:marBottom w:val="0"/>
      <w:divBdr>
        <w:top w:val="none" w:sz="0" w:space="0" w:color="auto"/>
        <w:left w:val="none" w:sz="0" w:space="0" w:color="auto"/>
        <w:bottom w:val="none" w:sz="0" w:space="0" w:color="auto"/>
        <w:right w:val="none" w:sz="0" w:space="0" w:color="auto"/>
      </w:divBdr>
    </w:div>
    <w:div w:id="1296057710">
      <w:bodyDiv w:val="1"/>
      <w:marLeft w:val="0"/>
      <w:marRight w:val="0"/>
      <w:marTop w:val="0"/>
      <w:marBottom w:val="0"/>
      <w:divBdr>
        <w:top w:val="none" w:sz="0" w:space="0" w:color="auto"/>
        <w:left w:val="none" w:sz="0" w:space="0" w:color="auto"/>
        <w:bottom w:val="none" w:sz="0" w:space="0" w:color="auto"/>
        <w:right w:val="none" w:sz="0" w:space="0" w:color="auto"/>
      </w:divBdr>
      <w:divsChild>
        <w:div w:id="1766223885">
          <w:marLeft w:val="0"/>
          <w:marRight w:val="0"/>
          <w:marTop w:val="0"/>
          <w:marBottom w:val="0"/>
          <w:divBdr>
            <w:top w:val="none" w:sz="0" w:space="0" w:color="auto"/>
            <w:left w:val="none" w:sz="0" w:space="0" w:color="auto"/>
            <w:bottom w:val="none" w:sz="0" w:space="0" w:color="auto"/>
            <w:right w:val="none" w:sz="0" w:space="0" w:color="auto"/>
          </w:divBdr>
          <w:divsChild>
            <w:div w:id="10992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7763">
      <w:bodyDiv w:val="1"/>
      <w:marLeft w:val="0"/>
      <w:marRight w:val="0"/>
      <w:marTop w:val="0"/>
      <w:marBottom w:val="0"/>
      <w:divBdr>
        <w:top w:val="none" w:sz="0" w:space="0" w:color="auto"/>
        <w:left w:val="none" w:sz="0" w:space="0" w:color="auto"/>
        <w:bottom w:val="none" w:sz="0" w:space="0" w:color="auto"/>
        <w:right w:val="none" w:sz="0" w:space="0" w:color="auto"/>
      </w:divBdr>
    </w:div>
    <w:div w:id="1469665147">
      <w:bodyDiv w:val="1"/>
      <w:marLeft w:val="0"/>
      <w:marRight w:val="0"/>
      <w:marTop w:val="0"/>
      <w:marBottom w:val="0"/>
      <w:divBdr>
        <w:top w:val="none" w:sz="0" w:space="0" w:color="auto"/>
        <w:left w:val="none" w:sz="0" w:space="0" w:color="auto"/>
        <w:bottom w:val="none" w:sz="0" w:space="0" w:color="auto"/>
        <w:right w:val="none" w:sz="0" w:space="0" w:color="auto"/>
      </w:divBdr>
    </w:div>
    <w:div w:id="176993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gina.nichol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F55B6-8F7D-4FC9-A703-5C3129AD9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13</Pages>
  <Words>13184</Words>
  <Characters>80428</Characters>
  <Application>Microsoft Office Word</Application>
  <DocSecurity>0</DocSecurity>
  <Lines>670</Lines>
  <Paragraphs>186</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93426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3</cp:revision>
  <dcterms:created xsi:type="dcterms:W3CDTF">2025-03-09T13:44:00Z</dcterms:created>
  <dcterms:modified xsi:type="dcterms:W3CDTF">2025-03-23T15:29:00Z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id="Vuu0RZ64"/&gt;&lt;style id="http://www.zotero.org/styles/elsevier-harvard" hasBibliography="1" bibliographyStyleHasBeenSet="0"/&gt;&lt;prefs&gt;&lt;pref name="fieldType" value="Field"/&gt;&lt;/prefs&gt;&lt;/data&gt;</vt:lpwstr>
  </property>
  <property fmtid="{D5CDD505-2E9C-101B-9397-08002B2CF9AE}" pid="3" name="GrammarlyDocumentId">
    <vt:lpwstr>e0e8df13541c7052df57b4a36cc97dac370c8560686f85a177c11f79560b19aa</vt:lpwstr>
  </property>
</Properties>
</file>