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2ED9ECB" w14:textId="5C0110CB"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w:t>
      </w:r>
      <w:r w:rsidR="00F2314C">
        <w:rPr>
          <w:rFonts w:ascii="Calibri" w:hAnsi="Calibri" w:cs="Calibri"/>
          <w:sz w:val="24"/>
          <w:szCs w:val="24"/>
          <w:lang w:val="en-US"/>
        </w:rPr>
        <w:t>performance</w:t>
      </w:r>
      <w:r w:rsidRPr="00B730C3">
        <w:rPr>
          <w:rFonts w:ascii="Calibri" w:hAnsi="Calibri" w:cs="Calibri"/>
          <w:sz w:val="24"/>
          <w:szCs w:val="24"/>
          <w:lang w:val="en-US"/>
        </w:rPr>
        <w:t xml:space="preserve"> in 30 replicated cropping systems over t</w:t>
      </w:r>
      <w:r w:rsidR="00DC1B02">
        <w:rPr>
          <w:rFonts w:ascii="Calibri" w:hAnsi="Calibri" w:cs="Calibri"/>
          <w:sz w:val="24"/>
          <w:szCs w:val="24"/>
          <w:lang w:val="en-US"/>
        </w:rPr>
        <w:t>hree growing season</w:t>
      </w:r>
      <w:r w:rsidRPr="00B730C3">
        <w:rPr>
          <w:rFonts w:ascii="Calibri" w:hAnsi="Calibri" w:cs="Calibri"/>
          <w:sz w:val="24"/>
          <w:szCs w:val="24"/>
          <w:lang w:val="en-US"/>
        </w:rPr>
        <w:t xml:space="preserve">s in Zealand, Denmark. Treatments included five cover crop systems </w:t>
      </w:r>
      <w:r w:rsidR="00DC1B02">
        <w:rPr>
          <w:rFonts w:ascii="Calibri" w:hAnsi="Calibri" w:cs="Calibri"/>
          <w:sz w:val="24"/>
          <w:szCs w:val="24"/>
          <w:lang w:val="en-US"/>
        </w:rPr>
        <w:t>[</w:t>
      </w:r>
      <w:r w:rsidR="006B0948" w:rsidRPr="00DC1B02">
        <w:rPr>
          <w:rFonts w:ascii="Calibri" w:hAnsi="Calibri" w:cs="Calibri"/>
          <w:i/>
          <w:iCs/>
          <w:sz w:val="24"/>
          <w:szCs w:val="24"/>
          <w:lang w:val="en-US"/>
        </w:rPr>
        <w:t>Lolium perenne</w:t>
      </w:r>
      <w:r w:rsidR="006B0948" w:rsidRPr="00B730C3">
        <w:rPr>
          <w:rFonts w:ascii="Calibri" w:hAnsi="Calibri" w:cs="Calibri"/>
          <w:sz w:val="24"/>
          <w:szCs w:val="24"/>
          <w:lang w:val="en-US"/>
        </w:rPr>
        <w:t xml:space="preserve"> and </w:t>
      </w:r>
      <w:r w:rsidR="006B0948" w:rsidRPr="00DC1B02">
        <w:rPr>
          <w:rFonts w:ascii="Calibri" w:hAnsi="Calibri" w:cs="Calibri"/>
          <w:i/>
          <w:iCs/>
          <w:sz w:val="24"/>
          <w:szCs w:val="24"/>
          <w:lang w:val="en-US"/>
        </w:rPr>
        <w:t>Trifolium repens</w:t>
      </w:r>
      <w:r w:rsidR="006B0948" w:rsidRPr="00B730C3">
        <w:rPr>
          <w:rFonts w:ascii="Calibri" w:hAnsi="Calibri" w:cs="Calibri"/>
          <w:sz w:val="24"/>
          <w:szCs w:val="24"/>
          <w:lang w:val="en-US"/>
        </w:rPr>
        <w:t xml:space="preserve"> mixture sown early- and mid-season</w:t>
      </w:r>
      <w:r w:rsidR="006B0948">
        <w:rPr>
          <w:rFonts w:ascii="Calibri" w:hAnsi="Calibri" w:cs="Calibri"/>
          <w:sz w:val="24"/>
          <w:szCs w:val="24"/>
          <w:lang w:val="en-US"/>
        </w:rPr>
        <w:t xml:space="preserve">, </w:t>
      </w:r>
      <w:r w:rsidR="00663D56" w:rsidRPr="00DC1B02">
        <w:rPr>
          <w:rFonts w:ascii="Calibri" w:hAnsi="Calibri" w:cs="Calibri"/>
          <w:i/>
          <w:iCs/>
          <w:sz w:val="24"/>
          <w:szCs w:val="24"/>
          <w:lang w:val="en-US"/>
        </w:rPr>
        <w:t>Raphanus sativus</w:t>
      </w:r>
      <w:r w:rsidR="00663D56" w:rsidRPr="00B730C3">
        <w:rPr>
          <w:rFonts w:ascii="Calibri" w:hAnsi="Calibri" w:cs="Calibri"/>
          <w:sz w:val="24"/>
          <w:szCs w:val="24"/>
          <w:lang w:val="en-US"/>
        </w:rPr>
        <w:t xml:space="preserve">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DC1B02">
        <w:rPr>
          <w:rFonts w:ascii="Calibri" w:hAnsi="Calibri" w:cs="Calibri"/>
          <w:sz w:val="24"/>
          <w:szCs w:val="24"/>
          <w:lang w:val="en-US"/>
        </w:rPr>
        <w:t>]</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r w:rsidR="00885DCB">
        <w:rPr>
          <w:rFonts w:ascii="Calibri" w:hAnsi="Calibri" w:cs="Calibri"/>
          <w:sz w:val="24"/>
          <w:szCs w:val="24"/>
          <w:lang w:val="en-US"/>
        </w:rPr>
        <w:t xml:space="preserve"> </w:t>
      </w:r>
      <w:r w:rsidR="00C961D5">
        <w:rPr>
          <w:rFonts w:ascii="Calibri" w:hAnsi="Calibri" w:cs="Calibri"/>
          <w:sz w:val="24"/>
          <w:szCs w:val="24"/>
          <w:lang w:val="en-US"/>
        </w:rPr>
        <w:t>Seven</w:t>
      </w:r>
      <w:r w:rsidR="005D1C4B">
        <w:rPr>
          <w:rFonts w:ascii="Calibri" w:hAnsi="Calibri" w:cs="Calibri"/>
          <w:sz w:val="24"/>
          <w:szCs w:val="24"/>
          <w:lang w:val="en-US"/>
        </w:rPr>
        <w:t xml:space="preserve"> indices were used to capture biophysical, ecological and agronomic services and dis-services. </w:t>
      </w:r>
      <w:r w:rsidRPr="00B730C3">
        <w:rPr>
          <w:rFonts w:ascii="Calibri" w:hAnsi="Calibri" w:cs="Calibri"/>
          <w:sz w:val="24"/>
          <w:szCs w:val="24"/>
          <w:lang w:val="en-US"/>
        </w:rPr>
        <w:t xml:space="preserve">Four were used to capture </w:t>
      </w:r>
      <w:r w:rsidR="00885DCB">
        <w:rPr>
          <w:rFonts w:ascii="Calibri" w:hAnsi="Calibri" w:cs="Calibri"/>
          <w:sz w:val="24"/>
          <w:szCs w:val="24"/>
          <w:lang w:val="en-US"/>
        </w:rPr>
        <w:t xml:space="preserve">fall </w:t>
      </w:r>
      <w:r w:rsidRPr="00B730C3">
        <w:rPr>
          <w:rFonts w:ascii="Calibri" w:hAnsi="Calibri" w:cs="Calibri"/>
          <w:sz w:val="24"/>
          <w:szCs w:val="24"/>
          <w:lang w:val="en-US"/>
        </w:rPr>
        <w:t xml:space="preserve">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w:t>
      </w:r>
      <w:r w:rsidRPr="00B730C3">
        <w:rPr>
          <w:rFonts w:ascii="Calibri" w:hAnsi="Calibri" w:cs="Calibri"/>
          <w:sz w:val="24"/>
          <w:szCs w:val="24"/>
          <w:lang w:val="en-US"/>
        </w:rPr>
        <w:t>ecological benefits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w:t>
      </w:r>
      <w:r w:rsidR="00C86A80">
        <w:rPr>
          <w:rFonts w:ascii="Calibri" w:hAnsi="Calibri" w:cs="Calibri"/>
          <w:sz w:val="24"/>
          <w:szCs w:val="24"/>
          <w:lang w:val="en-US"/>
        </w:rPr>
        <w:t xml:space="preserve">species-based </w:t>
      </w:r>
      <w:r w:rsidRPr="00B730C3">
        <w:rPr>
          <w:rFonts w:ascii="Calibri" w:hAnsi="Calibri" w:cs="Calibri"/>
          <w:sz w:val="24"/>
          <w:szCs w:val="24"/>
          <w:lang w:val="en-US"/>
        </w:rPr>
        <w:t>agronomic harm</w:t>
      </w:r>
      <w:r w:rsidR="00CB0057">
        <w:rPr>
          <w:rFonts w:ascii="Calibri" w:hAnsi="Calibri" w:cs="Calibri"/>
          <w:sz w:val="24"/>
          <w:szCs w:val="24"/>
          <w:lang w:val="en-US"/>
        </w:rPr>
        <w:t xml:space="preserve">. </w:t>
      </w:r>
      <w:r w:rsidR="00C961D5">
        <w:rPr>
          <w:rFonts w:ascii="Calibri" w:hAnsi="Calibri" w:cs="Calibri"/>
          <w:sz w:val="24"/>
          <w:szCs w:val="24"/>
          <w:lang w:val="en-US"/>
        </w:rPr>
        <w:t>Three</w:t>
      </w:r>
      <w:r w:rsidR="00CB0057">
        <w:rPr>
          <w:rFonts w:ascii="Calibri" w:hAnsi="Calibri" w:cs="Calibri"/>
          <w:sz w:val="24"/>
          <w:szCs w:val="24"/>
          <w:lang w:val="en-US"/>
        </w:rPr>
        <w:t xml:space="preserve"> metrics captured system impacts including </w:t>
      </w:r>
      <w:r w:rsidR="00C961D5">
        <w:rPr>
          <w:rFonts w:ascii="Calibri" w:hAnsi="Calibri" w:cs="Calibri"/>
          <w:sz w:val="24"/>
          <w:szCs w:val="24"/>
          <w:lang w:val="en-US"/>
        </w:rPr>
        <w:t xml:space="preserve">(5) </w:t>
      </w:r>
      <w:r w:rsidR="00CB0057">
        <w:rPr>
          <w:rFonts w:ascii="Calibri" w:hAnsi="Calibri" w:cs="Calibri"/>
          <w:sz w:val="24"/>
          <w:szCs w:val="24"/>
          <w:lang w:val="en-US"/>
        </w:rPr>
        <w:t>crop yields</w:t>
      </w:r>
      <w:r w:rsidR="00C86A80">
        <w:rPr>
          <w:rFonts w:ascii="Calibri" w:hAnsi="Calibri" w:cs="Calibri"/>
          <w:sz w:val="24"/>
          <w:szCs w:val="24"/>
          <w:lang w:val="en-US"/>
        </w:rPr>
        <w:t xml:space="preserve">, </w:t>
      </w:r>
      <w:r w:rsidR="00C961D5">
        <w:rPr>
          <w:rFonts w:ascii="Calibri" w:hAnsi="Calibri" w:cs="Calibri"/>
          <w:sz w:val="24"/>
          <w:szCs w:val="24"/>
          <w:lang w:val="en-US"/>
        </w:rPr>
        <w:t xml:space="preserve">(6) </w:t>
      </w:r>
      <w:r w:rsidR="00C86A80">
        <w:rPr>
          <w:rFonts w:ascii="Calibri" w:hAnsi="Calibri" w:cs="Calibri"/>
          <w:sz w:val="24"/>
          <w:szCs w:val="24"/>
          <w:lang w:val="en-US"/>
        </w:rPr>
        <w:t xml:space="preserve">change in perennial weed abundance, and </w:t>
      </w:r>
      <w:r w:rsidR="00C961D5">
        <w:rPr>
          <w:rFonts w:ascii="Calibri" w:hAnsi="Calibri" w:cs="Calibri"/>
          <w:sz w:val="24"/>
          <w:szCs w:val="24"/>
          <w:lang w:val="en-US"/>
        </w:rPr>
        <w:t xml:space="preserve">(7) </w:t>
      </w:r>
      <w:r w:rsidR="00CB0057">
        <w:rPr>
          <w:rFonts w:ascii="Calibri" w:hAnsi="Calibri" w:cs="Calibri"/>
          <w:sz w:val="24"/>
          <w:szCs w:val="24"/>
          <w:lang w:val="en-US"/>
        </w:rPr>
        <w:t>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F0097BA"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w:t>
      </w:r>
      <w:r w:rsidR="00885DCB">
        <w:rPr>
          <w:rFonts w:ascii="Calibri" w:hAnsi="Calibri" w:cs="Calibri"/>
          <w:sz w:val="24"/>
          <w:szCs w:val="24"/>
          <w:lang w:val="en-US"/>
        </w:rPr>
        <w:t>S</w:t>
      </w:r>
      <w:r w:rsidRPr="00B730C3">
        <w:rPr>
          <w:rFonts w:ascii="Calibri" w:hAnsi="Calibri" w:cs="Calibri"/>
          <w:sz w:val="24"/>
          <w:szCs w:val="24"/>
          <w:lang w:val="en-US"/>
        </w:rPr>
        <w:t xml:space="preserve">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r w:rsidRPr="00B730C3">
        <w:rPr>
          <w:rFonts w:ascii="Calibri" w:hAnsi="Calibri" w:cs="Calibri"/>
          <w:sz w:val="24"/>
          <w:szCs w:val="24"/>
          <w:lang w:val="en-US"/>
        </w:rPr>
        <w:t xml:space="preserve">Radish cover crops </w:t>
      </w:r>
      <w:r w:rsidR="00885DCB" w:rsidRPr="00B730C3">
        <w:rPr>
          <w:rFonts w:ascii="Calibri" w:hAnsi="Calibri" w:cs="Calibri"/>
          <w:sz w:val="24"/>
          <w:szCs w:val="24"/>
          <w:lang w:val="en-US"/>
        </w:rPr>
        <w:t>always</w:t>
      </w:r>
      <w:r w:rsidRPr="00B730C3">
        <w:rPr>
          <w:rFonts w:ascii="Calibri" w:hAnsi="Calibri" w:cs="Calibri"/>
          <w:sz w:val="24"/>
          <w:szCs w:val="24"/>
          <w:lang w:val="en-US"/>
        </w:rPr>
        <w:t xml:space="preserve"> contributed over 50% of total fall biomass, while the mixes’ contributions varied </w:t>
      </w:r>
      <w:r w:rsidR="00885DCB">
        <w:rPr>
          <w:rFonts w:ascii="Calibri" w:hAnsi="Calibri" w:cs="Calibri"/>
          <w:sz w:val="24"/>
          <w:szCs w:val="24"/>
          <w:lang w:val="en-US"/>
        </w:rPr>
        <w:t xml:space="preserve">by year, cropping system, and planting date </w:t>
      </w:r>
      <w:r w:rsidRPr="00B730C3">
        <w:rPr>
          <w:rFonts w:ascii="Calibri" w:hAnsi="Calibri" w:cs="Calibri"/>
          <w:sz w:val="24"/>
          <w:szCs w:val="24"/>
          <w:lang w:val="en-US"/>
        </w:rPr>
        <w:t xml:space="preserve">(0–80%).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w:t>
      </w:r>
      <w:r w:rsidR="00885DCB">
        <w:rPr>
          <w:rFonts w:ascii="Calibri" w:hAnsi="Calibri" w:cs="Calibri"/>
          <w:sz w:val="24"/>
          <w:szCs w:val="24"/>
          <w:lang w:val="en-US"/>
        </w:rPr>
        <w:t xml:space="preserve">Overall, </w:t>
      </w:r>
      <w:proofErr w:type="gramStart"/>
      <w:r w:rsidR="00885DCB">
        <w:rPr>
          <w:rFonts w:ascii="Calibri" w:hAnsi="Calibri" w:cs="Calibri"/>
          <w:sz w:val="24"/>
          <w:szCs w:val="24"/>
          <w:lang w:val="en-US"/>
        </w:rPr>
        <w:t>across</w:t>
      </w:r>
      <w:proofErr w:type="gramEnd"/>
      <w:r w:rsidR="00885DCB">
        <w:rPr>
          <w:rFonts w:ascii="Calibri" w:hAnsi="Calibri" w:cs="Calibri"/>
          <w:sz w:val="24"/>
          <w:szCs w:val="24"/>
          <w:lang w:val="en-US"/>
        </w:rPr>
        <w:t xml:space="preserve"> </w:t>
      </w:r>
      <w:r w:rsidR="00D6652C">
        <w:rPr>
          <w:rFonts w:ascii="Calibri" w:hAnsi="Calibri" w:cs="Calibri"/>
          <w:sz w:val="24"/>
          <w:szCs w:val="24"/>
          <w:lang w:val="en-US"/>
        </w:rPr>
        <w:t xml:space="preserve">tillage, residue, </w:t>
      </w:r>
      <w:r w:rsidR="00885DCB">
        <w:rPr>
          <w:rFonts w:ascii="Calibri" w:hAnsi="Calibri" w:cs="Calibri"/>
          <w:sz w:val="24"/>
          <w:szCs w:val="24"/>
          <w:lang w:val="en-US"/>
        </w:rPr>
        <w:t>and</w:t>
      </w:r>
      <w:r w:rsidR="00D6652C">
        <w:rPr>
          <w:rFonts w:ascii="Calibri" w:hAnsi="Calibri" w:cs="Calibri"/>
          <w:sz w:val="24"/>
          <w:szCs w:val="24"/>
          <w:lang w:val="en-US"/>
        </w:rPr>
        <w:t xml:space="preserve"> weather the mid-season planted radish exhibited the highest fall biomass, </w:t>
      </w:r>
      <w:r w:rsidR="00885DCB">
        <w:rPr>
          <w:rFonts w:ascii="Calibri" w:hAnsi="Calibri" w:cs="Calibri"/>
          <w:sz w:val="24"/>
          <w:szCs w:val="24"/>
          <w:lang w:val="en-US"/>
        </w:rPr>
        <w:t>moderate</w:t>
      </w:r>
      <w:r w:rsidR="00D6652C">
        <w:rPr>
          <w:rFonts w:ascii="Calibri" w:hAnsi="Calibri" w:cs="Calibri"/>
          <w:sz w:val="24"/>
          <w:szCs w:val="24"/>
          <w:lang w:val="en-US"/>
        </w:rPr>
        <w:t xml:space="preserve"> pesticide toxicity, high crop yields, </w:t>
      </w:r>
      <w:r w:rsidR="00ED39BC">
        <w:rPr>
          <w:rFonts w:ascii="Calibri" w:hAnsi="Calibri" w:cs="Calibri"/>
          <w:sz w:val="24"/>
          <w:szCs w:val="24"/>
          <w:lang w:val="en-US"/>
        </w:rPr>
        <w:t>and</w:t>
      </w:r>
      <w:r w:rsidR="00D6652C">
        <w:rPr>
          <w:rFonts w:ascii="Calibri" w:hAnsi="Calibri" w:cs="Calibri"/>
          <w:sz w:val="24"/>
          <w:szCs w:val="24"/>
          <w:lang w:val="en-US"/>
        </w:rPr>
        <w:t xml:space="preserve">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 </w:t>
      </w:r>
      <w:r w:rsidR="00D6652C">
        <w:rPr>
          <w:rFonts w:ascii="Calibri" w:hAnsi="Calibri" w:cs="Calibri"/>
          <w:sz w:val="24"/>
          <w:szCs w:val="24"/>
          <w:lang w:val="en-US"/>
        </w:rPr>
        <w:t>pesticide toxicity loads, and x times more perennial weed</w:t>
      </w:r>
      <w:r w:rsidR="00ED39BC">
        <w:rPr>
          <w:rFonts w:ascii="Calibri" w:hAnsi="Calibri" w:cs="Calibri"/>
          <w:sz w:val="24"/>
          <w:szCs w:val="24"/>
          <w:lang w:val="en-US"/>
        </w:rPr>
        <w:t xml:space="preserve"> increases</w:t>
      </w:r>
      <w:r w:rsidR="00D6652C">
        <w:rPr>
          <w:rFonts w:ascii="Calibri" w:hAnsi="Calibri" w:cs="Calibri"/>
          <w:sz w:val="24"/>
          <w:szCs w:val="24"/>
          <w:lang w:val="en-US"/>
        </w:rPr>
        <w:t xml:space="preserve"> compared to other </w:t>
      </w:r>
      <w:proofErr w:type="gramStart"/>
      <w:r w:rsidR="00D6652C">
        <w:rPr>
          <w:rFonts w:ascii="Calibri" w:hAnsi="Calibri" w:cs="Calibri"/>
          <w:sz w:val="24"/>
          <w:szCs w:val="24"/>
          <w:lang w:val="en-US"/>
        </w:rPr>
        <w:t>treatments</w:t>
      </w:r>
      <w:r w:rsidR="005D1C4B">
        <w:rPr>
          <w:rFonts w:ascii="Calibri" w:hAnsi="Calibri" w:cs="Calibri"/>
          <w:sz w:val="24"/>
          <w:szCs w:val="24"/>
          <w:lang w:val="en-US"/>
        </w:rPr>
        <w:t>,</w:t>
      </w:r>
      <w:r w:rsidR="00E814F8">
        <w:rPr>
          <w:rFonts w:ascii="Calibri" w:hAnsi="Calibri" w:cs="Calibri"/>
          <w:sz w:val="24"/>
          <w:szCs w:val="24"/>
          <w:lang w:val="en-US"/>
        </w:rPr>
        <w:t xml:space="preserve"> but</w:t>
      </w:r>
      <w:proofErr w:type="gramEnd"/>
      <w:r w:rsidR="00E814F8">
        <w:rPr>
          <w:rFonts w:ascii="Calibri" w:hAnsi="Calibri" w:cs="Calibri"/>
          <w:sz w:val="24"/>
          <w:szCs w:val="24"/>
          <w:lang w:val="en-US"/>
        </w:rPr>
        <w:t xml:space="preserve">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00ED39BC">
        <w:rPr>
          <w:rFonts w:ascii="Calibri" w:hAnsi="Calibri" w:cs="Calibri"/>
          <w:sz w:val="24"/>
          <w:szCs w:val="24"/>
          <w:lang w:val="en-US"/>
        </w:rPr>
        <w:t xml:space="preserve">Depending on producer goals, mid-season planted radish cover crops may exhibit more consistent benefits across cropping systems and weather conditions compared to grass/clover mixtures.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 xml:space="preserve">ecological and agronomic </w:t>
      </w:r>
      <w:r w:rsidR="00ED39BC">
        <w:rPr>
          <w:rFonts w:ascii="Calibri" w:hAnsi="Calibri" w:cs="Calibri"/>
          <w:sz w:val="24"/>
          <w:szCs w:val="24"/>
          <w:lang w:val="en-US"/>
        </w:rPr>
        <w:t>outcomes</w:t>
      </w:r>
      <w:r w:rsidRPr="00B730C3">
        <w:rPr>
          <w:rFonts w:ascii="Calibri" w:hAnsi="Calibri" w:cs="Calibri"/>
          <w:sz w:val="24"/>
          <w:szCs w:val="24"/>
          <w:lang w:val="en-US"/>
        </w:rPr>
        <w:t>.</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proofErr w:type="gramStart"/>
      <w:r w:rsidR="00E814F8">
        <w:rPr>
          <w:rFonts w:ascii="Calibri" w:hAnsi="Calibri" w:cs="Calibri"/>
          <w:sz w:val="24"/>
          <w:szCs w:val="24"/>
          <w:lang w:val="en-US"/>
        </w:rPr>
        <w:t>impacts</w:t>
      </w:r>
      <w:proofErr w:type="gramEnd"/>
      <w:r w:rsidR="00E814F8">
        <w:rPr>
          <w:rFonts w:ascii="Calibri" w:hAnsi="Calibri" w:cs="Calibri"/>
          <w:sz w:val="24"/>
          <w:szCs w:val="24"/>
          <w:lang w:val="en-US"/>
        </w:rPr>
        <w:t xml:space="preserve">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6299D4E7"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486A04" w:rsidRPr="00486A04">
        <w:rPr>
          <w:rFonts w:ascii="Calibri" w:hAnsi="Calibri" w:cs="Calibri"/>
          <w:sz w:val="24"/>
          <w:lang w:val="en-US"/>
        </w:rPr>
        <w:t>(Balfour and Ratnieks, 2022; Marshall et al., 2003)</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(Blaix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(e.g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Used Yvoz,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4FD699F1"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{"citationID":"AmXEL2sc","properties":{"formattedCitation":"(Moreau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1C6E964A"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{"citationID":"sipBuCBC","properties":{"formattedCitation":"(Jian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Adeux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2D5B3EC6"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s primary tillage system (four levels</w:t>
      </w:r>
      <w:proofErr w:type="gramStart"/>
      <w:r w:rsidRPr="00CF29E1">
        <w:rPr>
          <w:lang w:val="en-US"/>
        </w:rPr>
        <w:t>)</w:t>
      </w:r>
      <w:proofErr w:type="gramEnd"/>
      <w:r w:rsidRPr="00CF29E1">
        <w:rPr>
          <w:lang w:val="en-US"/>
        </w:rPr>
        <w:t xml:space="preserve"> and the sub-subplot (six levels) was established to accommodate various sub-treatments within rotation and tillage combinations </w:t>
      </w:r>
      <w:r w:rsidR="00ED39BC">
        <w:rPr>
          <w:lang w:val="en-US"/>
        </w:rPr>
        <w:t>[</w:t>
      </w:r>
      <w:r w:rsidRPr="00CF29E1">
        <w:rPr>
          <w:lang w:val="en-US"/>
        </w:rPr>
        <w:t xml:space="preserve">see for example Melander et al. </w:t>
      </w:r>
      <w:r w:rsidRPr="001E07E9">
        <w:rPr>
          <w:lang w:val="en-US"/>
        </w:rPr>
        <w:t>(2008)</w:t>
      </w:r>
      <w:r w:rsidR="00ED39BC">
        <w:rPr>
          <w:lang w:val="en-US"/>
        </w:rPr>
        <w:t>]</w:t>
      </w:r>
      <w:r w:rsidRPr="001E07E9">
        <w:rPr>
          <w:lang w:val="en-US"/>
        </w:rPr>
        <w:t xml:space="preserve">.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 xml:space="preserve">L.) </w:t>
      </w:r>
      <w:proofErr w:type="gramStart"/>
      <w:r w:rsidR="001E07E9" w:rsidRPr="00CF29E1">
        <w:rPr>
          <w:lang w:val="en-US"/>
        </w:rPr>
        <w:t>sown</w:t>
      </w:r>
      <w:proofErr w:type="gramEnd"/>
      <w:r w:rsidR="001E07E9" w:rsidRPr="00CF29E1">
        <w:rPr>
          <w:lang w:val="en-US"/>
        </w:rPr>
        <w:t xml:space="preserve"> 19 April 2018, spring oat (</w:t>
      </w:r>
      <w:r w:rsidR="001E07E9" w:rsidRPr="00CF29E1">
        <w:rPr>
          <w:i/>
          <w:iCs/>
          <w:lang w:val="en-US"/>
        </w:rPr>
        <w:t>Avena sativa</w:t>
      </w:r>
      <w:r w:rsidR="001E07E9" w:rsidRPr="00CF29E1">
        <w:rPr>
          <w:lang w:val="en-US"/>
        </w:rPr>
        <w:t xml:space="preserve"> L.) </w:t>
      </w:r>
      <w:proofErr w:type="gramStart"/>
      <w:r w:rsidR="001E07E9" w:rsidRPr="00CF29E1">
        <w:rPr>
          <w:lang w:val="en-US"/>
        </w:rPr>
        <w:t>sown</w:t>
      </w:r>
      <w:proofErr w:type="gramEnd"/>
      <w:r w:rsidR="001E07E9" w:rsidRPr="00CF29E1">
        <w:rPr>
          <w:lang w:val="en-US"/>
        </w:rPr>
        <w:t xml:space="preserve"> 4 April 2019 and faba beans (</w:t>
      </w:r>
      <w:r w:rsidR="001E07E9" w:rsidRPr="00CF29E1">
        <w:rPr>
          <w:i/>
          <w:iCs/>
          <w:lang w:val="en-US"/>
        </w:rPr>
        <w:t>Vicia faba</w:t>
      </w:r>
      <w:r w:rsidR="001E07E9" w:rsidRPr="00CF29E1">
        <w:rPr>
          <w:lang w:val="en-US"/>
        </w:rPr>
        <w:t xml:space="preserve"> L.) </w:t>
      </w:r>
      <w:proofErr w:type="gramStart"/>
      <w:r w:rsidR="001E07E9" w:rsidRPr="00CF29E1">
        <w:rPr>
          <w:lang w:val="en-US"/>
        </w:rPr>
        <w:t>sown</w:t>
      </w:r>
      <w:proofErr w:type="gramEnd"/>
      <w:r w:rsidR="001E07E9" w:rsidRPr="00CF29E1">
        <w:rPr>
          <w:lang w:val="en-US"/>
        </w:rPr>
        <w:t xml:space="preserve"> 15 April 2020.</w:t>
      </w:r>
      <w:r w:rsidR="0013795C">
        <w:rPr>
          <w:lang w:val="en-US"/>
        </w:rPr>
        <w:t xml:space="preserve"> Detailed tables and a visual of the study’s agronomic management are presented in supplemental </w:t>
      </w:r>
      <w:proofErr w:type="gramStart"/>
      <w:r w:rsidR="0013795C">
        <w:rPr>
          <w:lang w:val="en-US"/>
        </w:rPr>
        <w:t>material, but</w:t>
      </w:r>
      <w:proofErr w:type="gramEnd"/>
      <w:r w:rsidR="0013795C">
        <w:rPr>
          <w:lang w:val="en-US"/>
        </w:rPr>
        <w:t xml:space="preserve"> are </w:t>
      </w:r>
      <w:proofErr w:type="gramStart"/>
      <w:r w:rsidR="0013795C">
        <w:rPr>
          <w:lang w:val="en-US"/>
        </w:rPr>
        <w:t>described here</w:t>
      </w:r>
      <w:proofErr w:type="gramEnd"/>
      <w:r w:rsidR="0013795C">
        <w:rPr>
          <w:lang w:val="en-US"/>
        </w:rPr>
        <w:t xml:space="preserve"> briefly. </w:t>
      </w:r>
    </w:p>
    <w:p w14:paraId="77362F28" w14:textId="0180ABA5" w:rsidR="007477A1" w:rsidRPr="001E07E9" w:rsidRDefault="007477A1" w:rsidP="007477A1">
      <w:pPr>
        <w:pStyle w:val="Heading3"/>
        <w:rPr>
          <w:lang w:val="en-US"/>
        </w:rPr>
      </w:pPr>
      <w:r w:rsidRPr="001E07E9">
        <w:rPr>
          <w:lang w:val="en-US"/>
        </w:rPr>
        <w:t>Study design</w:t>
      </w:r>
    </w:p>
    <w:p w14:paraId="63799CEF" w14:textId="61A399CD" w:rsidR="00A70C8E" w:rsidRDefault="00A70C8E" w:rsidP="00A70C8E">
      <w:pPr>
        <w:rPr>
          <w:lang w:val="en-US"/>
        </w:rPr>
      </w:pPr>
      <w:proofErr w:type="gramStart"/>
      <w:r w:rsidRPr="00CF29E1">
        <w:rPr>
          <w:lang w:val="en-US"/>
        </w:rPr>
        <w:t>For the purpose of</w:t>
      </w:r>
      <w:proofErr w:type="gramEnd"/>
      <w:r w:rsidRPr="00CF29E1">
        <w:rPr>
          <w:lang w:val="en-US"/>
        </w:rPr>
        <w:t xml:space="preserve"> the present study, two cropping systems were selected that had the same sequence of crops but with different </w:t>
      </w:r>
      <w:r w:rsidR="0013795C">
        <w:rPr>
          <w:lang w:val="en-US"/>
        </w:rPr>
        <w:t xml:space="preserve">small grain </w:t>
      </w:r>
      <w:r w:rsidRPr="00CF29E1">
        <w:rPr>
          <w:lang w:val="en-US"/>
        </w:rPr>
        <w:t>straw management</w:t>
      </w:r>
      <w:r w:rsidR="0013795C">
        <w:rPr>
          <w:lang w:val="en-US"/>
        </w:rPr>
        <w:t>s that</w:t>
      </w:r>
      <w:r w:rsidR="001E07E9">
        <w:rPr>
          <w:lang w:val="en-US"/>
        </w:rPr>
        <w:t xml:space="preserve"> reflect common systems in Denmark</w:t>
      </w:r>
      <w:r w:rsidRPr="00CF29E1">
        <w:rPr>
          <w:lang w:val="en-US"/>
        </w:rPr>
        <w:t xml:space="preserve">: straw removed or retained. Therefore, in the present study, straw management composed the main-plot treatment. </w:t>
      </w:r>
      <w:r w:rsidR="0013795C">
        <w:rPr>
          <w:lang w:val="en-US"/>
        </w:rPr>
        <w:t xml:space="preserve">Three of the four tillage regimes were used for this study (more details below). </w:t>
      </w:r>
      <w:r w:rsidRPr="00CF29E1">
        <w:rPr>
          <w:lang w:val="en-US"/>
        </w:rPr>
        <w:t>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4CF90444" w:rsidR="00844404" w:rsidRPr="003544E9" w:rsidRDefault="00A70C8E" w:rsidP="00844404">
      <w:pPr>
        <w:rPr>
          <w:lang w:val="en-US"/>
        </w:rPr>
      </w:pPr>
      <w:r w:rsidRPr="00922D1E">
        <w:rPr>
          <w:lang w:val="en-US"/>
        </w:rPr>
        <w:t xml:space="preserve">The same straw managements and categorical tillage </w:t>
      </w:r>
      <w:r>
        <w:rPr>
          <w:lang w:val="en-US"/>
        </w:rPr>
        <w:t>system</w:t>
      </w:r>
      <w:r w:rsidR="0013795C">
        <w:rPr>
          <w:lang w:val="en-US"/>
        </w:rPr>
        <w:t xml:space="preserve"> treatments</w:t>
      </w:r>
      <w:r w:rsidRPr="00922D1E">
        <w:rPr>
          <w:lang w:val="en-US"/>
        </w:rPr>
        <w:t xml:space="preserve"> (no tillage, </w:t>
      </w:r>
      <w:r w:rsidR="0013795C">
        <w:rPr>
          <w:lang w:val="en-US"/>
        </w:rPr>
        <w:t>surface</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w:t>
      </w:r>
      <w:commentRangeStart w:id="2"/>
      <w:r w:rsidR="00A32989">
        <w:rPr>
          <w:color w:val="FF0000"/>
          <w:lang w:val="en-US"/>
        </w:rPr>
        <w:t>CITE a CENTS modelling study</w:t>
      </w:r>
      <w:r w:rsidR="00F65982">
        <w:rPr>
          <w:color w:val="FF0000"/>
          <w:lang w:val="en-US"/>
        </w:rPr>
        <w:t xml:space="preserve"> for this 60% assumption</w:t>
      </w:r>
      <w:commentRangeEnd w:id="2"/>
      <w:r w:rsidR="0013795C">
        <w:rPr>
          <w:rStyle w:val="CommentReference"/>
        </w:rPr>
        <w:commentReference w:id="2"/>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w:t>
      </w:r>
      <w:proofErr w:type="gramStart"/>
      <w:r w:rsidR="00844404" w:rsidRPr="00922D1E">
        <w:rPr>
          <w:lang w:val="en-GB"/>
        </w:rPr>
        <w:t xml:space="preserve">cultivator </w:t>
      </w:r>
      <w:r w:rsidR="00844404">
        <w:rPr>
          <w:lang w:val="en-GB"/>
        </w:rPr>
        <w:t xml:space="preserve"> was</w:t>
      </w:r>
      <w:proofErr w:type="gramEnd"/>
      <w:r w:rsidR="00844404">
        <w:rPr>
          <w:lang w:val="en-GB"/>
        </w:rPr>
        <w:t xml:space="preserve"> used </w:t>
      </w:r>
      <w:r w:rsidR="00844404">
        <w:rPr>
          <w:lang w:val="en-GB"/>
        </w:rPr>
        <w:lastRenderedPageBreak/>
        <w:t xml:space="preserve">to </w:t>
      </w:r>
      <w:r w:rsidR="007E32D7">
        <w:rPr>
          <w:lang w:val="en-GB"/>
        </w:rPr>
        <w:t xml:space="preserve">till to a depth </w:t>
      </w:r>
      <w:commentRangeStart w:id="4"/>
      <w:r w:rsidR="00844404">
        <w:rPr>
          <w:lang w:val="en-GB"/>
        </w:rPr>
        <w:t xml:space="preserve">8-10 cm </w:t>
      </w:r>
      <w:r w:rsidR="007E32D7">
        <w:rPr>
          <w:lang w:val="en-GB"/>
        </w:rPr>
        <w:t xml:space="preserve">in the spring </w:t>
      </w:r>
      <w:r w:rsidR="00844404">
        <w:rPr>
          <w:lang w:val="en-GB"/>
        </w:rPr>
        <w:t>before cash crop planting</w:t>
      </w:r>
      <w:commentRangeEnd w:id="4"/>
      <w:r w:rsidR="00D54833">
        <w:rPr>
          <w:rStyle w:val="CommentReference"/>
        </w:rPr>
        <w:commentReference w:id="4"/>
      </w:r>
      <w:r w:rsidR="00844404">
        <w:rPr>
          <w:lang w:val="en-GB"/>
        </w:rPr>
        <w:t xml:space="preserve">. In both the no-till and </w:t>
      </w:r>
      <w:r w:rsidR="00C512E2">
        <w:rPr>
          <w:lang w:val="en-GB"/>
        </w:rPr>
        <w:t>surface</w:t>
      </w:r>
      <w:r w:rsidR="00844404">
        <w:rPr>
          <w:lang w:val="en-GB"/>
        </w:rPr>
        <w:t xml:space="preserve"> tillage systems, crops were sown </w:t>
      </w:r>
      <w:r w:rsidR="00844404" w:rsidRPr="007653A2">
        <w:rPr>
          <w:lang w:val="en-GB"/>
        </w:rPr>
        <w:t>with a chisel coulter (Horsch Airseeder CO 3)</w:t>
      </w:r>
      <w:r w:rsidR="00844404">
        <w:rPr>
          <w:lang w:val="en-GB"/>
        </w:rPr>
        <w:t xml:space="preserve"> with row spacings of 17.5 cm for spring oats, spring barley, and </w:t>
      </w:r>
      <w:commentRangeStart w:id="5"/>
      <w:r w:rsidR="00844404" w:rsidRPr="007653A2">
        <w:rPr>
          <w:color w:val="FF0000"/>
          <w:lang w:val="en-GB"/>
        </w:rPr>
        <w:t>faba beans</w:t>
      </w:r>
      <w:commentRangeEnd w:id="5"/>
      <w:r w:rsidR="00D54833">
        <w:rPr>
          <w:rStyle w:val="CommentReference"/>
        </w:rPr>
        <w:commentReference w:id="5"/>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p>
    <w:p w14:paraId="4ABFF24E" w14:textId="6443DE49" w:rsidR="007477A1" w:rsidRPr="007653A2" w:rsidRDefault="007477A1" w:rsidP="007477A1">
      <w:pPr>
        <w:pStyle w:val="Heading3"/>
        <w:rPr>
          <w:ins w:id="6" w:author="Bo Melander" w:date="2025-02-11T13:10:00Z" w16du:dateUtc="2025-02-11T12:10:00Z"/>
          <w:lang w:val="en-GB"/>
        </w:rPr>
      </w:pPr>
      <w:r>
        <w:rPr>
          <w:lang w:val="en-GB"/>
        </w:rPr>
        <w:t>Cover crop treatments</w:t>
      </w:r>
    </w:p>
    <w:bookmarkEnd w:id="3"/>
    <w:p w14:paraId="7E80695A" w14:textId="113487C5" w:rsidR="00A70C8E" w:rsidRDefault="00A70C8E" w:rsidP="00A70C8E">
      <w:pPr>
        <w:rPr>
          <w:lang w:val="en-US"/>
        </w:rPr>
      </w:pPr>
      <w:r>
        <w:rPr>
          <w:lang w:val="en-US"/>
        </w:rPr>
        <w:t xml:space="preserve">Starting in </w:t>
      </w:r>
      <w:r w:rsidR="00C512E2">
        <w:rPr>
          <w:lang w:val="en-US"/>
        </w:rPr>
        <w:t xml:space="preserve">the </w:t>
      </w:r>
      <w:r>
        <w:rPr>
          <w:lang w:val="en-US"/>
        </w:rPr>
        <w:t>2018</w:t>
      </w:r>
      <w:r w:rsidR="00C512E2">
        <w:rPr>
          <w:lang w:val="en-US"/>
        </w:rPr>
        <w:t xml:space="preserve"> growing season</w:t>
      </w:r>
      <w:r>
        <w:rPr>
          <w:lang w:val="en-US"/>
        </w:rPr>
        <w:t>, five cover crop systems were randomly applied to the sub-sub</w:t>
      </w:r>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sub-subplot treatments were maintained for </w:t>
      </w:r>
      <w:proofErr w:type="gramStart"/>
      <w:r>
        <w:rPr>
          <w:lang w:val="en-US"/>
        </w:rPr>
        <w:t>2018</w:t>
      </w:r>
      <w:r w:rsidR="00C512E2">
        <w:rPr>
          <w:lang w:val="en-US"/>
        </w:rPr>
        <w:t>,</w:t>
      </w:r>
      <w:proofErr w:type="gramEnd"/>
      <w:r w:rsidR="00C512E2">
        <w:rPr>
          <w:lang w:val="en-US"/>
        </w:rPr>
        <w:t xml:space="preserve"> </w:t>
      </w:r>
      <w:r>
        <w:rPr>
          <w:lang w:val="en-US"/>
        </w:rPr>
        <w:t>2019</w:t>
      </w:r>
      <w:r w:rsidR="00C512E2">
        <w:rPr>
          <w:lang w:val="en-US"/>
        </w:rPr>
        <w:t xml:space="preserve"> and were tracked until faba bean harvest in 2020</w:t>
      </w:r>
      <w:r>
        <w:rPr>
          <w:lang w:val="en-US"/>
        </w:rPr>
        <w:t xml:space="preserve">.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C86AE7" w14:paraId="69998B1C" w14:textId="77777777">
        <w:tc>
          <w:tcPr>
            <w:tcW w:w="1555" w:type="dxa"/>
            <w:vAlign w:val="center"/>
          </w:tcPr>
          <w:p w14:paraId="6025962E" w14:textId="56FE6AB0" w:rsidR="00A70C8E" w:rsidRDefault="00A70C8E">
            <w:pPr>
              <w:jc w:val="center"/>
              <w:rPr>
                <w:lang w:val="en-US"/>
              </w:rPr>
            </w:pPr>
            <w:proofErr w:type="spellStart"/>
            <w:r>
              <w:rPr>
                <w:lang w:val="en-US"/>
              </w:rPr>
              <w:t>Mix</w:t>
            </w:r>
            <w:r w:rsidR="002C2250">
              <w:rPr>
                <w:lang w:val="en-US"/>
              </w:rPr>
              <w:t>E</w:t>
            </w:r>
            <w:proofErr w:type="spellEnd"/>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C86AE7" w14:paraId="46A1FE34" w14:textId="77777777">
        <w:tc>
          <w:tcPr>
            <w:tcW w:w="1555" w:type="dxa"/>
            <w:vAlign w:val="center"/>
          </w:tcPr>
          <w:p w14:paraId="427A91FB" w14:textId="0253D96F" w:rsidR="00A70C8E" w:rsidRDefault="00A70C8E">
            <w:pPr>
              <w:jc w:val="center"/>
              <w:rPr>
                <w:lang w:val="en-US"/>
              </w:rPr>
            </w:pPr>
            <w:proofErr w:type="spellStart"/>
            <w:r>
              <w:rPr>
                <w:lang w:val="en-US"/>
              </w:rPr>
              <w:t>Mix</w:t>
            </w:r>
            <w:r w:rsidR="002C2250">
              <w:rPr>
                <w:lang w:val="en-US"/>
              </w:rPr>
              <w:t>M</w:t>
            </w:r>
            <w:proofErr w:type="spellEnd"/>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 xml:space="preserve">Broadcast into standing </w:t>
            </w:r>
            <w:proofErr w:type="gramStart"/>
            <w:r w:rsidRPr="00782730">
              <w:rPr>
                <w:lang w:val="en-US"/>
              </w:rPr>
              <w:t>crop</w:t>
            </w:r>
            <w:proofErr w:type="gramEnd"/>
            <w:r w:rsidRPr="00782730">
              <w:rPr>
                <w:lang w:val="en-US"/>
              </w:rPr>
              <w:t xml:space="preserve"> approx</w:t>
            </w:r>
            <w:r w:rsidR="00D54833" w:rsidRPr="00782730">
              <w:rPr>
                <w:lang w:val="en-US"/>
              </w:rPr>
              <w:t>imately</w:t>
            </w:r>
            <w:r w:rsidRPr="00782730">
              <w:rPr>
                <w:lang w:val="en-US"/>
              </w:rPr>
              <w:t xml:space="preserve"> 14 days before expected cash crop harvest</w:t>
            </w:r>
          </w:p>
        </w:tc>
      </w:tr>
      <w:tr w:rsidR="00A70C8E" w:rsidRPr="00C86AE7" w14:paraId="49E1C5D0" w14:textId="77777777">
        <w:tc>
          <w:tcPr>
            <w:tcW w:w="1555" w:type="dxa"/>
            <w:vAlign w:val="center"/>
          </w:tcPr>
          <w:p w14:paraId="4FA1FCDD" w14:textId="23F48378" w:rsidR="00A70C8E" w:rsidRDefault="00A70C8E">
            <w:pPr>
              <w:jc w:val="center"/>
              <w:rPr>
                <w:lang w:val="en-US"/>
              </w:rPr>
            </w:pPr>
            <w:proofErr w:type="spellStart"/>
            <w:r>
              <w:rPr>
                <w:lang w:val="en-US"/>
              </w:rPr>
              <w:t>Rad</w:t>
            </w:r>
            <w:r w:rsidR="002C2250">
              <w:rPr>
                <w:lang w:val="en-US"/>
              </w:rPr>
              <w:t>M</w:t>
            </w:r>
            <w:proofErr w:type="spellEnd"/>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C86AE7" w14:paraId="5DB034BC" w14:textId="77777777">
        <w:tc>
          <w:tcPr>
            <w:tcW w:w="1555" w:type="dxa"/>
            <w:vAlign w:val="center"/>
          </w:tcPr>
          <w:p w14:paraId="756E9739" w14:textId="5575773B" w:rsidR="00A70C8E" w:rsidRDefault="00A70C8E">
            <w:pPr>
              <w:jc w:val="center"/>
              <w:rPr>
                <w:lang w:val="en-US"/>
              </w:rPr>
            </w:pPr>
            <w:r>
              <w:rPr>
                <w:lang w:val="en-US"/>
              </w:rPr>
              <w:t>Rad</w:t>
            </w:r>
            <w:r w:rsidR="002C2250">
              <w:rPr>
                <w:lang w:val="en-US"/>
              </w:rPr>
              <w:t>L</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166BE6CE" w:rsidR="00A70C8E" w:rsidRDefault="00A70C8E">
            <w:pPr>
              <w:jc w:val="center"/>
              <w:rPr>
                <w:lang w:val="en-US"/>
              </w:rPr>
            </w:pPr>
            <w:proofErr w:type="spellStart"/>
            <w:r>
              <w:rPr>
                <w:lang w:val="en-US"/>
              </w:rPr>
              <w:t>NoCC</w:t>
            </w:r>
            <w:proofErr w:type="spellEnd"/>
          </w:p>
        </w:tc>
        <w:tc>
          <w:tcPr>
            <w:tcW w:w="2126" w:type="dxa"/>
            <w:vAlign w:val="center"/>
          </w:tcPr>
          <w:p w14:paraId="05DE613F" w14:textId="72D8873B" w:rsidR="00A70C8E" w:rsidRDefault="003A431D">
            <w:pPr>
              <w:jc w:val="center"/>
              <w:rPr>
                <w:lang w:val="en-US"/>
              </w:rPr>
            </w:pPr>
            <w:r>
              <w:rPr>
                <w:lang w:val="en-US"/>
              </w:rPr>
              <w:t>None</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7"/>
      <w:r>
        <w:rPr>
          <w:lang w:val="en-US"/>
        </w:rPr>
        <w:t xml:space="preserve">was </w:t>
      </w:r>
      <w:r w:rsidR="007477A1">
        <w:rPr>
          <w:lang w:val="en-US"/>
        </w:rPr>
        <w:t xml:space="preserve">broadcast </w:t>
      </w:r>
      <w:commentRangeEnd w:id="7"/>
      <w:r w:rsidR="007477A1">
        <w:rPr>
          <w:rStyle w:val="CommentReference"/>
        </w:rPr>
        <w:commentReference w:id="7"/>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17270A14"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w:t>
      </w:r>
      <w:r w:rsidR="00C512E2">
        <w:rPr>
          <w:lang w:val="en-GB"/>
        </w:rPr>
        <w:t>no-till and surface</w:t>
      </w:r>
      <w:r w:rsidR="007477A1">
        <w:rPr>
          <w:lang w:val="en-GB"/>
        </w:rPr>
        <w:t xml:space="preserve"> </w:t>
      </w:r>
      <w:r w:rsidR="00C512E2">
        <w:rPr>
          <w:lang w:val="en-GB"/>
        </w:rPr>
        <w:t>tillage</w:t>
      </w:r>
      <w:r w:rsidR="007477A1">
        <w:rPr>
          <w:lang w:val="en-GB"/>
        </w:rPr>
        <w:t xml:space="preserve">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C512E2">
        <w:rPr>
          <w:lang w:val="en-GB"/>
        </w:rPr>
        <w:t xml:space="preserve">; Mix-early plots were not sprayed because HP5 would </w:t>
      </w:r>
      <w:r w:rsidR="00486A04">
        <w:rPr>
          <w:lang w:val="en-GB"/>
        </w:rPr>
        <w:t xml:space="preserve">have </w:t>
      </w:r>
      <w:r w:rsidR="00C512E2">
        <w:rPr>
          <w:lang w:val="en-GB"/>
        </w:rPr>
        <w:t>terminate</w:t>
      </w:r>
      <w:r w:rsidR="00486A04">
        <w:rPr>
          <w:lang w:val="en-GB"/>
        </w:rPr>
        <w:t>d</w:t>
      </w:r>
      <w:r w:rsidR="00C512E2">
        <w:rPr>
          <w:lang w:val="en-GB"/>
        </w:rPr>
        <w:t xml:space="preserve"> the cover crop</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8"/>
      <w:r w:rsidR="00AD5622" w:rsidRPr="00F65982">
        <w:rPr>
          <w:color w:val="FF0000"/>
          <w:lang w:val="en-GB"/>
        </w:rPr>
        <w:t>to….</w:t>
      </w:r>
      <w:commentRangeEnd w:id="8"/>
      <w:r w:rsidR="00AD5622" w:rsidRPr="00F65982">
        <w:rPr>
          <w:rStyle w:val="CommentReference"/>
          <w:color w:val="FF0000"/>
        </w:rPr>
        <w:commentReference w:id="8"/>
      </w:r>
      <w:r w:rsidR="00905DB0" w:rsidRPr="00F65982">
        <w:rPr>
          <w:color w:val="FF0000"/>
          <w:lang w:val="en-GB"/>
        </w:rPr>
        <w:t xml:space="preserve">. </w:t>
      </w:r>
      <w:bookmarkStart w:id="9"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w:t>
      </w:r>
      <w:r w:rsidR="00A70C8E">
        <w:rPr>
          <w:lang w:val="en-GB"/>
        </w:rPr>
        <w:lastRenderedPageBreak/>
        <w:t xml:space="preserve">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9"/>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Herbicide use data was translated into potential toxicity loads using the Danish Pesticide Load Indicator (PLI;</w:t>
      </w:r>
      <w:r w:rsidR="00486A04">
        <w:rPr>
          <w:lang w:val="en-US"/>
        </w:rPr>
        <w:t xml:space="preserve"> Kudsk et al. 2018)</w:t>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0"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1A9DA194" w:rsidR="00A70C8E" w:rsidRPr="00372A54" w:rsidRDefault="00A70C8E" w:rsidP="00A70C8E">
      <w:pPr>
        <w:rPr>
          <w:lang w:val="en-GB"/>
        </w:rPr>
      </w:pPr>
      <w:r w:rsidRPr="00372A54">
        <w:rPr>
          <w:lang w:val="en-GB"/>
        </w:rPr>
        <w:t xml:space="preserve">Each </w:t>
      </w:r>
      <w:r w:rsidR="00F734CE">
        <w:rPr>
          <w:lang w:val="en-GB"/>
        </w:rPr>
        <w:t>sub-sub</w:t>
      </w:r>
      <w:r w:rsidRPr="00372A54">
        <w:rPr>
          <w:lang w:val="en-GB"/>
        </w:rPr>
        <w:t>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1"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1"/>
      <w:r w:rsidRPr="00372A54">
        <w:rPr>
          <w:lang w:val="en-GB"/>
        </w:rPr>
        <w:t xml:space="preserve">). </w:t>
      </w:r>
      <w:r>
        <w:rPr>
          <w:lang w:val="en-GB"/>
        </w:rPr>
        <w:t>Grain yields are reported on a dry matter basis.</w:t>
      </w:r>
    </w:p>
    <w:p w14:paraId="34A7B1DB" w14:textId="6322EFBE" w:rsidR="00A70C8E" w:rsidRDefault="00997973" w:rsidP="007B22B0">
      <w:pPr>
        <w:pStyle w:val="Heading3"/>
        <w:rPr>
          <w:lang w:val="en-US"/>
        </w:rPr>
      </w:pPr>
      <w:r>
        <w:rPr>
          <w:lang w:val="en-US"/>
        </w:rPr>
        <w:t>Vegetation measurements</w:t>
      </w:r>
    </w:p>
    <w:p w14:paraId="09665B16" w14:textId="5E311014" w:rsidR="00F734CE" w:rsidRPr="00F734CE" w:rsidRDefault="00F734CE" w:rsidP="00F734CE">
      <w:pPr>
        <w:rPr>
          <w:lang w:val="en-US"/>
        </w:rPr>
      </w:pPr>
      <w:r>
        <w:rPr>
          <w:lang w:val="en-US"/>
        </w:rPr>
        <w:t>Three categories of vegetation measurements were taken (Table 2</w:t>
      </w:r>
      <w:proofErr w:type="gramStart"/>
      <w:r>
        <w:rPr>
          <w:lang w:val="en-US"/>
        </w:rPr>
        <w:t>), and</w:t>
      </w:r>
      <w:proofErr w:type="gramEnd"/>
      <w:r>
        <w:rPr>
          <w:lang w:val="en-US"/>
        </w:rPr>
        <w:t xml:space="preserve"> are described in detail below.</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F734CE">
        <w:tc>
          <w:tcPr>
            <w:tcW w:w="3539" w:type="dxa"/>
            <w:tcBorders>
              <w:top w:val="single" w:sz="4" w:space="0" w:color="auto"/>
              <w:left w:val="nil"/>
              <w:bottom w:val="single" w:sz="4" w:space="0" w:color="auto"/>
              <w:right w:val="nil"/>
            </w:tcBorders>
          </w:tcPr>
          <w:p w14:paraId="3A64DEF7" w14:textId="77777777" w:rsidR="00997973" w:rsidRDefault="00997973">
            <w:pPr>
              <w:rPr>
                <w:b/>
                <w:bCs/>
                <w:lang w:val="en-US"/>
              </w:rPr>
            </w:pPr>
            <w:r>
              <w:rPr>
                <w:b/>
                <w:bCs/>
                <w:lang w:val="en-US"/>
              </w:rPr>
              <w:t>Measurement</w:t>
            </w:r>
          </w:p>
        </w:tc>
        <w:tc>
          <w:tcPr>
            <w:tcW w:w="5477" w:type="dxa"/>
            <w:tcBorders>
              <w:top w:val="single" w:sz="4" w:space="0" w:color="auto"/>
              <w:left w:val="nil"/>
              <w:bottom w:val="single" w:sz="4" w:space="0" w:color="auto"/>
              <w:right w:val="nil"/>
            </w:tcBorders>
          </w:tcPr>
          <w:p w14:paraId="4ACA7F13" w14:textId="08023A3F" w:rsidR="00997973" w:rsidRDefault="00F734CE">
            <w:pPr>
              <w:rPr>
                <w:b/>
                <w:bCs/>
                <w:lang w:val="en-US"/>
              </w:rPr>
            </w:pPr>
            <w:r>
              <w:rPr>
                <w:b/>
                <w:bCs/>
                <w:lang w:val="en-US"/>
              </w:rPr>
              <w:t>Levels</w:t>
            </w:r>
            <w:r w:rsidR="00997973">
              <w:rPr>
                <w:b/>
                <w:bCs/>
                <w:lang w:val="en-US"/>
              </w:rPr>
              <w:t xml:space="preserve"> of </w:t>
            </w:r>
            <w:r>
              <w:rPr>
                <w:b/>
                <w:bCs/>
                <w:lang w:val="en-US"/>
              </w:rPr>
              <w:t>measurement resolution</w:t>
            </w:r>
          </w:p>
        </w:tc>
      </w:tr>
      <w:tr w:rsidR="00997973" w:rsidRPr="00175629" w14:paraId="5E7D783C" w14:textId="77777777" w:rsidTr="00F734CE">
        <w:tc>
          <w:tcPr>
            <w:tcW w:w="3539" w:type="dxa"/>
            <w:tcBorders>
              <w:top w:val="single" w:sz="4" w:space="0" w:color="auto"/>
              <w:left w:val="nil"/>
              <w:bottom w:val="nil"/>
              <w:right w:val="nil"/>
            </w:tcBorders>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Borders>
              <w:top w:val="single" w:sz="4" w:space="0" w:color="auto"/>
              <w:left w:val="nil"/>
              <w:bottom w:val="nil"/>
              <w:right w:val="nil"/>
            </w:tcBorders>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C86AE7" w14:paraId="113DFB5B" w14:textId="77777777" w:rsidTr="00F734CE">
        <w:tc>
          <w:tcPr>
            <w:tcW w:w="3539" w:type="dxa"/>
            <w:tcBorders>
              <w:top w:val="nil"/>
              <w:left w:val="nil"/>
              <w:bottom w:val="nil"/>
              <w:right w:val="nil"/>
            </w:tcBorders>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Borders>
              <w:top w:val="nil"/>
              <w:left w:val="nil"/>
              <w:bottom w:val="nil"/>
              <w:right w:val="nil"/>
            </w:tcBorders>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rsidTr="00F734CE">
        <w:tc>
          <w:tcPr>
            <w:tcW w:w="3539" w:type="dxa"/>
            <w:tcBorders>
              <w:top w:val="nil"/>
              <w:left w:val="nil"/>
              <w:bottom w:val="single" w:sz="4" w:space="0" w:color="auto"/>
              <w:right w:val="nil"/>
            </w:tcBorders>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Borders>
              <w:top w:val="nil"/>
              <w:left w:val="nil"/>
              <w:bottom w:val="single" w:sz="4" w:space="0" w:color="auto"/>
              <w:right w:val="nil"/>
            </w:tcBorders>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F734CE" w:rsidRPr="00C86AE7" w14:paraId="26DE969B" w14:textId="77777777" w:rsidTr="00F734CE">
        <w:tc>
          <w:tcPr>
            <w:tcW w:w="9016" w:type="dxa"/>
            <w:gridSpan w:val="2"/>
            <w:tcBorders>
              <w:top w:val="single" w:sz="4" w:space="0" w:color="auto"/>
              <w:left w:val="nil"/>
              <w:bottom w:val="nil"/>
              <w:right w:val="nil"/>
            </w:tcBorders>
          </w:tcPr>
          <w:p w14:paraId="0280EBB1" w14:textId="52147E9F" w:rsidR="00F734CE" w:rsidRPr="00C13F5B" w:rsidRDefault="00F734CE">
            <w:pPr>
              <w:rPr>
                <w:lang w:val="en-US"/>
              </w:rPr>
            </w:pPr>
            <w:r>
              <w:rPr>
                <w:lang w:val="en-US"/>
              </w:rPr>
              <w:t>*EPPO code, see supplemental material for Latin names</w:t>
            </w: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2656C1B5"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Three images were taken in each plot</w:t>
      </w:r>
      <w:r w:rsidR="00F734CE">
        <w:rPr>
          <w:lang w:val="en-US"/>
        </w:rPr>
        <w:t>, meaning 10% of the sub-subplot area was sampled (1.5 m</w:t>
      </w:r>
      <w:r w:rsidR="00F734CE" w:rsidRPr="00F734CE">
        <w:rPr>
          <w:vertAlign w:val="superscript"/>
          <w:lang w:val="en-US"/>
        </w:rPr>
        <w:t>2</w:t>
      </w:r>
      <w:r w:rsidR="00F734CE">
        <w:rPr>
          <w:lang w:val="en-US"/>
        </w:rPr>
        <w:t xml:space="preserve"> per 15 m</w:t>
      </w:r>
      <w:r w:rsidR="00F734CE" w:rsidRPr="00F734CE">
        <w:rPr>
          <w:vertAlign w:val="superscript"/>
          <w:lang w:val="en-US"/>
        </w:rPr>
        <w:t>2</w:t>
      </w:r>
      <w:r w:rsidR="00F734CE">
        <w:rPr>
          <w:lang w:val="en-US"/>
        </w:rPr>
        <w:t xml:space="preserve"> plot)</w:t>
      </w:r>
      <w:r>
        <w:rPr>
          <w:lang w:val="en-US"/>
        </w:rPr>
        <w:t xml:space="preserve">. </w:t>
      </w:r>
      <w:r w:rsidRPr="00E02EB6">
        <w:rPr>
          <w:lang w:val="en-US"/>
        </w:rPr>
        <w:t xml:space="preserve">Each image was subsequently </w:t>
      </w:r>
      <w:r>
        <w:rPr>
          <w:lang w:val="en-US"/>
        </w:rPr>
        <w:t xml:space="preserve">overlaid with a grid consisting of </w:t>
      </w:r>
      <w:r w:rsidRPr="00E02EB6">
        <w:rPr>
          <w:lang w:val="en-US"/>
        </w:rPr>
        <w:t xml:space="preserve">17 vertical </w:t>
      </w:r>
      <w:r w:rsidRPr="00E02EB6">
        <w:rPr>
          <w:lang w:val="en-US"/>
        </w:rPr>
        <w:lastRenderedPageBreak/>
        <w:t>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w:t>
      </w:r>
      <w:r w:rsidRPr="004A319D">
        <w:rPr>
          <w:b/>
          <w:bCs/>
          <w:lang w:val="en-US"/>
        </w:rPr>
        <w:t xml:space="preserve">Table </w:t>
      </w:r>
      <w:r w:rsidR="004A319D" w:rsidRPr="004A319D">
        <w:rPr>
          <w:b/>
          <w:bCs/>
          <w:lang w:val="en-US"/>
        </w:rPr>
        <w:t>2</w:t>
      </w:r>
      <w:r>
        <w:rPr>
          <w:lang w:val="en-US"/>
        </w:rPr>
        <w:t xml:space="preserve">). </w:t>
      </w:r>
      <w:proofErr w:type="gramStart"/>
      <w:r w:rsidRPr="00E02EB6">
        <w:rPr>
          <w:lang w:val="en-US"/>
        </w:rPr>
        <w:t>Percen</w:t>
      </w:r>
      <w:r>
        <w:rPr>
          <w:lang w:val="en-US"/>
        </w:rPr>
        <w:t>t</w:t>
      </w:r>
      <w:proofErr w:type="gramEnd"/>
      <w:r>
        <w:rPr>
          <w:lang w:val="en-US"/>
        </w:rPr>
        <w:t xml:space="preserve">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w:t>
      </w:r>
      <w:r w:rsidR="004A319D">
        <w:rPr>
          <w:lang w:val="en-US"/>
        </w:rPr>
        <w:t xml:space="preserve">each </w:t>
      </w:r>
      <w:r>
        <w:rPr>
          <w:lang w:val="en-US"/>
        </w:rPr>
        <w:t>species/genus w</w:t>
      </w:r>
      <w:r w:rsidR="004A319D">
        <w:rPr>
          <w:lang w:val="en-US"/>
        </w:rPr>
        <w:t>as</w:t>
      </w:r>
      <w:r>
        <w:rPr>
          <w:lang w:val="en-US"/>
        </w:rPr>
        <w:t xml:space="preserv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E3EEE9F" w:rsidR="00A70C8E" w:rsidRDefault="00A70C8E" w:rsidP="00A70C8E">
      <w:pPr>
        <w:rPr>
          <w:lang w:val="en-US"/>
        </w:rPr>
      </w:pPr>
      <w:r>
        <w:rPr>
          <w:lang w:val="en-US"/>
        </w:rPr>
        <w:t xml:space="preserve">The amount of aboveground vegetative biomass in each treatment was measured </w:t>
      </w:r>
      <w:r w:rsidR="00206098">
        <w:rPr>
          <w:lang w:val="en-US"/>
        </w:rPr>
        <w:t xml:space="preserve">shortly after image collection for fall ground cover measurements </w:t>
      </w:r>
      <w:r>
        <w:rPr>
          <w:lang w:val="en-US"/>
        </w:rPr>
        <w:t xml:space="preserve">(15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w:t>
      </w:r>
      <w:r w:rsidR="00206098">
        <w:rPr>
          <w:lang w:val="en-US"/>
        </w:rPr>
        <w:t>biomass was only separated into two fractions (</w:t>
      </w:r>
      <w:r>
        <w:rPr>
          <w:lang w:val="en-US"/>
        </w:rPr>
        <w:t xml:space="preserve">cover </w:t>
      </w:r>
      <w:r w:rsidR="00A33110">
        <w:rPr>
          <w:lang w:val="en-US"/>
        </w:rPr>
        <w:t>crops</w:t>
      </w:r>
      <w:r>
        <w:rPr>
          <w:lang w:val="en-US"/>
        </w:rPr>
        <w:t xml:space="preserve"> and </w:t>
      </w:r>
      <w:proofErr w:type="gramStart"/>
      <w:r w:rsidR="00A33110">
        <w:rPr>
          <w:lang w:val="en-US"/>
        </w:rPr>
        <w:t>other</w:t>
      </w:r>
      <w:proofErr w:type="gramEnd"/>
      <w:r w:rsidR="00206098">
        <w:rPr>
          <w:lang w:val="en-US"/>
        </w:rPr>
        <w:t xml:space="preserve">, the latter of which included both </w:t>
      </w:r>
      <w:r>
        <w:rPr>
          <w:lang w:val="en-US"/>
        </w:rPr>
        <w:t xml:space="preserve">weeds </w:t>
      </w:r>
      <w:r w:rsidR="00206098">
        <w:rPr>
          <w:lang w:val="en-US"/>
        </w:rPr>
        <w:t>and</w:t>
      </w:r>
      <w:r>
        <w:rPr>
          <w:lang w:val="en-US"/>
        </w:rPr>
        <w:t xml:space="preserve"> volunteers)</w:t>
      </w:r>
      <w:r w:rsidR="00206098">
        <w:rPr>
          <w:lang w:val="en-US"/>
        </w:rPr>
        <w:t>. Therefore</w:t>
      </w:r>
      <w:r w:rsidR="00A33110">
        <w:rPr>
          <w:lang w:val="en-US"/>
        </w:rPr>
        <w:t>, the categories ‘cover crop’ and ‘other’ were used for all statistical analyses (</w:t>
      </w:r>
      <w:r w:rsidR="00A33110" w:rsidRPr="00206098">
        <w:rPr>
          <w:b/>
          <w:bCs/>
          <w:lang w:val="en-US"/>
        </w:rPr>
        <w:t xml:space="preserve">Table </w:t>
      </w:r>
      <w:r w:rsidR="00206098" w:rsidRPr="00206098">
        <w:rPr>
          <w:b/>
          <w:bCs/>
          <w:lang w:val="en-US"/>
        </w:rPr>
        <w:t>2</w:t>
      </w:r>
      <w:r w:rsidR="00A33110">
        <w:rPr>
          <w:lang w:val="en-US"/>
        </w:rPr>
        <w:t>)</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C for 24 hours and weighed. Dry biomass for each category was converted to grams per m</w:t>
      </w:r>
      <w:r w:rsidRPr="00206098">
        <w:rPr>
          <w:vertAlign w:val="superscript"/>
          <w:lang w:val="en-US"/>
        </w:rPr>
        <w:t>2</w:t>
      </w:r>
      <w:r>
        <w:rPr>
          <w:lang w:val="en-US"/>
        </w:rPr>
        <w:t xml:space="preserve">.  </w:t>
      </w:r>
    </w:p>
    <w:p w14:paraId="74382B5D" w14:textId="77777777" w:rsidR="00A70C8E" w:rsidRPr="00C86200" w:rsidRDefault="00A70C8E" w:rsidP="007B22B0">
      <w:pPr>
        <w:pStyle w:val="Heading4"/>
        <w:rPr>
          <w:lang w:val="en-US"/>
        </w:rPr>
      </w:pPr>
      <w:r w:rsidRPr="00C86200">
        <w:rPr>
          <w:lang w:val="en-US"/>
        </w:rPr>
        <w:t>Spring weed counts</w:t>
      </w:r>
    </w:p>
    <w:p w14:paraId="29E4815A" w14:textId="4C074C74"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 xml:space="preserve">in three randomly placed </w:t>
      </w:r>
      <w:r w:rsidR="00206098">
        <w:rPr>
          <w:lang w:val="en-US"/>
        </w:rPr>
        <w:t>0.25 m</w:t>
      </w:r>
      <w:r w:rsidR="00206098" w:rsidRPr="00C154A9">
        <w:rPr>
          <w:vertAlign w:val="superscript"/>
          <w:lang w:val="en-US"/>
          <w:rPrChange w:id="12" w:author="Bo Melander" w:date="2025-02-12T12:55:00Z" w16du:dateUtc="2025-02-12T11:55:00Z">
            <w:rPr>
              <w:lang w:val="en-US"/>
            </w:rPr>
          </w:rPrChange>
        </w:rPr>
        <w:t>2</w:t>
      </w:r>
      <w:r w:rsidR="00206098">
        <w:rPr>
          <w:lang w:val="en-US"/>
        </w:rPr>
        <w:t xml:space="preserve"> q</w:t>
      </w:r>
      <w:r>
        <w:rPr>
          <w:lang w:val="en-US"/>
        </w:rPr>
        <w:t xml:space="preserve">uadrats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w:t>
      </w:r>
      <w:r w:rsidRPr="00206098">
        <w:rPr>
          <w:i/>
          <w:iCs/>
          <w:lang w:val="en-US"/>
        </w:rPr>
        <w:t>Equisetum arvense</w:t>
      </w:r>
      <w:r>
        <w:rPr>
          <w:lang w:val="en-US"/>
        </w:rPr>
        <w:t>). The spring counts were made to record whether there were any traceable effects from previous year’s cover crop treatments. The weed counts in spring were</w:t>
      </w:r>
      <w:r w:rsidR="00206098">
        <w:rPr>
          <w:lang w:val="en-US"/>
        </w:rPr>
        <w:t xml:space="preserve"> </w:t>
      </w:r>
      <w:r>
        <w:rPr>
          <w:lang w:val="en-US"/>
        </w:rPr>
        <w:t>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78C77040" w:rsidR="00A70C8E" w:rsidRDefault="00997973" w:rsidP="007B22B0">
      <w:pPr>
        <w:pStyle w:val="Heading4"/>
        <w:rPr>
          <w:lang w:val="en-US"/>
        </w:rPr>
      </w:pPr>
      <w:bookmarkStart w:id="13" w:name="_Hlk194489208"/>
      <w:bookmarkStart w:id="14" w:name="_Hlk194489362"/>
      <w:r>
        <w:rPr>
          <w:lang w:val="en-US"/>
        </w:rPr>
        <w:t>P</w:t>
      </w:r>
      <w:r w:rsidR="00C86AE7">
        <w:rPr>
          <w:lang w:val="en-US"/>
        </w:rPr>
        <w:t>esticide toxicity, p</w:t>
      </w:r>
      <w:r>
        <w:rPr>
          <w:lang w:val="en-US"/>
        </w:rPr>
        <w:t xml:space="preserve">otential ecological value, </w:t>
      </w:r>
      <w:r w:rsidR="00C86AE7">
        <w:rPr>
          <w:lang w:val="en-US"/>
        </w:rPr>
        <w:t xml:space="preserve">and </w:t>
      </w:r>
      <w:r>
        <w:rPr>
          <w:lang w:val="en-US"/>
        </w:rPr>
        <w:t>agronomic harm</w:t>
      </w:r>
    </w:p>
    <w:bookmarkEnd w:id="13"/>
    <w:p w14:paraId="7D714056" w14:textId="7A947D7C"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206098">
        <w:rPr>
          <w:lang w:val="en-US"/>
        </w:rPr>
        <w:t>Potential e</w:t>
      </w:r>
      <w:r w:rsidR="00F65982">
        <w:rPr>
          <w:lang w:val="en-US"/>
        </w:rPr>
        <w:t xml:space="preserve">cological </w:t>
      </w:r>
      <w:r w:rsidR="00206098">
        <w:rPr>
          <w:lang w:val="en-US"/>
        </w:rPr>
        <w:t xml:space="preserve">value and agronomic </w:t>
      </w:r>
      <w:r w:rsidR="00F65982">
        <w:rPr>
          <w:lang w:val="en-US"/>
        </w:rPr>
        <w:t>harm w</w:t>
      </w:r>
      <w:r w:rsidR="00206098">
        <w:rPr>
          <w:lang w:val="en-US"/>
        </w:rPr>
        <w:t>ere</w:t>
      </w:r>
      <w:r w:rsidR="00F65982">
        <w:rPr>
          <w:lang w:val="en-US"/>
        </w:rPr>
        <w:t xml:space="preserve"> estimated using a methodology derived from that of Yvoz et al. 2021. </w:t>
      </w:r>
      <w:r w:rsidR="00206098">
        <w:rPr>
          <w:lang w:val="en-US"/>
        </w:rPr>
        <w:t>For ecological value, t</w:t>
      </w:r>
      <w:r w:rsidR="00C06D19">
        <w:rPr>
          <w:lang w:val="en-US"/>
        </w:rPr>
        <w:t>wo</w:t>
      </w:r>
      <w:r w:rsidR="00553E7F">
        <w:rPr>
          <w:lang w:val="en-US"/>
        </w:rPr>
        <w:t xml:space="preserve"> indices were estimated</w:t>
      </w:r>
      <w:r w:rsidR="00C06D19">
        <w:rPr>
          <w:lang w:val="en-US"/>
        </w:rPr>
        <w:t xml:space="preserve">. The </w:t>
      </w:r>
      <w:proofErr w:type="gramStart"/>
      <w:r w:rsidR="00C06D19">
        <w:rPr>
          <w:lang w:val="en-US"/>
        </w:rPr>
        <w:t xml:space="preserve">first, </w:t>
      </w:r>
      <w:r w:rsidR="00553E7F">
        <w:rPr>
          <w:lang w:val="en-US"/>
        </w:rPr>
        <w:t xml:space="preserve"> p</w:t>
      </w:r>
      <w:r w:rsidR="00F65982">
        <w:rPr>
          <w:lang w:val="en-US"/>
        </w:rPr>
        <w:t>otential</w:t>
      </w:r>
      <w:proofErr w:type="gramEnd"/>
      <w:r w:rsidR="00F65982">
        <w:rPr>
          <w:lang w:val="en-US"/>
        </w:rPr>
        <w:t xml:space="preserve"> benefits to pollinators</w:t>
      </w:r>
      <w:r w:rsidR="00C06D19">
        <w:rPr>
          <w:lang w:val="en-US"/>
        </w:rPr>
        <w:t xml:space="preserve">, was comprised of </w:t>
      </w:r>
      <w:r w:rsidR="00F65982">
        <w:rPr>
          <w:lang w:val="en-US"/>
        </w:rPr>
        <w:t xml:space="preserve">three sub-indices representing </w:t>
      </w:r>
      <w:r w:rsidR="00C06D19">
        <w:rPr>
          <w:lang w:val="en-US"/>
        </w:rPr>
        <w:t xml:space="preserve">(1a) </w:t>
      </w:r>
      <w:r w:rsidR="00F65982">
        <w:rPr>
          <w:lang w:val="en-US"/>
        </w:rPr>
        <w:t xml:space="preserve">the absolute benefit to bees (LATIN), </w:t>
      </w:r>
      <w:r w:rsidR="00C06D19">
        <w:rPr>
          <w:lang w:val="en-US"/>
        </w:rPr>
        <w:t xml:space="preserve">(1b) </w:t>
      </w:r>
      <w:r w:rsidR="00F65982">
        <w:rPr>
          <w:lang w:val="en-US"/>
        </w:rPr>
        <w:t xml:space="preserve">bumble bees (LATIN), and </w:t>
      </w:r>
      <w:r w:rsidR="00C06D19">
        <w:rPr>
          <w:lang w:val="en-US"/>
        </w:rPr>
        <w:t xml:space="preserve">(1c) </w:t>
      </w:r>
      <w:r w:rsidR="00F65982">
        <w:rPr>
          <w:lang w:val="en-US"/>
        </w:rPr>
        <w:t>hoverflies (LATIN)</w:t>
      </w:r>
      <w:r w:rsidR="00C06D19">
        <w:rPr>
          <w:lang w:val="en-US"/>
        </w:rPr>
        <w:t xml:space="preserve">. The second, </w:t>
      </w:r>
      <w:r w:rsidR="00553E7F">
        <w:rPr>
          <w:lang w:val="en-US"/>
        </w:rPr>
        <w:t>p</w:t>
      </w:r>
      <w:r w:rsidR="00F65982">
        <w:rPr>
          <w:lang w:val="en-US"/>
        </w:rPr>
        <w:t xml:space="preserve">otential benefits to </w:t>
      </w:r>
      <w:r w:rsidR="00750879">
        <w:rPr>
          <w:lang w:val="en-US"/>
        </w:rPr>
        <w:t>organisms</w:t>
      </w:r>
      <w:r w:rsidR="00C06D19">
        <w:rPr>
          <w:lang w:val="en-US"/>
        </w:rPr>
        <w:t xml:space="preserve">, was comprised of </w:t>
      </w:r>
      <w:r w:rsidR="00750879">
        <w:rPr>
          <w:lang w:val="en-US"/>
        </w:rPr>
        <w:t xml:space="preserve">three sub-indices representing </w:t>
      </w:r>
      <w:r w:rsidR="00C06D19">
        <w:rPr>
          <w:lang w:val="en-US"/>
        </w:rPr>
        <w:t xml:space="preserve">(2a) </w:t>
      </w:r>
      <w:r w:rsidR="00750879">
        <w:rPr>
          <w:lang w:val="en-US"/>
        </w:rPr>
        <w:t xml:space="preserve">absolute contributions to farmland birds, </w:t>
      </w:r>
      <w:r w:rsidR="00C06D19">
        <w:rPr>
          <w:lang w:val="en-US"/>
        </w:rPr>
        <w:t xml:space="preserve">(2b) </w:t>
      </w:r>
      <w:r w:rsidR="00750879">
        <w:rPr>
          <w:lang w:val="en-US"/>
        </w:rPr>
        <w:t xml:space="preserve">carabids, and </w:t>
      </w:r>
      <w:r w:rsidR="00C06D19">
        <w:rPr>
          <w:lang w:val="en-US"/>
        </w:rPr>
        <w:t xml:space="preserve">(2c) </w:t>
      </w:r>
      <w:r w:rsidR="00750879">
        <w:rPr>
          <w:lang w:val="en-US"/>
        </w:rPr>
        <w:t>parasitoid wasps</w:t>
      </w:r>
      <w:r w:rsidR="00C06D19">
        <w:rPr>
          <w:lang w:val="en-US"/>
        </w:rPr>
        <w:t xml:space="preserve">. The agronomic harm index was comprised of </w:t>
      </w:r>
      <w:r w:rsidR="00750879">
        <w:rPr>
          <w:lang w:val="en-US"/>
        </w:rPr>
        <w:t xml:space="preserve">three sub-indices representing </w:t>
      </w:r>
      <w:r w:rsidR="00C06D19">
        <w:rPr>
          <w:lang w:val="en-US"/>
        </w:rPr>
        <w:t xml:space="preserve">(3a) </w:t>
      </w:r>
      <w:r w:rsidR="00750879">
        <w:rPr>
          <w:lang w:val="en-US"/>
        </w:rPr>
        <w:t xml:space="preserve">competition with crops, </w:t>
      </w:r>
      <w:r w:rsidR="00C06D19">
        <w:rPr>
          <w:lang w:val="en-US"/>
        </w:rPr>
        <w:t>(</w:t>
      </w:r>
      <w:r w:rsidR="006D423D">
        <w:rPr>
          <w:lang w:val="en-US"/>
        </w:rPr>
        <w:t>3b</w:t>
      </w:r>
      <w:r w:rsidR="00C06D19">
        <w:rPr>
          <w:lang w:val="en-US"/>
        </w:rPr>
        <w:t xml:space="preserve">) </w:t>
      </w:r>
      <w:r w:rsidR="00750879">
        <w:rPr>
          <w:lang w:val="en-US"/>
        </w:rPr>
        <w:t>contribution to harvest difficulties, and</w:t>
      </w:r>
      <w:r w:rsidR="00C06D19">
        <w:rPr>
          <w:lang w:val="en-US"/>
        </w:rPr>
        <w:t xml:space="preserve"> (3</w:t>
      </w:r>
      <w:r w:rsidR="006D423D">
        <w:rPr>
          <w:lang w:val="en-US"/>
        </w:rPr>
        <w:t>c</w:t>
      </w:r>
      <w:r w:rsidR="00C06D19">
        <w:rPr>
          <w:lang w:val="en-US"/>
        </w:rPr>
        <w:t>)</w:t>
      </w:r>
      <w:r w:rsidR="00750879">
        <w:rPr>
          <w:lang w:val="en-US"/>
        </w:rPr>
        <w:t xml:space="preserve"> contribution to future weed infestations</w:t>
      </w:r>
      <w:r w:rsidR="00C06D19">
        <w:rPr>
          <w:lang w:val="en-US"/>
        </w:rPr>
        <w:t>. More details on each sub-index are presented in s</w:t>
      </w:r>
      <w:r w:rsidR="0034538E">
        <w:rPr>
          <w:lang w:val="en-US"/>
        </w:rPr>
        <w:t xml:space="preserve">upplemental material. </w:t>
      </w:r>
      <w:r w:rsidR="00997973">
        <w:rPr>
          <w:lang w:val="en-US"/>
        </w:rPr>
        <w:t xml:space="preserve">Plant level attributes reported by Yvoz et al. 2021 for 155 species were used to assign </w:t>
      </w:r>
      <w:r w:rsidR="00CA5767">
        <w:rPr>
          <w:lang w:val="en-US"/>
        </w:rPr>
        <w:t>sub-</w:t>
      </w:r>
      <w:r w:rsidR="00F65982">
        <w:rPr>
          <w:lang w:val="en-US"/>
        </w:rPr>
        <w:t>ind</w:t>
      </w:r>
      <w:r w:rsidR="00C06D19">
        <w:rPr>
          <w:lang w:val="en-US"/>
        </w:rPr>
        <w:t>ex</w:t>
      </w:r>
      <w:r w:rsidR="00F65982">
        <w:rPr>
          <w:lang w:val="en-US"/>
        </w:rPr>
        <w:t xml:space="preserv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 xml:space="preserve">After each species/genus in the present study was assigned a value for each of the nine sub-indices, the sub-indices were scaled </w:t>
      </w:r>
      <w:r w:rsidR="006D423D">
        <w:rPr>
          <w:lang w:val="en-US"/>
        </w:rPr>
        <w:t xml:space="preserve">within the present study </w:t>
      </w:r>
      <w:r w:rsidR="00CA5767">
        <w:rPr>
          <w:lang w:val="en-US"/>
        </w:rPr>
        <w:t xml:space="preserve">such that the maximum </w:t>
      </w:r>
      <w:r w:rsidR="006D423D">
        <w:rPr>
          <w:lang w:val="en-US"/>
        </w:rPr>
        <w:t>value</w:t>
      </w:r>
      <w:r w:rsidR="00CA5767">
        <w:rPr>
          <w:lang w:val="en-US"/>
        </w:rPr>
        <w:t xml:space="preserve"> was assigned a value of 1, and the minimum a value of 0. Sub-indices were </w:t>
      </w:r>
      <w:proofErr w:type="gramStart"/>
      <w:r w:rsidR="00CA5767">
        <w:rPr>
          <w:lang w:val="en-US"/>
        </w:rPr>
        <w:t>summed</w:t>
      </w:r>
      <w:proofErr w:type="gramEnd"/>
      <w:r w:rsidR="00CA5767">
        <w:rPr>
          <w:lang w:val="en-US"/>
        </w:rPr>
        <w:t xml:space="preserve"> to provide an estimate for each of the three indices</w:t>
      </w:r>
      <w:r w:rsidR="006D423D">
        <w:rPr>
          <w:lang w:val="en-US"/>
        </w:rPr>
        <w:t xml:space="preserve"> (</w:t>
      </w:r>
      <w:r w:rsidR="00CA5767">
        <w:rPr>
          <w:lang w:val="en-US"/>
        </w:rPr>
        <w:t>on a scale of 0-3</w:t>
      </w:r>
      <w:r w:rsidR="006D423D">
        <w:rPr>
          <w:lang w:val="en-US"/>
        </w:rPr>
        <w:t>) for each of the 16 species/</w:t>
      </w:r>
      <w:proofErr w:type="spellStart"/>
      <w:r w:rsidR="006D423D">
        <w:rPr>
          <w:lang w:val="en-US"/>
        </w:rPr>
        <w:t>genuses</w:t>
      </w:r>
      <w:proofErr w:type="spellEnd"/>
      <w:r w:rsidR="006D423D">
        <w:rPr>
          <w:lang w:val="en-US"/>
        </w:rPr>
        <w:t xml:space="preserve"> observed in our study</w:t>
      </w:r>
      <w:r w:rsidR="00CA5767">
        <w:rPr>
          <w:lang w:val="en-US"/>
        </w:rPr>
        <w:t>.</w:t>
      </w:r>
      <w:r w:rsidR="006D423D">
        <w:rPr>
          <w:lang w:val="en-US"/>
        </w:rPr>
        <w:t xml:space="preserve"> These values were weighted by the species/</w:t>
      </w:r>
      <w:proofErr w:type="spellStart"/>
      <w:r w:rsidR="006D423D">
        <w:rPr>
          <w:lang w:val="en-US"/>
        </w:rPr>
        <w:t>genuses</w:t>
      </w:r>
      <w:proofErr w:type="spellEnd"/>
      <w:r w:rsidR="006D423D">
        <w:rPr>
          <w:lang w:val="en-US"/>
        </w:rPr>
        <w:t xml:space="preserve">’ percent cover for each sample to calculate the fall vegetation community’s </w:t>
      </w:r>
      <w:r w:rsidR="00530874">
        <w:rPr>
          <w:lang w:val="en-US"/>
        </w:rPr>
        <w:t xml:space="preserve">potential benefit to pollinators, </w:t>
      </w:r>
      <w:r w:rsidR="006D423D">
        <w:rPr>
          <w:lang w:val="en-US"/>
        </w:rPr>
        <w:t xml:space="preserve">potential </w:t>
      </w:r>
      <w:r w:rsidR="00530874">
        <w:rPr>
          <w:lang w:val="en-US"/>
        </w:rPr>
        <w:t xml:space="preserve">contributions to organisms, and </w:t>
      </w:r>
      <w:r w:rsidR="006D423D">
        <w:rPr>
          <w:lang w:val="en-US"/>
        </w:rPr>
        <w:t xml:space="preserve">potential to cause </w:t>
      </w:r>
      <w:r w:rsidR="00530874">
        <w:rPr>
          <w:lang w:val="en-US"/>
        </w:rPr>
        <w:t xml:space="preserve">agronomic harm. </w:t>
      </w:r>
      <w:r w:rsidR="006D423D">
        <w:rPr>
          <w:lang w:val="en-US"/>
        </w:rPr>
        <w:t xml:space="preserve">For the </w:t>
      </w:r>
      <w:r w:rsidR="006D423D">
        <w:rPr>
          <w:lang w:val="en-US"/>
        </w:rPr>
        <w:lastRenderedPageBreak/>
        <w:t xml:space="preserve">‘synthesis’ analysis, </w:t>
      </w:r>
      <w:r w:rsidR="001451D4">
        <w:rPr>
          <w:lang w:val="en-US"/>
        </w:rPr>
        <w:t xml:space="preserve">the maximum value between the benefit to pollinators and contribution to organisms was </w:t>
      </w:r>
      <w:r w:rsidR="006D423D">
        <w:rPr>
          <w:lang w:val="en-US"/>
        </w:rPr>
        <w:t xml:space="preserve">used to represent the community’s potential ‘ecological </w:t>
      </w:r>
      <w:proofErr w:type="gramStart"/>
      <w:r w:rsidR="006D423D">
        <w:rPr>
          <w:lang w:val="en-US"/>
        </w:rPr>
        <w:t>benefits’</w:t>
      </w:r>
      <w:proofErr w:type="gramEnd"/>
      <w:r w:rsidR="001451D4">
        <w:rPr>
          <w:lang w:val="en-US"/>
        </w:rPr>
        <w:t>.</w:t>
      </w:r>
    </w:p>
    <w:bookmarkEnd w:id="14"/>
    <w:p w14:paraId="441146D7" w14:textId="68641AC0" w:rsidR="001451D4" w:rsidRDefault="001451D4" w:rsidP="001451D4">
      <w:pPr>
        <w:rPr>
          <w:lang w:val="en-US"/>
        </w:rPr>
      </w:pPr>
    </w:p>
    <w:p w14:paraId="3465B130" w14:textId="01C6D620" w:rsidR="00B730C3" w:rsidRPr="00B730C3" w:rsidRDefault="00B730C3" w:rsidP="00344A84">
      <w:pPr>
        <w:pStyle w:val="Heading1"/>
        <w:rPr>
          <w:lang w:val="en-US"/>
        </w:rPr>
      </w:pPr>
      <w:r w:rsidRPr="00B730C3">
        <w:rPr>
          <w:lang w:val="en-US"/>
        </w:rPr>
        <w:t>Results</w:t>
      </w:r>
    </w:p>
    <w:p w14:paraId="3C4B3E6D" w14:textId="77777777" w:rsidR="00B730C3" w:rsidRDefault="00B730C3" w:rsidP="00344A84">
      <w:pPr>
        <w:pStyle w:val="Heading2"/>
        <w:rPr>
          <w:lang w:val="en-US"/>
        </w:rPr>
      </w:pPr>
      <w:r w:rsidRPr="00B730C3">
        <w:rPr>
          <w:lang w:val="en-US"/>
        </w:rPr>
        <w:t>Weather</w:t>
      </w:r>
    </w:p>
    <w:p w14:paraId="031DC5B5" w14:textId="6A13E6F0" w:rsidR="00F139C1" w:rsidRPr="00863080" w:rsidRDefault="002C2250" w:rsidP="00F139C1">
      <w:pPr>
        <w:rPr>
          <w:lang w:val="en-US"/>
        </w:rPr>
      </w:pPr>
      <w:r>
        <w:rPr>
          <w:noProof/>
        </w:rPr>
        <w:drawing>
          <wp:inline distT="0" distB="0" distL="0" distR="0" wp14:anchorId="44B3625C" wp14:editId="5282878E">
            <wp:extent cx="5731510" cy="5731510"/>
            <wp:effectExtent l="0" t="0" r="2540" b="2540"/>
            <wp:docPr id="1879789743" name="Picture 1"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9743" name="Picture 1" descr="A graph of different weather condition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0477DB" w14:textId="555EEA8B" w:rsidR="007B22B0" w:rsidRPr="00E752C9" w:rsidRDefault="007B22B0" w:rsidP="007B22B0">
      <w:pPr>
        <w:rPr>
          <w:lang w:val="en-US"/>
        </w:rPr>
      </w:pP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lastRenderedPageBreak/>
        <w:t>Individual metrics</w:t>
      </w:r>
    </w:p>
    <w:p w14:paraId="4804875D" w14:textId="1BE702A7" w:rsidR="00991510" w:rsidRPr="00991510" w:rsidRDefault="00991510" w:rsidP="00991510">
      <w:pPr>
        <w:pStyle w:val="Heading3"/>
        <w:rPr>
          <w:lang w:val="en-US"/>
        </w:rPr>
      </w:pPr>
      <w:r>
        <w:rPr>
          <w:lang w:val="en-US"/>
        </w:rPr>
        <w:t>Yields</w:t>
      </w:r>
    </w:p>
    <w:p w14:paraId="135E33BB" w14:textId="22ECA044" w:rsidR="008A7B67" w:rsidRDefault="0008037D" w:rsidP="00B730C3">
      <w:pPr>
        <w:rPr>
          <w:rFonts w:ascii="Calibri" w:hAnsi="Calibri" w:cs="Calibri"/>
          <w:sz w:val="24"/>
          <w:szCs w:val="24"/>
          <w:lang w:val="en-US"/>
        </w:rPr>
      </w:pPr>
      <w:r>
        <w:rPr>
          <w:rFonts w:ascii="Calibri" w:hAnsi="Calibri" w:cs="Calibri"/>
          <w:sz w:val="24"/>
          <w:szCs w:val="24"/>
          <w:lang w:val="en-US"/>
        </w:rPr>
        <w:t>As would be expected, yields varied significantly by crop (p</w:t>
      </w:r>
      <w:r w:rsidR="00EA474E">
        <w:rPr>
          <w:rFonts w:ascii="Calibri" w:hAnsi="Calibri" w:cs="Calibri"/>
          <w:sz w:val="24"/>
          <w:szCs w:val="24"/>
          <w:lang w:val="en-US"/>
        </w:rPr>
        <w:t>&lt;0.001</w:t>
      </w:r>
      <w:r>
        <w:rPr>
          <w:rFonts w:ascii="Calibri" w:hAnsi="Calibri" w:cs="Calibri"/>
          <w:sz w:val="24"/>
          <w:szCs w:val="24"/>
          <w:lang w:val="en-US"/>
        </w:rPr>
        <w:t xml:space="preserve">), with </w:t>
      </w:r>
      <w:r w:rsidR="00EA474E">
        <w:rPr>
          <w:rFonts w:ascii="Calibri" w:hAnsi="Calibri" w:cs="Calibri"/>
          <w:sz w:val="24"/>
          <w:szCs w:val="24"/>
          <w:lang w:val="en-US"/>
        </w:rPr>
        <w:t>oats</w:t>
      </w:r>
      <w:r>
        <w:rPr>
          <w:rFonts w:ascii="Calibri" w:hAnsi="Calibri" w:cs="Calibri"/>
          <w:sz w:val="24"/>
          <w:szCs w:val="24"/>
          <w:lang w:val="en-US"/>
        </w:rPr>
        <w:t xml:space="preserve"> yielding the highest (</w:t>
      </w:r>
      <w:r w:rsidR="00EA474E">
        <w:rPr>
          <w:rFonts w:ascii="Calibri" w:hAnsi="Calibri" w:cs="Calibri"/>
          <w:sz w:val="24"/>
          <w:szCs w:val="24"/>
          <w:lang w:val="en-US"/>
        </w:rPr>
        <w:t>4.28 Mg ha</w:t>
      </w:r>
      <w:r w:rsidR="00EA474E" w:rsidRPr="00EA474E">
        <w:rPr>
          <w:rFonts w:ascii="Calibri" w:hAnsi="Calibri" w:cs="Calibri"/>
          <w:sz w:val="24"/>
          <w:szCs w:val="24"/>
          <w:vertAlign w:val="superscript"/>
          <w:lang w:val="en-US"/>
        </w:rPr>
        <w:t>-1</w:t>
      </w:r>
      <w:r>
        <w:rPr>
          <w:rFonts w:ascii="Calibri" w:hAnsi="Calibri" w:cs="Calibri"/>
          <w:sz w:val="24"/>
          <w:szCs w:val="24"/>
          <w:lang w:val="en-US"/>
        </w:rPr>
        <w:t xml:space="preserve">), followed by </w:t>
      </w:r>
      <w:r w:rsidR="00EA474E">
        <w:rPr>
          <w:rFonts w:ascii="Calibri" w:hAnsi="Calibri" w:cs="Calibri"/>
          <w:sz w:val="24"/>
          <w:szCs w:val="24"/>
          <w:lang w:val="en-US"/>
        </w:rPr>
        <w:t>spring barley</w:t>
      </w:r>
      <w:r>
        <w:rPr>
          <w:rFonts w:ascii="Calibri" w:hAnsi="Calibri" w:cs="Calibri"/>
          <w:sz w:val="24"/>
          <w:szCs w:val="24"/>
          <w:lang w:val="en-US"/>
        </w:rPr>
        <w:t xml:space="preserve"> (</w:t>
      </w:r>
      <w:r w:rsidR="00EA474E">
        <w:rPr>
          <w:rFonts w:ascii="Calibri" w:hAnsi="Calibri" w:cs="Calibri"/>
          <w:sz w:val="24"/>
          <w:szCs w:val="24"/>
          <w:lang w:val="en-US"/>
        </w:rPr>
        <w:t>4.07 Mg ha</w:t>
      </w:r>
      <w:r w:rsidR="00EA474E" w:rsidRPr="00EA474E">
        <w:rPr>
          <w:rFonts w:ascii="Calibri" w:hAnsi="Calibri" w:cs="Calibri"/>
          <w:sz w:val="24"/>
          <w:szCs w:val="24"/>
          <w:vertAlign w:val="superscript"/>
          <w:lang w:val="en-US"/>
        </w:rPr>
        <w:t>-1</w:t>
      </w:r>
      <w:r>
        <w:rPr>
          <w:rFonts w:ascii="Calibri" w:hAnsi="Calibri" w:cs="Calibri"/>
          <w:sz w:val="24"/>
          <w:szCs w:val="24"/>
          <w:lang w:val="en-US"/>
        </w:rPr>
        <w:t>) and faba bean (</w:t>
      </w:r>
      <w:r w:rsidR="00EA474E">
        <w:rPr>
          <w:rFonts w:ascii="Calibri" w:hAnsi="Calibri" w:cs="Calibri"/>
          <w:sz w:val="24"/>
          <w:szCs w:val="24"/>
          <w:lang w:val="en-US"/>
        </w:rPr>
        <w:t>3.47 Mg ha</w:t>
      </w:r>
      <w:r w:rsidR="00EA474E" w:rsidRPr="00EA474E">
        <w:rPr>
          <w:rFonts w:ascii="Calibri" w:hAnsi="Calibri" w:cs="Calibri"/>
          <w:sz w:val="24"/>
          <w:szCs w:val="24"/>
          <w:vertAlign w:val="superscript"/>
          <w:lang w:val="en-US"/>
        </w:rPr>
        <w:t>-1</w:t>
      </w:r>
      <w:r>
        <w:rPr>
          <w:rFonts w:ascii="Calibri" w:hAnsi="Calibri" w:cs="Calibri"/>
          <w:sz w:val="24"/>
          <w:szCs w:val="24"/>
          <w:lang w:val="en-US"/>
        </w:rPr>
        <w:t xml:space="preserve">). </w:t>
      </w:r>
      <w:r w:rsidR="008A7B67">
        <w:rPr>
          <w:rFonts w:ascii="Calibri" w:hAnsi="Calibri" w:cs="Calibri"/>
          <w:sz w:val="24"/>
          <w:szCs w:val="24"/>
          <w:lang w:val="en-US"/>
        </w:rPr>
        <w:t xml:space="preserve">Cover crop treatment had a significant (p = </w:t>
      </w:r>
      <w:r w:rsidR="00EA474E">
        <w:rPr>
          <w:rFonts w:ascii="Calibri" w:hAnsi="Calibri" w:cs="Calibri"/>
          <w:sz w:val="24"/>
          <w:szCs w:val="24"/>
          <w:lang w:val="en-US"/>
        </w:rPr>
        <w:t>0.005</w:t>
      </w:r>
      <w:r w:rsidR="008A7B67">
        <w:rPr>
          <w:rFonts w:ascii="Calibri" w:hAnsi="Calibri" w:cs="Calibri"/>
          <w:sz w:val="24"/>
          <w:szCs w:val="24"/>
          <w:lang w:val="en-US"/>
        </w:rPr>
        <w:t xml:space="preserve">) </w:t>
      </w:r>
      <w:r w:rsidR="002C2250">
        <w:rPr>
          <w:rFonts w:ascii="Calibri" w:hAnsi="Calibri" w:cs="Calibri"/>
          <w:sz w:val="24"/>
          <w:szCs w:val="24"/>
          <w:lang w:val="en-US"/>
        </w:rPr>
        <w:t xml:space="preserve">main effect on </w:t>
      </w:r>
      <w:r w:rsidR="008A7B67">
        <w:rPr>
          <w:rFonts w:ascii="Calibri" w:hAnsi="Calibri" w:cs="Calibri"/>
          <w:sz w:val="24"/>
          <w:szCs w:val="24"/>
          <w:lang w:val="en-US"/>
        </w:rPr>
        <w:t>crop yields</w:t>
      </w:r>
      <w:r>
        <w:rPr>
          <w:rFonts w:ascii="Calibri" w:hAnsi="Calibri" w:cs="Calibri"/>
          <w:sz w:val="24"/>
          <w:szCs w:val="24"/>
          <w:lang w:val="en-US"/>
        </w:rPr>
        <w:t xml:space="preserve"> that did not depend on the crop (p=</w:t>
      </w:r>
      <w:r w:rsidR="00EA474E">
        <w:rPr>
          <w:rFonts w:ascii="Calibri" w:hAnsi="Calibri" w:cs="Calibri"/>
          <w:sz w:val="24"/>
          <w:szCs w:val="24"/>
          <w:lang w:val="en-US"/>
        </w:rPr>
        <w:t>0.15</w:t>
      </w:r>
      <w:r>
        <w:rPr>
          <w:rFonts w:ascii="Calibri" w:hAnsi="Calibri" w:cs="Calibri"/>
          <w:sz w:val="24"/>
          <w:szCs w:val="24"/>
          <w:lang w:val="en-US"/>
        </w:rPr>
        <w:t xml:space="preserve">), nor any other </w:t>
      </w:r>
      <w:r w:rsidR="002C2250">
        <w:rPr>
          <w:rFonts w:ascii="Calibri" w:hAnsi="Calibri" w:cs="Calibri"/>
          <w:sz w:val="24"/>
          <w:szCs w:val="24"/>
          <w:lang w:val="en-US"/>
        </w:rPr>
        <w:t>two- or three-way interactions with other treatments (</w:t>
      </w:r>
      <w:r w:rsidR="008A7B67">
        <w:rPr>
          <w:rFonts w:ascii="Calibri" w:hAnsi="Calibri" w:cs="Calibri"/>
          <w:sz w:val="24"/>
          <w:szCs w:val="24"/>
          <w:lang w:val="en-US"/>
        </w:rPr>
        <w:t xml:space="preserve">crop, tillage, </w:t>
      </w:r>
      <w:r w:rsidR="00A643A5">
        <w:rPr>
          <w:rFonts w:ascii="Calibri" w:hAnsi="Calibri" w:cs="Calibri"/>
          <w:sz w:val="24"/>
          <w:szCs w:val="24"/>
          <w:lang w:val="en-US"/>
        </w:rPr>
        <w:t>residue management</w:t>
      </w:r>
      <w:r w:rsidR="002C2250">
        <w:rPr>
          <w:rFonts w:ascii="Calibri" w:hAnsi="Calibri" w:cs="Calibri"/>
          <w:sz w:val="24"/>
          <w:szCs w:val="24"/>
          <w:lang w:val="en-US"/>
        </w:rPr>
        <w:t>)</w:t>
      </w:r>
      <w:r w:rsidR="00A643A5">
        <w:rPr>
          <w:rFonts w:ascii="Calibri" w:hAnsi="Calibri" w:cs="Calibri"/>
          <w:sz w:val="24"/>
          <w:szCs w:val="24"/>
          <w:lang w:val="en-US"/>
        </w:rPr>
        <w:t xml:space="preserve">. The </w:t>
      </w:r>
      <w:proofErr w:type="spellStart"/>
      <w:r>
        <w:rPr>
          <w:rFonts w:ascii="Calibri" w:hAnsi="Calibri" w:cs="Calibri"/>
          <w:sz w:val="24"/>
          <w:szCs w:val="24"/>
          <w:lang w:val="en-US"/>
        </w:rPr>
        <w:t>RadM</w:t>
      </w:r>
      <w:proofErr w:type="spellEnd"/>
      <w:r>
        <w:rPr>
          <w:rFonts w:ascii="Calibri" w:hAnsi="Calibri" w:cs="Calibri"/>
          <w:sz w:val="24"/>
          <w:szCs w:val="24"/>
          <w:lang w:val="en-US"/>
        </w:rPr>
        <w:t xml:space="preserve"> cover crop treatment had the highest </w:t>
      </w:r>
      <w:r w:rsidR="00EA474E">
        <w:rPr>
          <w:rFonts w:ascii="Calibri" w:hAnsi="Calibri" w:cs="Calibri"/>
          <w:sz w:val="24"/>
          <w:szCs w:val="24"/>
          <w:lang w:val="en-US"/>
        </w:rPr>
        <w:t xml:space="preserve">mean </w:t>
      </w:r>
      <w:r>
        <w:rPr>
          <w:rFonts w:ascii="Calibri" w:hAnsi="Calibri" w:cs="Calibri"/>
          <w:sz w:val="24"/>
          <w:szCs w:val="24"/>
          <w:lang w:val="en-US"/>
        </w:rPr>
        <w:t>crop yields (</w:t>
      </w:r>
      <w:r w:rsidR="00EA474E">
        <w:rPr>
          <w:rFonts w:ascii="Calibri" w:hAnsi="Calibri" w:cs="Calibri"/>
          <w:sz w:val="24"/>
          <w:szCs w:val="24"/>
          <w:lang w:val="en-US"/>
        </w:rPr>
        <w:t>4.15 Mg ha-1</w:t>
      </w:r>
      <w:r>
        <w:rPr>
          <w:rFonts w:ascii="Calibri" w:hAnsi="Calibri" w:cs="Calibri"/>
          <w:sz w:val="24"/>
          <w:szCs w:val="24"/>
          <w:lang w:val="en-US"/>
        </w:rPr>
        <w:t>)</w:t>
      </w:r>
      <w:r w:rsidR="00EA474E">
        <w:rPr>
          <w:rFonts w:ascii="Calibri" w:hAnsi="Calibri" w:cs="Calibri"/>
          <w:sz w:val="24"/>
          <w:szCs w:val="24"/>
          <w:lang w:val="en-US"/>
        </w:rPr>
        <w:t>, while all other cover crop treatments (</w:t>
      </w:r>
      <w:proofErr w:type="spellStart"/>
      <w:r w:rsidR="00A643A5">
        <w:rPr>
          <w:rFonts w:ascii="Calibri" w:hAnsi="Calibri" w:cs="Calibri"/>
          <w:sz w:val="24"/>
          <w:szCs w:val="24"/>
          <w:lang w:val="en-US"/>
        </w:rPr>
        <w:t>MixE</w:t>
      </w:r>
      <w:proofErr w:type="spellEnd"/>
      <w:r w:rsidR="00EA474E">
        <w:rPr>
          <w:rFonts w:ascii="Calibri" w:hAnsi="Calibri" w:cs="Calibri"/>
          <w:sz w:val="24"/>
          <w:szCs w:val="24"/>
          <w:lang w:val="en-US"/>
        </w:rPr>
        <w:t xml:space="preserve">, </w:t>
      </w:r>
      <w:proofErr w:type="spellStart"/>
      <w:r w:rsidR="00EA474E">
        <w:rPr>
          <w:rFonts w:ascii="Calibri" w:hAnsi="Calibri" w:cs="Calibri"/>
          <w:sz w:val="24"/>
          <w:szCs w:val="24"/>
          <w:lang w:val="en-US"/>
        </w:rPr>
        <w:t>MixM</w:t>
      </w:r>
      <w:proofErr w:type="spellEnd"/>
      <w:r w:rsidR="00EA474E">
        <w:rPr>
          <w:rFonts w:ascii="Calibri" w:hAnsi="Calibri" w:cs="Calibri"/>
          <w:sz w:val="24"/>
          <w:szCs w:val="24"/>
          <w:lang w:val="en-US"/>
        </w:rPr>
        <w:t>, RadL)</w:t>
      </w:r>
      <w:r w:rsidR="002C2250">
        <w:rPr>
          <w:rFonts w:ascii="Calibri" w:hAnsi="Calibri" w:cs="Calibri"/>
          <w:sz w:val="24"/>
          <w:szCs w:val="24"/>
          <w:lang w:val="en-US"/>
        </w:rPr>
        <w:t xml:space="preserve"> </w:t>
      </w:r>
      <w:r w:rsidR="003A431D">
        <w:rPr>
          <w:rFonts w:ascii="Calibri" w:hAnsi="Calibri" w:cs="Calibri"/>
          <w:sz w:val="24"/>
          <w:szCs w:val="24"/>
          <w:lang w:val="en-US"/>
        </w:rPr>
        <w:t xml:space="preserve">had significantly lower and statistically equivalent mean crop yields (3.87 Mg ha-1). The mean crop yields in the </w:t>
      </w:r>
      <w:proofErr w:type="spellStart"/>
      <w:r w:rsidR="003A431D">
        <w:rPr>
          <w:rFonts w:ascii="Calibri" w:hAnsi="Calibri" w:cs="Calibri"/>
          <w:sz w:val="24"/>
          <w:szCs w:val="24"/>
          <w:lang w:val="en-US"/>
        </w:rPr>
        <w:t>NoCC</w:t>
      </w:r>
      <w:proofErr w:type="spellEnd"/>
      <w:r w:rsidR="003A431D">
        <w:rPr>
          <w:rFonts w:ascii="Calibri" w:hAnsi="Calibri" w:cs="Calibri"/>
          <w:sz w:val="24"/>
          <w:szCs w:val="24"/>
          <w:lang w:val="en-US"/>
        </w:rPr>
        <w:t xml:space="preserve"> treatment fell between these two groups (3.94 Mg ha-1</w:t>
      </w:r>
      <w:proofErr w:type="gramStart"/>
      <w:r w:rsidR="003A431D">
        <w:rPr>
          <w:rFonts w:ascii="Calibri" w:hAnsi="Calibri" w:cs="Calibri"/>
          <w:sz w:val="24"/>
          <w:szCs w:val="24"/>
          <w:lang w:val="en-US"/>
        </w:rPr>
        <w:t>), and</w:t>
      </w:r>
      <w:proofErr w:type="gramEnd"/>
      <w:r w:rsidR="003A431D">
        <w:rPr>
          <w:rFonts w:ascii="Calibri" w:hAnsi="Calibri" w:cs="Calibri"/>
          <w:sz w:val="24"/>
          <w:szCs w:val="24"/>
          <w:lang w:val="en-US"/>
        </w:rPr>
        <w:t xml:space="preserve"> was not significantly different from any of the treatments. </w:t>
      </w:r>
      <w:r w:rsidR="00AB15F9">
        <w:rPr>
          <w:rFonts w:ascii="Calibri" w:hAnsi="Calibri" w:cs="Calibri"/>
          <w:sz w:val="24"/>
          <w:szCs w:val="24"/>
          <w:lang w:val="en-US"/>
        </w:rPr>
        <w:t xml:space="preserve">Independent from the effect of cover </w:t>
      </w:r>
      <w:proofErr w:type="gramStart"/>
      <w:r w:rsidR="00AB15F9">
        <w:rPr>
          <w:rFonts w:ascii="Calibri" w:hAnsi="Calibri" w:cs="Calibri"/>
          <w:sz w:val="24"/>
          <w:szCs w:val="24"/>
          <w:lang w:val="en-US"/>
        </w:rPr>
        <w:t>crop</w:t>
      </w:r>
      <w:proofErr w:type="gramEnd"/>
      <w:r w:rsidR="00AB15F9">
        <w:rPr>
          <w:rFonts w:ascii="Calibri" w:hAnsi="Calibri" w:cs="Calibri"/>
          <w:sz w:val="24"/>
          <w:szCs w:val="24"/>
          <w:lang w:val="en-US"/>
        </w:rPr>
        <w:t xml:space="preserve">, there was a significant interaction between </w:t>
      </w:r>
      <w:r w:rsidR="003A431D">
        <w:rPr>
          <w:rFonts w:ascii="Calibri" w:hAnsi="Calibri" w:cs="Calibri"/>
          <w:sz w:val="24"/>
          <w:szCs w:val="24"/>
          <w:lang w:val="en-US"/>
        </w:rPr>
        <w:t>t</w:t>
      </w:r>
      <w:r w:rsidR="00A643A5">
        <w:rPr>
          <w:rFonts w:ascii="Calibri" w:hAnsi="Calibri" w:cs="Calibri"/>
          <w:sz w:val="24"/>
          <w:szCs w:val="24"/>
          <w:lang w:val="en-US"/>
        </w:rPr>
        <w:t>illage</w:t>
      </w:r>
      <w:r w:rsidR="00F31186">
        <w:rPr>
          <w:rFonts w:ascii="Calibri" w:hAnsi="Calibri" w:cs="Calibri"/>
          <w:sz w:val="24"/>
          <w:szCs w:val="24"/>
          <w:lang w:val="en-US"/>
        </w:rPr>
        <w:t xml:space="preserve"> and </w:t>
      </w:r>
      <w:r w:rsidR="00AB15F9">
        <w:rPr>
          <w:rFonts w:ascii="Calibri" w:hAnsi="Calibri" w:cs="Calibri"/>
          <w:sz w:val="24"/>
          <w:szCs w:val="24"/>
          <w:lang w:val="en-US"/>
        </w:rPr>
        <w:t xml:space="preserve">residue management, and </w:t>
      </w:r>
      <w:proofErr w:type="gramStart"/>
      <w:r w:rsidR="00AB15F9">
        <w:rPr>
          <w:rFonts w:ascii="Calibri" w:hAnsi="Calibri" w:cs="Calibri"/>
          <w:sz w:val="24"/>
          <w:szCs w:val="24"/>
          <w:lang w:val="en-US"/>
        </w:rPr>
        <w:t>crop</w:t>
      </w:r>
      <w:proofErr w:type="gramEnd"/>
      <w:r w:rsidR="00AB15F9">
        <w:rPr>
          <w:rFonts w:ascii="Calibri" w:hAnsi="Calibri" w:cs="Calibri"/>
          <w:sz w:val="24"/>
          <w:szCs w:val="24"/>
          <w:lang w:val="en-US"/>
        </w:rPr>
        <w:t xml:space="preserve"> (p=0.04). When removing residue, no-till yielded less than the other </w:t>
      </w:r>
      <w:proofErr w:type="spellStart"/>
      <w:r w:rsidR="00AB15F9">
        <w:rPr>
          <w:rFonts w:ascii="Calibri" w:hAnsi="Calibri" w:cs="Calibri"/>
          <w:sz w:val="24"/>
          <w:szCs w:val="24"/>
          <w:lang w:val="en-US"/>
        </w:rPr>
        <w:t>tillages</w:t>
      </w:r>
      <w:proofErr w:type="spellEnd"/>
      <w:r w:rsidR="00AB15F9">
        <w:rPr>
          <w:rFonts w:ascii="Calibri" w:hAnsi="Calibri" w:cs="Calibri"/>
          <w:sz w:val="24"/>
          <w:szCs w:val="24"/>
          <w:lang w:val="en-US"/>
        </w:rPr>
        <w:t>, but when retaining straw there was no significant difference between tillage treatments – this effect was</w:t>
      </w:r>
      <w:r w:rsidR="00A643A5">
        <w:rPr>
          <w:rFonts w:ascii="Calibri" w:hAnsi="Calibri" w:cs="Calibri"/>
          <w:sz w:val="24"/>
          <w:szCs w:val="24"/>
          <w:lang w:val="en-US"/>
        </w:rPr>
        <w:t>.</w:t>
      </w:r>
    </w:p>
    <w:p w14:paraId="6D653985" w14:textId="77777777" w:rsidR="001451D4" w:rsidRDefault="00991510" w:rsidP="00991510">
      <w:pPr>
        <w:pStyle w:val="Heading3"/>
        <w:rPr>
          <w:lang w:val="en-US"/>
        </w:rPr>
      </w:pPr>
      <w:r>
        <w:rPr>
          <w:lang w:val="en-US"/>
        </w:rPr>
        <w:t>Fall biomass</w:t>
      </w:r>
    </w:p>
    <w:p w14:paraId="71334260" w14:textId="5E757D73" w:rsidR="001451D4" w:rsidRDefault="001451D4" w:rsidP="001451D4">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r>
        <w:rPr>
          <w:rFonts w:ascii="Calibri" w:hAnsi="Calibri" w:cs="Calibri"/>
          <w:sz w:val="24"/>
          <w:szCs w:val="24"/>
          <w:lang w:val="en-US"/>
        </w:rPr>
        <w:t xml:space="preserve"> What do I mean by this???</w:t>
      </w:r>
    </w:p>
    <w:p w14:paraId="719FDCB5" w14:textId="77777777" w:rsidR="001451D4" w:rsidRDefault="001451D4" w:rsidP="001451D4">
      <w:pPr>
        <w:rPr>
          <w:rFonts w:ascii="Calibri" w:hAnsi="Calibri" w:cs="Calibri"/>
          <w:sz w:val="24"/>
          <w:szCs w:val="24"/>
          <w:lang w:val="en-US"/>
        </w:rPr>
      </w:pPr>
    </w:p>
    <w:p w14:paraId="4A0FCD33" w14:textId="5B400693" w:rsidR="001451D4" w:rsidRDefault="001451D4" w:rsidP="001451D4">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w:t>
      </w:r>
    </w:p>
    <w:p w14:paraId="645AD57E" w14:textId="77777777" w:rsidR="001451D4" w:rsidRDefault="001451D4" w:rsidP="001451D4">
      <w:pPr>
        <w:rPr>
          <w:rFonts w:ascii="Calibri" w:hAnsi="Calibri" w:cs="Calibri"/>
          <w:sz w:val="24"/>
          <w:szCs w:val="24"/>
          <w:lang w:val="en-US"/>
        </w:rPr>
      </w:pPr>
      <w:r>
        <w:rPr>
          <w:rFonts w:ascii="Calibri" w:hAnsi="Calibri" w:cs="Calibri"/>
          <w:sz w:val="24"/>
          <w:szCs w:val="24"/>
          <w:lang w:val="en-US"/>
        </w:rPr>
        <w:t xml:space="preserve">The total fall biomass was blha blha.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 xml:space="preserve">Percent soil cover did not vary by treatment or year (p = x-x), averaging 75% (Figure 2). Overall, volunteers contributed the highest coverage </w:t>
      </w:r>
      <w:proofErr w:type="gramStart"/>
      <w:r>
        <w:rPr>
          <w:rFonts w:ascii="Calibri" w:hAnsi="Calibri" w:cs="Calibri"/>
          <w:sz w:val="24"/>
          <w:szCs w:val="24"/>
          <w:lang w:val="en-US"/>
        </w:rPr>
        <w:t>percent</w:t>
      </w:r>
      <w:proofErr w:type="gramEnd"/>
      <w:r>
        <w:rPr>
          <w:rFonts w:ascii="Calibri" w:hAnsi="Calibri" w:cs="Calibri"/>
          <w:sz w:val="24"/>
          <w:szCs w:val="24"/>
          <w:lang w:val="en-US"/>
        </w:rPr>
        <w:t>, followed by cover crops (X%) with minimal weed coverage (X%), but the relative contribution of each category varied by cover crop treatment (p = xx), year (p</w:t>
      </w:r>
      <w:proofErr w:type="gramStart"/>
      <w:r>
        <w:rPr>
          <w:rFonts w:ascii="Calibri" w:hAnsi="Calibri" w:cs="Calibri"/>
          <w:sz w:val="24"/>
          <w:szCs w:val="24"/>
          <w:lang w:val="en-US"/>
        </w:rPr>
        <w:t>, )</w:t>
      </w:r>
      <w:proofErr w:type="gramEnd"/>
      <w:r>
        <w:rPr>
          <w:rFonts w:ascii="Calibri" w:hAnsi="Calibri" w:cs="Calibri"/>
          <w:sz w:val="24"/>
          <w:szCs w:val="24"/>
          <w:lang w:val="en-US"/>
        </w:rPr>
        <w:t xml:space="preserve">,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w:t>
      </w:r>
      <w:proofErr w:type="gramStart"/>
      <w:r>
        <w:rPr>
          <w:rFonts w:ascii="Calibri" w:hAnsi="Calibri" w:cs="Calibri"/>
          <w:sz w:val="24"/>
          <w:szCs w:val="24"/>
          <w:lang w:val="en-US"/>
        </w:rPr>
        <w:t>Therefore,  and</w:t>
      </w:r>
      <w:proofErr w:type="gramEnd"/>
      <w:r>
        <w:rPr>
          <w:rFonts w:ascii="Calibri" w:hAnsi="Calibri" w:cs="Calibri"/>
          <w:sz w:val="24"/>
          <w:szCs w:val="24"/>
          <w:lang w:val="en-US"/>
        </w:rPr>
        <w:t xml:space="preserve">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w:t>
      </w:r>
      <w:proofErr w:type="gramStart"/>
      <w:r>
        <w:rPr>
          <w:rFonts w:ascii="Calibri" w:hAnsi="Calibri" w:cs="Calibri"/>
          <w:sz w:val="24"/>
          <w:szCs w:val="24"/>
          <w:lang w:val="en-US"/>
        </w:rPr>
        <w:t>percent</w:t>
      </w:r>
      <w:proofErr w:type="gramEnd"/>
      <w:r>
        <w:rPr>
          <w:rFonts w:ascii="Calibri" w:hAnsi="Calibri" w:cs="Calibri"/>
          <w:sz w:val="24"/>
          <w:szCs w:val="24"/>
          <w:lang w:val="en-US"/>
        </w:rPr>
        <w:t xml:space="preserve">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tbl>
      <w:tblPr>
        <w:tblStyle w:val="TableGrid"/>
        <w:tblW w:w="0" w:type="auto"/>
        <w:tblLook w:val="04A0" w:firstRow="1" w:lastRow="0" w:firstColumn="1" w:lastColumn="0" w:noHBand="0" w:noVBand="1"/>
      </w:tblPr>
      <w:tblGrid>
        <w:gridCol w:w="5017"/>
        <w:gridCol w:w="3999"/>
      </w:tblGrid>
      <w:tr w:rsidR="00863080" w14:paraId="2E26318C" w14:textId="77777777" w:rsidTr="00863080">
        <w:tc>
          <w:tcPr>
            <w:tcW w:w="4508" w:type="dxa"/>
            <w:vAlign w:val="center"/>
          </w:tcPr>
          <w:p w14:paraId="0DDB0C93" w14:textId="7D0FA93C" w:rsidR="00863080" w:rsidRDefault="00863080" w:rsidP="00863080">
            <w:pPr>
              <w:jc w:val="center"/>
              <w:rPr>
                <w:lang w:val="en-US"/>
              </w:rPr>
            </w:pPr>
            <w:r>
              <w:rPr>
                <w:noProof/>
                <w:lang w:val="en-US"/>
              </w:rPr>
              <w:drawing>
                <wp:inline distT="0" distB="0" distL="0" distR="0" wp14:anchorId="5CDC64F2" wp14:editId="30E52975">
                  <wp:extent cx="3194050" cy="3194050"/>
                  <wp:effectExtent l="0" t="0" r="6350" b="6350"/>
                  <wp:docPr id="122674986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9863" name="Picture 3" descr="A screen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4050" cy="3194050"/>
                          </a:xfrm>
                          <a:prstGeom prst="rect">
                            <a:avLst/>
                          </a:prstGeom>
                        </pic:spPr>
                      </pic:pic>
                    </a:graphicData>
                  </a:graphic>
                </wp:inline>
              </w:drawing>
            </w:r>
          </w:p>
        </w:tc>
        <w:tc>
          <w:tcPr>
            <w:tcW w:w="4508" w:type="dxa"/>
            <w:vAlign w:val="center"/>
          </w:tcPr>
          <w:p w14:paraId="277E2A36" w14:textId="0B30BC59" w:rsidR="00863080" w:rsidRDefault="00863080" w:rsidP="00863080">
            <w:pPr>
              <w:jc w:val="center"/>
              <w:rPr>
                <w:lang w:val="en-US"/>
              </w:rPr>
            </w:pPr>
            <w:r>
              <w:rPr>
                <w:noProof/>
                <w:lang w:val="en-US"/>
              </w:rPr>
              <w:drawing>
                <wp:inline distT="0" distB="0" distL="0" distR="0" wp14:anchorId="67B65C8D" wp14:editId="32EC5E29">
                  <wp:extent cx="2521585" cy="3025902"/>
                  <wp:effectExtent l="0" t="0" r="0" b="3175"/>
                  <wp:docPr id="1370444940"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4940" name="Picture 5"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4673" cy="3029607"/>
                          </a:xfrm>
                          <a:prstGeom prst="rect">
                            <a:avLst/>
                          </a:prstGeom>
                        </pic:spPr>
                      </pic:pic>
                    </a:graphicData>
                  </a:graphic>
                </wp:inline>
              </w:drawing>
            </w:r>
          </w:p>
        </w:tc>
      </w:tr>
    </w:tbl>
    <w:p w14:paraId="7B8E2394" w14:textId="77777777" w:rsidR="00CE45DF" w:rsidRDefault="00CE45DF" w:rsidP="008A7B67">
      <w:pPr>
        <w:rPr>
          <w:lang w:val="en-US"/>
        </w:rPr>
      </w:pP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ED39BC" w:rsidRDefault="00A70C8E" w:rsidP="00ED39BC">
      <w:pPr>
        <w:pStyle w:val="CommentText"/>
      </w:pPr>
      <w:r>
        <w:rPr>
          <w:rStyle w:val="CommentReference"/>
        </w:rPr>
        <w:annotationRef/>
      </w:r>
      <w:r w:rsidR="00ED39BC">
        <w:t>These values were reported in Scherner et al. 2016, but it was not stated how they were determined. Grid sampling, method for carbon determination, etc.</w:t>
      </w:r>
    </w:p>
  </w:comment>
  <w:comment w:id="1" w:author="Virginia Anne Nichols" w:date="2025-02-18T11:45:00Z" w:initials="VN">
    <w:p w14:paraId="14A79107" w14:textId="06DA60D3" w:rsidR="00782730" w:rsidRDefault="00782730" w:rsidP="00782730">
      <w:pPr>
        <w:pStyle w:val="CommentText"/>
      </w:pPr>
      <w:r>
        <w:rPr>
          <w:rStyle w:val="CommentReference"/>
        </w:rPr>
        <w:annotationRef/>
      </w:r>
      <w:r>
        <w:t>How was the straw removed?</w:t>
      </w:r>
    </w:p>
  </w:comment>
  <w:comment w:id="2" w:author="Virginia Anne Nichols" w:date="2025-04-01T09:42:00Z" w:initials="VN">
    <w:p w14:paraId="468471C0" w14:textId="77777777" w:rsidR="0013795C" w:rsidRDefault="0013795C" w:rsidP="0013795C">
      <w:pPr>
        <w:pStyle w:val="CommentText"/>
      </w:pPr>
      <w:r>
        <w:rPr>
          <w:rStyle w:val="CommentReference"/>
        </w:rPr>
        <w:annotationRef/>
      </w:r>
      <w:r>
        <w:t>I need to know which study to cite</w:t>
      </w:r>
    </w:p>
  </w:comment>
  <w:comment w:id="4" w:author="Virginia Anne Nichols" w:date="2025-02-18T10:54:00Z" w:initials="VN">
    <w:p w14:paraId="20693CA4" w14:textId="43B395DC"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7"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8"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468471C0"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468471C0" w16cid:durableId="74E83C9E"/>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8037D"/>
    <w:rsid w:val="000A3A67"/>
    <w:rsid w:val="000B7B02"/>
    <w:rsid w:val="000E21EA"/>
    <w:rsid w:val="001114A3"/>
    <w:rsid w:val="0013795C"/>
    <w:rsid w:val="001451D4"/>
    <w:rsid w:val="00175629"/>
    <w:rsid w:val="00180EEB"/>
    <w:rsid w:val="001A0D18"/>
    <w:rsid w:val="001A695F"/>
    <w:rsid w:val="001E07E9"/>
    <w:rsid w:val="00206098"/>
    <w:rsid w:val="00235ADC"/>
    <w:rsid w:val="00264241"/>
    <w:rsid w:val="00275DFF"/>
    <w:rsid w:val="002C2250"/>
    <w:rsid w:val="002E3EA3"/>
    <w:rsid w:val="00333287"/>
    <w:rsid w:val="00336BAD"/>
    <w:rsid w:val="00344A84"/>
    <w:rsid w:val="0034538E"/>
    <w:rsid w:val="00352C6F"/>
    <w:rsid w:val="003544E9"/>
    <w:rsid w:val="00371162"/>
    <w:rsid w:val="003A0336"/>
    <w:rsid w:val="003A431D"/>
    <w:rsid w:val="003B60EC"/>
    <w:rsid w:val="003D0BC6"/>
    <w:rsid w:val="003E205E"/>
    <w:rsid w:val="00484448"/>
    <w:rsid w:val="00486A04"/>
    <w:rsid w:val="004A319D"/>
    <w:rsid w:val="004C2ACA"/>
    <w:rsid w:val="004E3E76"/>
    <w:rsid w:val="004E57F2"/>
    <w:rsid w:val="005010F2"/>
    <w:rsid w:val="00530874"/>
    <w:rsid w:val="00553E7F"/>
    <w:rsid w:val="0056477D"/>
    <w:rsid w:val="005A2FB4"/>
    <w:rsid w:val="005D1C4B"/>
    <w:rsid w:val="00623FE4"/>
    <w:rsid w:val="00633A26"/>
    <w:rsid w:val="00663D56"/>
    <w:rsid w:val="006A4260"/>
    <w:rsid w:val="006B0948"/>
    <w:rsid w:val="006D423D"/>
    <w:rsid w:val="00702EA8"/>
    <w:rsid w:val="007477A1"/>
    <w:rsid w:val="00750879"/>
    <w:rsid w:val="0075226B"/>
    <w:rsid w:val="00782730"/>
    <w:rsid w:val="007B1493"/>
    <w:rsid w:val="007B22B0"/>
    <w:rsid w:val="007C0279"/>
    <w:rsid w:val="007D1D13"/>
    <w:rsid w:val="007E32D7"/>
    <w:rsid w:val="008016FE"/>
    <w:rsid w:val="00844404"/>
    <w:rsid w:val="00863080"/>
    <w:rsid w:val="0087481D"/>
    <w:rsid w:val="00885DCB"/>
    <w:rsid w:val="008A7B67"/>
    <w:rsid w:val="008D61F6"/>
    <w:rsid w:val="008D679E"/>
    <w:rsid w:val="008E4FAD"/>
    <w:rsid w:val="00905DB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B15F9"/>
    <w:rsid w:val="00AD02D7"/>
    <w:rsid w:val="00AD5622"/>
    <w:rsid w:val="00AE6425"/>
    <w:rsid w:val="00AF06FD"/>
    <w:rsid w:val="00B067E5"/>
    <w:rsid w:val="00B07B57"/>
    <w:rsid w:val="00B41B1E"/>
    <w:rsid w:val="00B730C3"/>
    <w:rsid w:val="00C06D19"/>
    <w:rsid w:val="00C237F2"/>
    <w:rsid w:val="00C512E2"/>
    <w:rsid w:val="00C51590"/>
    <w:rsid w:val="00C86200"/>
    <w:rsid w:val="00C86A80"/>
    <w:rsid w:val="00C86AE7"/>
    <w:rsid w:val="00C961D5"/>
    <w:rsid w:val="00CA5767"/>
    <w:rsid w:val="00CB0057"/>
    <w:rsid w:val="00CC27F8"/>
    <w:rsid w:val="00CE45DF"/>
    <w:rsid w:val="00CF29E1"/>
    <w:rsid w:val="00D27CF0"/>
    <w:rsid w:val="00D3368D"/>
    <w:rsid w:val="00D54833"/>
    <w:rsid w:val="00D60065"/>
    <w:rsid w:val="00D6652C"/>
    <w:rsid w:val="00D94FC7"/>
    <w:rsid w:val="00DB54A3"/>
    <w:rsid w:val="00DC1B02"/>
    <w:rsid w:val="00DE4ABA"/>
    <w:rsid w:val="00E3737B"/>
    <w:rsid w:val="00E519B2"/>
    <w:rsid w:val="00E61978"/>
    <w:rsid w:val="00E752C9"/>
    <w:rsid w:val="00E814F8"/>
    <w:rsid w:val="00E82F36"/>
    <w:rsid w:val="00E976D6"/>
    <w:rsid w:val="00EA474E"/>
    <w:rsid w:val="00EB3265"/>
    <w:rsid w:val="00EB5C1D"/>
    <w:rsid w:val="00EC1821"/>
    <w:rsid w:val="00ED39BC"/>
    <w:rsid w:val="00EF514A"/>
    <w:rsid w:val="00F139C1"/>
    <w:rsid w:val="00F2314C"/>
    <w:rsid w:val="00F31186"/>
    <w:rsid w:val="00F44A44"/>
    <w:rsid w:val="00F65982"/>
    <w:rsid w:val="00F71074"/>
    <w:rsid w:val="00F734CE"/>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11</Pages>
  <Words>13144</Words>
  <Characters>72031</Characters>
  <Application>Microsoft Office Word</Application>
  <DocSecurity>0</DocSecurity>
  <Lines>1412</Lines>
  <Paragraphs>539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2025-04-01T07:12:00Z</dcterms:created>
  <dcterms:modified xsi:type="dcterms:W3CDTF">2025-04-02T14:13:00Z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id="yqXvRCeb"/&gt;&lt;style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