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363B" w14:textId="1FE3663C" w:rsidR="005966D9" w:rsidRDefault="006E34F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  <w:r>
        <w:rPr>
          <w:rFonts w:ascii="Calibri" w:hAnsi="Calibri" w:cs="Calibri"/>
          <w:b/>
          <w:bCs/>
          <w:color w:val="222222"/>
          <w:sz w:val="28"/>
          <w:szCs w:val="28"/>
        </w:rPr>
        <w:t>Decomposing the</w:t>
      </w:r>
      <w:r w:rsidR="00F078F7" w:rsidRPr="003811F3">
        <w:rPr>
          <w:rFonts w:ascii="Calibri" w:hAnsi="Calibri" w:cs="Calibri"/>
          <w:b/>
          <w:bCs/>
          <w:color w:val="222222"/>
          <w:sz w:val="28"/>
          <w:szCs w:val="28"/>
        </w:rPr>
        <w:t xml:space="preserve"> continuous maize penalty</w:t>
      </w:r>
    </w:p>
    <w:p w14:paraId="68E9503F" w14:textId="59B87EFD" w:rsidR="00C92E0D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15ECA4A7" w14:textId="2186A25B" w:rsidR="00C92E0D" w:rsidRDefault="00C92E0D" w:rsidP="00C92E0D">
      <w:pPr>
        <w:pStyle w:val="m-5394878258787082074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2AB1F373" w14:textId="59B6E1CC" w:rsidR="00C92E0D" w:rsidRDefault="00C92E0D" w:rsidP="00C92E0D">
      <w:r>
        <w:t xml:space="preserve">The </w:t>
      </w:r>
      <w:r w:rsidR="007F382B">
        <w:t xml:space="preserve">continuous maize penalty has not changed </w:t>
      </w:r>
      <w:r>
        <w:t xml:space="preserve">over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14:paraId="485B2FBD" w14:textId="77777777" w:rsidTr="00D51A0D">
        <w:tc>
          <w:tcPr>
            <w:tcW w:w="9350" w:type="dxa"/>
          </w:tcPr>
          <w:p w14:paraId="09060E31" w14:textId="07E10373" w:rsidR="00C92E0D" w:rsidRDefault="00F23DBB" w:rsidP="00D51A0D">
            <w:r>
              <w:rPr>
                <w:noProof/>
              </w:rPr>
              <w:drawing>
                <wp:inline distT="0" distB="0" distL="0" distR="0" wp14:anchorId="5E4E147D" wp14:editId="63898D4B">
                  <wp:extent cx="5943600" cy="2884805"/>
                  <wp:effectExtent l="0" t="0" r="0" b="0"/>
                  <wp:docPr id="1" name="Picture 1" descr="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p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E0D" w14:paraId="4701ED85" w14:textId="77777777" w:rsidTr="00D51A0D">
        <w:tc>
          <w:tcPr>
            <w:tcW w:w="9350" w:type="dxa"/>
          </w:tcPr>
          <w:p w14:paraId="6D433981" w14:textId="7CBC211E" w:rsidR="00C92E0D" w:rsidRDefault="00F23DBB" w:rsidP="00D51A0D">
            <w:r>
              <w:t xml:space="preserve">(Left) Geographic location of the 14 sites included in this dataset, with each site representing 8-18 site-years for a total of 179 site-years. (Right) </w:t>
            </w:r>
            <w:r w:rsidR="00C92E0D">
              <w:t xml:space="preserve">Grain yields for maize grown </w:t>
            </w:r>
            <w:r w:rsidR="003B19DA">
              <w:t>at high nitrogen fertilization rates (</w:t>
            </w:r>
            <w:r w:rsidR="003B19DA">
              <w:rPr>
                <w:rFonts w:cstheme="minorHAnsi"/>
              </w:rPr>
              <w:t>≥</w:t>
            </w:r>
            <w:r w:rsidR="003B19DA">
              <w:t xml:space="preserve">180 kg ha-1) </w:t>
            </w:r>
            <w:r w:rsidR="00C92E0D">
              <w:t>continuously (</w:t>
            </w:r>
            <w:r>
              <w:t>pink</w:t>
            </w:r>
            <w:r w:rsidR="00C92E0D">
              <w:t xml:space="preserve"> triangles), in rotation with soybean (blue circles), and the difference between the </w:t>
            </w:r>
            <w:r>
              <w:t>two</w:t>
            </w:r>
            <w:r w:rsidR="00C92E0D">
              <w:t xml:space="preserve"> (</w:t>
            </w:r>
            <w:r>
              <w:t>continuous maize penalty, green</w:t>
            </w:r>
            <w:r w:rsidR="00C92E0D">
              <w:t xml:space="preserve"> squares) </w:t>
            </w:r>
            <w:r>
              <w:t>from 1999-2016. Trends are the same within a site, see supplementary materia</w:t>
            </w:r>
            <w:r w:rsidR="00E27585">
              <w:t>l</w:t>
            </w:r>
            <w:r>
              <w:t>.</w:t>
            </w:r>
          </w:p>
        </w:tc>
      </w:tr>
    </w:tbl>
    <w:p w14:paraId="56D6CB58" w14:textId="05893D48" w:rsidR="00C92E0D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7D00AEB9" w14:textId="1D1CA268" w:rsidR="00240933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6E8F36BC" w14:textId="4F219850" w:rsidR="00240933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56DD2408" w14:textId="584F7069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7A98575D" w14:textId="415C8837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15E28285" w14:textId="2DB5E84E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369DD6D2" w14:textId="60471200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218A706E" w14:textId="5707EB0D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65D12950" w14:textId="242AC8DE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1868A838" w14:textId="020A2F55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5BC69230" w14:textId="6BE33220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0606DBAE" w14:textId="502664F9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6BFC7839" w14:textId="4F9D25C2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5ABE517A" w14:textId="52489288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452A43BF" w14:textId="77777777" w:rsidR="00E27585" w:rsidRDefault="00E27585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78EFA868" w14:textId="77777777" w:rsidR="00240933" w:rsidRDefault="00240933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383963EE" w14:textId="68CA4D32" w:rsidR="00960AC1" w:rsidRDefault="003B19DA" w:rsidP="00960AC1">
      <w:r>
        <w:lastRenderedPageBreak/>
        <w:t>In any given year, t</w:t>
      </w:r>
      <w:r w:rsidR="00960AC1">
        <w:t>his penalty is composed of both nitrogen-</w:t>
      </w:r>
      <w:r>
        <w:t xml:space="preserve"> </w:t>
      </w:r>
      <w:r w:rsidR="00E27585">
        <w:t xml:space="preserve">(closable with additional nitrogen fertilization) </w:t>
      </w:r>
      <w:r>
        <w:t xml:space="preserve">and non-nitrogen </w:t>
      </w:r>
      <w:r w:rsidR="00E27585">
        <w:t xml:space="preserve">(not closable) </w:t>
      </w:r>
      <w:r>
        <w:t>components</w:t>
      </w:r>
      <w:r w:rsidR="007F382B">
        <w:t>. The relative contribution of each</w:t>
      </w:r>
      <w:r>
        <w:t xml:space="preserve"> can be determined from the nitrogen-response curve. </w:t>
      </w:r>
    </w:p>
    <w:p w14:paraId="0FEBE558" w14:textId="77777777" w:rsidR="00960AC1" w:rsidRDefault="00960AC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0A80E799" w14:textId="04B4F8D2" w:rsidR="00C92E0D" w:rsidRPr="003811F3" w:rsidRDefault="00C92E0D" w:rsidP="00960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14:paraId="1A7832B1" w14:textId="77777777" w:rsidTr="00D51A0D">
        <w:tc>
          <w:tcPr>
            <w:tcW w:w="9350" w:type="dxa"/>
          </w:tcPr>
          <w:p w14:paraId="7F3E776B" w14:textId="1C1CD2A1" w:rsidR="00C92E0D" w:rsidRDefault="00F23DBB" w:rsidP="00D51A0D">
            <w:r>
              <w:rPr>
                <w:noProof/>
              </w:rPr>
              <w:drawing>
                <wp:inline distT="0" distB="0" distL="0" distR="0" wp14:anchorId="18C924C9" wp14:editId="52C9DF28">
                  <wp:extent cx="5943600" cy="2057400"/>
                  <wp:effectExtent l="0" t="0" r="0" b="0"/>
                  <wp:docPr id="3" name="Picture 3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E0D" w14:paraId="21E3F008" w14:textId="77777777" w:rsidTr="00D51A0D">
        <w:tc>
          <w:tcPr>
            <w:tcW w:w="9350" w:type="dxa"/>
          </w:tcPr>
          <w:p w14:paraId="103D7CA8" w14:textId="01FD33F8" w:rsidR="00C92E0D" w:rsidRDefault="00960AC1" w:rsidP="00D51A0D">
            <w:r>
              <w:t>(</w:t>
            </w:r>
            <w:r w:rsidR="00F23DBB">
              <w:t>Left</w:t>
            </w:r>
            <w:r>
              <w:t xml:space="preserve">) </w:t>
            </w:r>
            <w:r w:rsidR="003B19DA">
              <w:t>Nitrogen response curves from IA</w:t>
            </w:r>
            <w:r w:rsidR="00F23DBB">
              <w:t>-4</w:t>
            </w:r>
            <w:r w:rsidR="003B19DA">
              <w:t xml:space="preserve"> in 2003 with quadratic plateau-estimated agronomically optimum nitrogen rates (AONRs) which are used to estimate the contribution of nitrogen (N) and other factors to the continuous maize yield penalty. (</w:t>
            </w:r>
            <w:r w:rsidR="00F23DBB">
              <w:t>Right</w:t>
            </w:r>
            <w:r w:rsidR="003B19DA">
              <w:t xml:space="preserve">) Size of each component by site-year, ordered from smallest </w:t>
            </w:r>
            <w:r w:rsidR="00F23DBB">
              <w:t xml:space="preserve">to largest </w:t>
            </w:r>
            <w:r w:rsidR="003B19DA">
              <w:t xml:space="preserve">non-N yield reduction; if quadratic plateaus failed to fit a given site year’s data the components were deemed undeterminable. </w:t>
            </w:r>
            <w:r w:rsidR="00240933">
              <w:t xml:space="preserve">Quadratic plateau fits for </w:t>
            </w:r>
            <w:r w:rsidR="003B19DA">
              <w:t>all</w:t>
            </w:r>
            <w:r w:rsidR="00240933">
              <w:t xml:space="preserve"> individual</w:t>
            </w:r>
            <w:r w:rsidR="003B19DA">
              <w:t xml:space="preserve"> site</w:t>
            </w:r>
            <w:r w:rsidR="00240933">
              <w:t>-</w:t>
            </w:r>
            <w:r w:rsidR="003B19DA">
              <w:t xml:space="preserve">years </w:t>
            </w:r>
            <w:r w:rsidR="00240933">
              <w:t>are</w:t>
            </w:r>
            <w:r w:rsidR="003B19DA">
              <w:t xml:space="preserve"> available in supplementary material. </w:t>
            </w:r>
          </w:p>
        </w:tc>
      </w:tr>
    </w:tbl>
    <w:p w14:paraId="1A7A2F7C" w14:textId="77777777" w:rsidR="00F078F7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2"/>
          <w:szCs w:val="22"/>
        </w:rPr>
      </w:pPr>
    </w:p>
    <w:p w14:paraId="20A52887" w14:textId="77777777" w:rsidR="00E27585" w:rsidRDefault="00E27585" w:rsidP="005E51AE"/>
    <w:p w14:paraId="44826841" w14:textId="77777777" w:rsidR="00E27585" w:rsidRDefault="00E27585" w:rsidP="005E51AE"/>
    <w:p w14:paraId="748FC654" w14:textId="77777777" w:rsidR="00E27585" w:rsidRDefault="00E27585" w:rsidP="005E51AE"/>
    <w:p w14:paraId="2316209C" w14:textId="77777777" w:rsidR="00E27585" w:rsidRDefault="00E27585" w:rsidP="005E51AE"/>
    <w:p w14:paraId="18EA9084" w14:textId="77777777" w:rsidR="00E27585" w:rsidRDefault="00E27585" w:rsidP="005E51AE"/>
    <w:p w14:paraId="76929684" w14:textId="77777777" w:rsidR="00E27585" w:rsidRDefault="00E27585" w:rsidP="005E51AE"/>
    <w:p w14:paraId="0D53975F" w14:textId="77777777" w:rsidR="00E27585" w:rsidRDefault="00E27585" w:rsidP="005E51AE"/>
    <w:p w14:paraId="49A35CCE" w14:textId="77777777" w:rsidR="00E27585" w:rsidRDefault="00E27585" w:rsidP="005E51AE"/>
    <w:p w14:paraId="0981BBC3" w14:textId="77777777" w:rsidR="00E27585" w:rsidRDefault="00E27585" w:rsidP="005E51AE"/>
    <w:p w14:paraId="75BF3EAA" w14:textId="77777777" w:rsidR="00E27585" w:rsidRDefault="00E27585" w:rsidP="005E51AE"/>
    <w:p w14:paraId="110CF4C7" w14:textId="77777777" w:rsidR="00E27585" w:rsidRDefault="00E27585" w:rsidP="005E51AE"/>
    <w:p w14:paraId="486DDEF4" w14:textId="77777777" w:rsidR="00E27585" w:rsidRDefault="00E27585" w:rsidP="005E51AE"/>
    <w:p w14:paraId="705F6030" w14:textId="77777777" w:rsidR="00E27585" w:rsidRDefault="00E27585" w:rsidP="005E51AE"/>
    <w:p w14:paraId="32FCCF80" w14:textId="77777777" w:rsidR="00E27585" w:rsidRDefault="00E27585" w:rsidP="005E51AE"/>
    <w:p w14:paraId="0318FCA0" w14:textId="53C6EA13" w:rsidR="005E51AE" w:rsidRDefault="00240933" w:rsidP="005E51AE">
      <w:r>
        <w:t xml:space="preserve">The continuous maize yields are driving the </w:t>
      </w:r>
      <w:r w:rsidR="00E27585">
        <w:t>un-closable</w:t>
      </w:r>
      <w:r w:rsidR="007F382B">
        <w:t xml:space="preserve"> </w:t>
      </w:r>
      <w:r w:rsidR="00E27585">
        <w:t xml:space="preserve">yield </w:t>
      </w:r>
      <w:r>
        <w:t>gap</w:t>
      </w:r>
      <w:r w:rsidR="007F382B">
        <w:t>s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933" w14:paraId="31E0981A" w14:textId="77777777" w:rsidTr="000218E1">
        <w:tc>
          <w:tcPr>
            <w:tcW w:w="9350" w:type="dxa"/>
          </w:tcPr>
          <w:p w14:paraId="4FA2C15B" w14:textId="3DF9226F" w:rsidR="00240933" w:rsidRDefault="00240933" w:rsidP="000218E1">
            <w:r>
              <w:rPr>
                <w:noProof/>
              </w:rPr>
              <w:drawing>
                <wp:inline distT="0" distB="0" distL="0" distR="0" wp14:anchorId="19AADBB6" wp14:editId="7A97590A">
                  <wp:extent cx="5343525" cy="4560836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844" cy="456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933" w14:paraId="4ACC4315" w14:textId="77777777" w:rsidTr="000218E1">
        <w:tc>
          <w:tcPr>
            <w:tcW w:w="9350" w:type="dxa"/>
          </w:tcPr>
          <w:p w14:paraId="1037E155" w14:textId="6F0F67DE" w:rsidR="00240933" w:rsidRDefault="002122B0" w:rsidP="000218E1">
            <w:r>
              <w:t xml:space="preserve">(Top) The size of the continuous corn yield penalty is not related to rotated maize yields, but is negatively associated with continuous </w:t>
            </w:r>
            <w:r w:rsidR="007F382B">
              <w:t>maize</w:t>
            </w:r>
            <w:r>
              <w:t xml:space="preserve"> yields. (Bottom) Conceptual demonstration of continuous maize yields driving yield gap</w:t>
            </w:r>
            <w:r w:rsidR="007F382B">
              <w:t>, with accepted hypothesis having bolded colors</w:t>
            </w:r>
            <w:r>
              <w:t xml:space="preserve">.  </w:t>
            </w:r>
          </w:p>
        </w:tc>
      </w:tr>
    </w:tbl>
    <w:p w14:paraId="4F789D11" w14:textId="2881F7C3" w:rsidR="003B19DA" w:rsidRDefault="003B19DA" w:rsidP="005E51AE"/>
    <w:p w14:paraId="527E09F6" w14:textId="77777777" w:rsidR="00E27585" w:rsidRDefault="00E27585" w:rsidP="005E51AE"/>
    <w:p w14:paraId="67AB9A9F" w14:textId="77777777" w:rsidR="00E27585" w:rsidRDefault="00E27585" w:rsidP="005E51AE"/>
    <w:p w14:paraId="6647C078" w14:textId="77777777" w:rsidR="00E27585" w:rsidRDefault="00E27585" w:rsidP="005E51AE"/>
    <w:p w14:paraId="11496663" w14:textId="77777777" w:rsidR="00E27585" w:rsidRDefault="00E27585" w:rsidP="005E51AE"/>
    <w:p w14:paraId="668645AE" w14:textId="77777777" w:rsidR="00E27585" w:rsidRDefault="00E27585" w:rsidP="005E51AE"/>
    <w:p w14:paraId="5C3C5931" w14:textId="77777777" w:rsidR="00E27585" w:rsidRDefault="00E27585" w:rsidP="005E51AE"/>
    <w:p w14:paraId="54E004D2" w14:textId="77777777" w:rsidR="00E27585" w:rsidRDefault="00E27585" w:rsidP="005E51AE"/>
    <w:p w14:paraId="139E7599" w14:textId="77777777" w:rsidR="00E27585" w:rsidRDefault="00E27585" w:rsidP="005E51AE"/>
    <w:p w14:paraId="7396DE3E" w14:textId="77777777" w:rsidR="00E27585" w:rsidRDefault="00E27585" w:rsidP="005E51AE"/>
    <w:p w14:paraId="1D0ACD75" w14:textId="6D2FD5B3" w:rsidR="00CC1A42" w:rsidRDefault="007F382B" w:rsidP="005E51AE">
      <w:r>
        <w:t>Site explains very little variation in the N- and non N-derived components</w:t>
      </w:r>
      <w:r w:rsidR="00E27585">
        <w:t xml:space="preserve"> of the gap</w:t>
      </w:r>
      <w:r>
        <w:t>, meaning the variation i</w:t>
      </w:r>
      <w:r w:rsidR="00E27585">
        <w:t xml:space="preserve">n both components is </w:t>
      </w:r>
      <w:r>
        <w:t>mainly driven by weather. The two components are not correlated, meaning they have different</w:t>
      </w:r>
      <w:r w:rsidR="00E27585">
        <w:t xml:space="preserve"> </w:t>
      </w:r>
      <w:r>
        <w:t>drivers.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A42" w14:paraId="062893DA" w14:textId="77777777" w:rsidTr="00CC1A42">
        <w:tc>
          <w:tcPr>
            <w:tcW w:w="9350" w:type="dxa"/>
          </w:tcPr>
          <w:p w14:paraId="076343B1" w14:textId="448A5C04" w:rsidR="00CC1A42" w:rsidRDefault="007B4DFF" w:rsidP="005E51AE">
            <w:r>
              <w:rPr>
                <w:noProof/>
              </w:rPr>
              <w:drawing>
                <wp:inline distT="0" distB="0" distL="0" distR="0" wp14:anchorId="0AF8EF68" wp14:editId="5C59D474">
                  <wp:extent cx="5870490" cy="4130040"/>
                  <wp:effectExtent l="0" t="0" r="0" b="3810"/>
                  <wp:docPr id="9" name="Picture 9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175" cy="4131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A42" w14:paraId="2F5119A3" w14:textId="77777777" w:rsidTr="00CC1A42">
        <w:tc>
          <w:tcPr>
            <w:tcW w:w="9350" w:type="dxa"/>
          </w:tcPr>
          <w:p w14:paraId="5DBCCEA9" w14:textId="1FDE25ED" w:rsidR="00CC1A42" w:rsidRDefault="00190745" w:rsidP="005E51AE">
            <w:r>
              <w:t>(Left) Variance decomposition site (green)</w:t>
            </w:r>
            <w:r w:rsidR="0077089B">
              <w:t xml:space="preserve">, Midwest </w:t>
            </w:r>
            <w:r>
              <w:t>year (</w:t>
            </w:r>
            <w:r w:rsidR="0077089B">
              <w:t>pink</w:t>
            </w:r>
            <w:r>
              <w:t>)</w:t>
            </w:r>
            <w:r w:rsidR="0077089B">
              <w:t>, and site-specific year (yellow)</w:t>
            </w:r>
            <w:r>
              <w:t xml:space="preserve"> contributions to variation in nitrogen- (N) and non-N components of the continuous maize penalty, and (right) lack of co-variation between the two components</w:t>
            </w:r>
            <w:r w:rsidR="007B4DFF">
              <w:t xml:space="preserve"> with non-N gaps tending to be larger</w:t>
            </w:r>
          </w:p>
        </w:tc>
      </w:tr>
    </w:tbl>
    <w:p w14:paraId="0CAF2EE0" w14:textId="77777777" w:rsidR="00CC1A42" w:rsidRDefault="00CC1A42" w:rsidP="005E51AE"/>
    <w:p w14:paraId="662210C7" w14:textId="43EA7E3B" w:rsidR="00CC1A42" w:rsidRDefault="00CC1A42" w:rsidP="005E51AE"/>
    <w:p w14:paraId="04F15442" w14:textId="77777777" w:rsidR="00E27585" w:rsidRDefault="00E27585" w:rsidP="005E51AE"/>
    <w:p w14:paraId="03FA114D" w14:textId="77777777" w:rsidR="00E27585" w:rsidRDefault="00E27585" w:rsidP="005E51AE"/>
    <w:p w14:paraId="78FB4E27" w14:textId="77777777" w:rsidR="00E27585" w:rsidRDefault="00E27585" w:rsidP="005E51AE"/>
    <w:p w14:paraId="746B49F2" w14:textId="77777777" w:rsidR="00E27585" w:rsidRDefault="00E27585" w:rsidP="005E51AE"/>
    <w:p w14:paraId="5F97FC93" w14:textId="77777777" w:rsidR="00E27585" w:rsidRDefault="00E27585" w:rsidP="005E51AE"/>
    <w:p w14:paraId="15F97268" w14:textId="5EEF9C0A" w:rsidR="00CC1A42" w:rsidRDefault="00395EAB" w:rsidP="005E51AE">
      <w:r>
        <w:t>W</w:t>
      </w:r>
      <w:r w:rsidR="00CC1A42">
        <w:t xml:space="preserve">e built a </w:t>
      </w:r>
      <w:r>
        <w:t xml:space="preserve">simplified, testable </w:t>
      </w:r>
      <w:r w:rsidR="00CC1A42">
        <w:t>causal diagram. Using a combination of</w:t>
      </w:r>
      <w:r>
        <w:t xml:space="preserve"> literature, </w:t>
      </w:r>
      <w:r w:rsidR="00CC1A42">
        <w:t xml:space="preserve">statistical models and APSIM, we tested the feasibility/evidence for pathways.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2B0" w14:paraId="0C8CC64A" w14:textId="77777777" w:rsidTr="002122B0">
        <w:tc>
          <w:tcPr>
            <w:tcW w:w="9350" w:type="dxa"/>
          </w:tcPr>
          <w:p w14:paraId="0C9A0A60" w14:textId="33D176E0" w:rsidR="002122B0" w:rsidRDefault="00190745" w:rsidP="005E51AE">
            <w:r>
              <w:rPr>
                <w:noProof/>
              </w:rPr>
              <w:lastRenderedPageBreak/>
              <w:drawing>
                <wp:inline distT="0" distB="0" distL="0" distR="0" wp14:anchorId="05CA373C" wp14:editId="0530559A">
                  <wp:extent cx="5783580" cy="3151928"/>
                  <wp:effectExtent l="0" t="0" r="7620" b="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321" cy="315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2B0" w14:paraId="00BAAD35" w14:textId="77777777" w:rsidTr="002122B0">
        <w:tc>
          <w:tcPr>
            <w:tcW w:w="9350" w:type="dxa"/>
          </w:tcPr>
          <w:p w14:paraId="0F9FCE51" w14:textId="27C46BF6" w:rsidR="002122B0" w:rsidRDefault="00190745" w:rsidP="005E51AE">
            <w:r>
              <w:t>Pathways with confirmed (bold solid arrows), disaffirmed (dashed arrows)</w:t>
            </w:r>
            <w:r w:rsidR="00C3223E">
              <w:t xml:space="preserve">, and unknown (solid arrows) </w:t>
            </w:r>
            <w:r w:rsidR="00821A47">
              <w:t xml:space="preserve">contributions linking </w:t>
            </w:r>
            <w:r>
              <w:t>the previous crop (maize, soybean)</w:t>
            </w:r>
            <w:r w:rsidR="00C3223E">
              <w:t xml:space="preserve"> to the subsequent maize crop yield</w:t>
            </w:r>
            <w:r w:rsidR="00821A47">
              <w:t xml:space="preserve"> </w:t>
            </w:r>
            <w:r w:rsidR="00821A47">
              <w:t>based on literature, statistical models, and/or APSIM modelling</w:t>
            </w:r>
            <w:r>
              <w:t xml:space="preserve">. </w:t>
            </w:r>
          </w:p>
        </w:tc>
      </w:tr>
    </w:tbl>
    <w:p w14:paraId="2756EE59" w14:textId="77777777" w:rsidR="003B19DA" w:rsidRDefault="003B19DA" w:rsidP="005E51AE"/>
    <w:sectPr w:rsidR="003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0DC8"/>
    <w:multiLevelType w:val="hybridMultilevel"/>
    <w:tmpl w:val="E60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775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CFE"/>
    <w:multiLevelType w:val="hybridMultilevel"/>
    <w:tmpl w:val="842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F4B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5354"/>
    <w:multiLevelType w:val="hybridMultilevel"/>
    <w:tmpl w:val="8766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3EEE"/>
    <w:multiLevelType w:val="multilevel"/>
    <w:tmpl w:val="F2D68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F"/>
    <w:rsid w:val="000A0D2D"/>
    <w:rsid w:val="00190745"/>
    <w:rsid w:val="001D4534"/>
    <w:rsid w:val="001D57DF"/>
    <w:rsid w:val="002122B0"/>
    <w:rsid w:val="00220C13"/>
    <w:rsid w:val="00234AEC"/>
    <w:rsid w:val="00240933"/>
    <w:rsid w:val="00277268"/>
    <w:rsid w:val="002E0655"/>
    <w:rsid w:val="002F760E"/>
    <w:rsid w:val="003811F3"/>
    <w:rsid w:val="00395EAB"/>
    <w:rsid w:val="003B09E1"/>
    <w:rsid w:val="003B19DA"/>
    <w:rsid w:val="00421F41"/>
    <w:rsid w:val="00432F5A"/>
    <w:rsid w:val="004735C0"/>
    <w:rsid w:val="004C454A"/>
    <w:rsid w:val="005966D9"/>
    <w:rsid w:val="005E51AE"/>
    <w:rsid w:val="00611852"/>
    <w:rsid w:val="006571EF"/>
    <w:rsid w:val="006E34F1"/>
    <w:rsid w:val="0073743D"/>
    <w:rsid w:val="0077089B"/>
    <w:rsid w:val="007B4DFF"/>
    <w:rsid w:val="007F382B"/>
    <w:rsid w:val="00800A7C"/>
    <w:rsid w:val="00821A47"/>
    <w:rsid w:val="008343C2"/>
    <w:rsid w:val="008822B9"/>
    <w:rsid w:val="00886958"/>
    <w:rsid w:val="008C015E"/>
    <w:rsid w:val="009000BB"/>
    <w:rsid w:val="00960AC1"/>
    <w:rsid w:val="00976276"/>
    <w:rsid w:val="009D3961"/>
    <w:rsid w:val="00A23088"/>
    <w:rsid w:val="00A516C0"/>
    <w:rsid w:val="00A939E0"/>
    <w:rsid w:val="00AA3FBB"/>
    <w:rsid w:val="00AC7897"/>
    <w:rsid w:val="00AD0D08"/>
    <w:rsid w:val="00B05ADB"/>
    <w:rsid w:val="00B2668B"/>
    <w:rsid w:val="00B96A11"/>
    <w:rsid w:val="00C3223E"/>
    <w:rsid w:val="00C467E4"/>
    <w:rsid w:val="00C92E0D"/>
    <w:rsid w:val="00C93C61"/>
    <w:rsid w:val="00CA653A"/>
    <w:rsid w:val="00CC1A42"/>
    <w:rsid w:val="00D25A52"/>
    <w:rsid w:val="00D9048F"/>
    <w:rsid w:val="00D9555C"/>
    <w:rsid w:val="00E27585"/>
    <w:rsid w:val="00F078F7"/>
    <w:rsid w:val="00F109D5"/>
    <w:rsid w:val="00F119D9"/>
    <w:rsid w:val="00F23DBB"/>
    <w:rsid w:val="00FA313E"/>
    <w:rsid w:val="00FE13A5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E77"/>
  <w15:chartTrackingRefBased/>
  <w15:docId w15:val="{0A0B7758-FA5C-4E21-98E8-24D3E3F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EF"/>
    <w:pPr>
      <w:ind w:left="720"/>
      <w:contextualSpacing/>
    </w:pPr>
  </w:style>
  <w:style w:type="paragraph" w:customStyle="1" w:styleId="m-5394878258787082074msolistparagraph">
    <w:name w:val="m_-5394878258787082074msolistparagraph"/>
    <w:basedOn w:val="Normal"/>
    <w:rsid w:val="001D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11</cp:revision>
  <dcterms:created xsi:type="dcterms:W3CDTF">2021-04-28T16:41:00Z</dcterms:created>
  <dcterms:modified xsi:type="dcterms:W3CDTF">2021-04-29T17:11:00Z</dcterms:modified>
</cp:coreProperties>
</file>