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61363B" w14:textId="13C4331B" w:rsidR="005966D9" w:rsidRDefault="00F078F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  <w:r w:rsidRPr="003811F3">
        <w:rPr>
          <w:rFonts w:ascii="Calibri" w:hAnsi="Calibri" w:cs="Calibri"/>
          <w:b/>
          <w:bCs/>
          <w:color w:val="222222"/>
          <w:sz w:val="28"/>
          <w:szCs w:val="28"/>
        </w:rPr>
        <w:t>What do we know about the continuous maize penalty?</w:t>
      </w:r>
    </w:p>
    <w:p w14:paraId="68E9503F" w14:textId="59B87EFD" w:rsidR="00C92E0D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15ECA4A7" w14:textId="2186A25B" w:rsidR="00C92E0D" w:rsidRDefault="00C92E0D" w:rsidP="00C92E0D">
      <w:pPr>
        <w:pStyle w:val="m-5394878258787082074msolistparagraph"/>
        <w:shd w:val="clear" w:color="auto" w:fill="FFFFFF"/>
        <w:spacing w:before="0" w:beforeAutospacing="0" w:after="0" w:afterAutospacing="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156B09EC" w14:textId="5D112C75" w:rsidR="00C92E0D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76E37664" w14:textId="140DEDC4" w:rsidR="00C92E0D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2AB1F373" w14:textId="73F94D79" w:rsidR="00C92E0D" w:rsidRDefault="00C92E0D" w:rsidP="00C92E0D">
      <w:r>
        <w:t xml:space="preserve">The yield reduction from growing maize continuously on the same field has not decreased over time.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14:paraId="485B2FBD" w14:textId="77777777" w:rsidTr="00D51A0D">
        <w:tc>
          <w:tcPr>
            <w:tcW w:w="9350" w:type="dxa"/>
          </w:tcPr>
          <w:p w14:paraId="09060E31" w14:textId="45491DD6" w:rsidR="00C92E0D" w:rsidRDefault="003B19DA" w:rsidP="00D51A0D">
            <w:r>
              <w:rPr>
                <w:noProof/>
              </w:rPr>
              <w:drawing>
                <wp:inline distT="0" distB="0" distL="0" distR="0" wp14:anchorId="210A86F1" wp14:editId="7057BAFE">
                  <wp:extent cx="5943612" cy="4998730"/>
                  <wp:effectExtent l="0" t="0" r="0" b="0"/>
                  <wp:docPr id="7" name="Picture 7" descr="Chart, scatter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icture 7" descr="Chart, scatter chart&#10;&#10;Description automatically generated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12" cy="499873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E0D" w14:paraId="4701ED85" w14:textId="77777777" w:rsidTr="00D51A0D">
        <w:tc>
          <w:tcPr>
            <w:tcW w:w="9350" w:type="dxa"/>
          </w:tcPr>
          <w:p w14:paraId="6D433981" w14:textId="1FD33598" w:rsidR="00C92E0D" w:rsidRDefault="00C92E0D" w:rsidP="00D51A0D">
            <w:r>
              <w:t xml:space="preserve">Grain yields for maize grown </w:t>
            </w:r>
            <w:r w:rsidR="003B19DA">
              <w:t>at high nitrogen fertilization rates (</w:t>
            </w:r>
            <w:r w:rsidR="003B19DA">
              <w:rPr>
                <w:rFonts w:cstheme="minorHAnsi"/>
              </w:rPr>
              <w:t>≥</w:t>
            </w:r>
            <w:r w:rsidR="003B19DA">
              <w:t xml:space="preserve">180 kg </w:t>
            </w:r>
            <w:proofErr w:type="gramStart"/>
            <w:r w:rsidR="003B19DA">
              <w:t>ha-1</w:t>
            </w:r>
            <w:proofErr w:type="gramEnd"/>
            <w:r w:rsidR="003B19DA">
              <w:t>)</w:t>
            </w:r>
            <w:r w:rsidR="003B19DA">
              <w:t xml:space="preserve"> </w:t>
            </w:r>
            <w:r>
              <w:t xml:space="preserve">continuously (yellow triangles), in rotation with soybean (blue circles), and the difference between the rotated and continuous maize (pink squares) at seven Illinois and seven Iowa sites </w:t>
            </w:r>
            <w:r w:rsidR="003B19DA">
              <w:t xml:space="preserve">between </w:t>
            </w:r>
            <w:r>
              <w:t>1999</w:t>
            </w:r>
            <w:r w:rsidR="003B19DA">
              <w:t xml:space="preserve"> and </w:t>
            </w:r>
            <w:r>
              <w:t>2016 for a total of 179 site years</w:t>
            </w:r>
          </w:p>
        </w:tc>
      </w:tr>
    </w:tbl>
    <w:p w14:paraId="56D6CB58" w14:textId="4CA02F0A" w:rsidR="00C92E0D" w:rsidRDefault="00C92E0D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383963EE" w14:textId="0CE63066" w:rsidR="00960AC1" w:rsidRDefault="003B19DA" w:rsidP="00960AC1">
      <w:r>
        <w:t>In any given year, t</w:t>
      </w:r>
      <w:r w:rsidR="00960AC1">
        <w:t>his penalty is composed of both nitrogen-</w:t>
      </w:r>
      <w:r>
        <w:t xml:space="preserve"> and non-nitrogen components which can be determined from the nitrogen-response curve. </w:t>
      </w:r>
    </w:p>
    <w:p w14:paraId="0FEBE558" w14:textId="77777777" w:rsidR="00960AC1" w:rsidRDefault="00960AC1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b/>
          <w:bCs/>
          <w:color w:val="222222"/>
          <w:sz w:val="28"/>
          <w:szCs w:val="28"/>
        </w:rPr>
      </w:pPr>
    </w:p>
    <w:p w14:paraId="0A80E799" w14:textId="04B4F8D2" w:rsidR="00C92E0D" w:rsidRPr="003811F3" w:rsidRDefault="00C92E0D" w:rsidP="00960A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C92E0D" w14:paraId="1A7832B1" w14:textId="77777777" w:rsidTr="00D51A0D">
        <w:tc>
          <w:tcPr>
            <w:tcW w:w="9350" w:type="dxa"/>
          </w:tcPr>
          <w:p w14:paraId="7F3E776B" w14:textId="6B8EC7A9" w:rsidR="00C92E0D" w:rsidRDefault="003B19DA" w:rsidP="00D51A0D">
            <w:r>
              <w:rPr>
                <w:noProof/>
              </w:rPr>
              <w:lastRenderedPageBreak/>
              <w:drawing>
                <wp:inline distT="0" distB="0" distL="0" distR="0" wp14:anchorId="5F8E99BA" wp14:editId="3DB58A1F">
                  <wp:extent cx="4457700" cy="8229600"/>
                  <wp:effectExtent l="0" t="0" r="0" b="0"/>
                  <wp:docPr id="6" name="Picture 6" descr="Chart, surface char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Picture 6" descr="Chart, surface chart&#10;&#10;Description automatically generated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457700" cy="8229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92E0D" w14:paraId="21E3F008" w14:textId="77777777" w:rsidTr="00D51A0D">
        <w:tc>
          <w:tcPr>
            <w:tcW w:w="9350" w:type="dxa"/>
          </w:tcPr>
          <w:p w14:paraId="103D7CA8" w14:textId="0B9BD835" w:rsidR="00C92E0D" w:rsidRDefault="00960AC1" w:rsidP="00D51A0D">
            <w:r>
              <w:lastRenderedPageBreak/>
              <w:t xml:space="preserve">(Top) </w:t>
            </w:r>
            <w:r w:rsidR="003B19DA">
              <w:t xml:space="preserve">Nitrogen response curves from IAX in 2003 with quadratic plateau-estimated agronomically optimum nitrogen rates (AONRs) which are used to estimate the contribution of nitrogen- (N) and other factors to the continuous maize yield penalty. (Bottom) Size of each component by site-year, ordered from largest to smallest non-N yield reduction; if quadratic plateaus failed to fit a given site year’s data the components were deemed undeterminable. Fits for all site years is available in supplementary material. </w:t>
            </w:r>
          </w:p>
        </w:tc>
      </w:tr>
    </w:tbl>
    <w:p w14:paraId="1A7A2F7C" w14:textId="77777777" w:rsidR="00F078F7" w:rsidRDefault="00F078F7" w:rsidP="00F078F7">
      <w:pPr>
        <w:pStyle w:val="m-5394878258787082074msolistparagraph"/>
        <w:shd w:val="clear" w:color="auto" w:fill="FFFFFF"/>
        <w:spacing w:before="0" w:beforeAutospacing="0" w:after="0" w:afterAutospacing="0"/>
        <w:ind w:left="360"/>
        <w:rPr>
          <w:rFonts w:ascii="Calibri" w:hAnsi="Calibri" w:cs="Calibri"/>
          <w:color w:val="222222"/>
          <w:sz w:val="22"/>
          <w:szCs w:val="22"/>
        </w:rPr>
      </w:pPr>
    </w:p>
    <w:p w14:paraId="0318FCA0" w14:textId="70AD9D4E" w:rsidR="005E51AE" w:rsidRDefault="003B19DA" w:rsidP="005E51AE">
      <w:r>
        <w:t xml:space="preserve">On average, </w:t>
      </w:r>
      <w:r>
        <w:t xml:space="preserve">the non-N yield reduction from growing corn continuously is 14% of the rotated maize </w:t>
      </w:r>
      <w:proofErr w:type="gramStart"/>
      <w:r>
        <w:t>yield, but</w:t>
      </w:r>
      <w:proofErr w:type="gramEnd"/>
      <w:r>
        <w:t xml:space="preserve"> varied from 0-.</w:t>
      </w:r>
    </w:p>
    <w:p w14:paraId="4F789D11" w14:textId="223A0823" w:rsidR="003B19DA" w:rsidRDefault="003B19DA" w:rsidP="005E51A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3B19DA" w14:paraId="1FED720F" w14:textId="77777777" w:rsidTr="003B19DA">
        <w:tc>
          <w:tcPr>
            <w:tcW w:w="9350" w:type="dxa"/>
          </w:tcPr>
          <w:p w14:paraId="07FA1467" w14:textId="77777777" w:rsidR="003B19DA" w:rsidRDefault="003B19DA" w:rsidP="005E51AE"/>
        </w:tc>
      </w:tr>
      <w:tr w:rsidR="003B19DA" w14:paraId="19080963" w14:textId="77777777" w:rsidTr="003B19DA">
        <w:tc>
          <w:tcPr>
            <w:tcW w:w="9350" w:type="dxa"/>
          </w:tcPr>
          <w:p w14:paraId="733D7D97" w14:textId="77777777" w:rsidR="003B19DA" w:rsidRDefault="003B19DA" w:rsidP="005E51AE"/>
        </w:tc>
      </w:tr>
    </w:tbl>
    <w:p w14:paraId="2756EE59" w14:textId="77777777" w:rsidR="003B19DA" w:rsidRDefault="003B19DA" w:rsidP="005E51AE"/>
    <w:p w14:paraId="573693B3" w14:textId="63CD0B53" w:rsidR="003B19DA" w:rsidRDefault="003B19DA" w:rsidP="005E51AE"/>
    <w:p w14:paraId="4C384C10" w14:textId="77777777" w:rsidR="003B19DA" w:rsidRDefault="003B19DA" w:rsidP="005E51AE"/>
    <w:p w14:paraId="2228BF37" w14:textId="37A32C8C" w:rsidR="00F109D5" w:rsidRDefault="00F109D5" w:rsidP="00F119D9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</w:t>
      </w:r>
      <w:r w:rsidR="008343C2">
        <w:rPr>
          <w:b/>
          <w:bCs/>
          <w:sz w:val="28"/>
          <w:szCs w:val="28"/>
        </w:rPr>
        <w:t xml:space="preserve"> stuff</w:t>
      </w:r>
    </w:p>
    <w:p w14:paraId="2990585F" w14:textId="2E542910" w:rsidR="004735C0" w:rsidRDefault="00220C13" w:rsidP="004735C0">
      <w:r>
        <w:t xml:space="preserve">Nitrogen-rate trials provide a means of assessing a </w:t>
      </w:r>
      <w:r w:rsidR="003811F3">
        <w:t>maize</w:t>
      </w:r>
      <w:r>
        <w:t xml:space="preserve"> crop’s agronomically-optimum nitrogen rate (AONR), which occurs at the point where application of additional nitrogen fertilizer does not </w:t>
      </w:r>
      <w:r w:rsidR="00F119D9">
        <w:t xml:space="preserve">translate to </w:t>
      </w:r>
      <w:r w:rsidR="004735C0">
        <w:t xml:space="preserve">increases in grain </w:t>
      </w:r>
      <w:r>
        <w:t xml:space="preserve">yield. </w:t>
      </w:r>
      <w:r w:rsidR="00F119D9">
        <w:t>For the past 20 years</w:t>
      </w:r>
      <w:r w:rsidR="004735C0">
        <w:t>,</w:t>
      </w:r>
      <w:r w:rsidR="00F119D9">
        <w:t xml:space="preserve"> t</w:t>
      </w:r>
      <w:r>
        <w:t xml:space="preserve">wo </w:t>
      </w:r>
      <w:r w:rsidR="003811F3">
        <w:t>maize</w:t>
      </w:r>
      <w:r>
        <w:t xml:space="preserve">-based systems have been </w:t>
      </w:r>
      <w:r w:rsidR="00F119D9">
        <w:t>included in Iowa and Illinois university</w:t>
      </w:r>
      <w:r>
        <w:t xml:space="preserve"> </w:t>
      </w:r>
      <w:r w:rsidR="00F119D9">
        <w:t>nitrogen</w:t>
      </w:r>
      <w:r>
        <w:t xml:space="preserve"> rate trials: </w:t>
      </w:r>
      <w:r w:rsidR="003811F3">
        <w:t>maize</w:t>
      </w:r>
      <w:r>
        <w:t xml:space="preserve"> grown in alteration with soybean (rotated </w:t>
      </w:r>
      <w:r w:rsidR="003811F3">
        <w:t>maize</w:t>
      </w:r>
      <w:r>
        <w:t xml:space="preserve">), and </w:t>
      </w:r>
      <w:r w:rsidR="003811F3">
        <w:t>maize</w:t>
      </w:r>
      <w:r>
        <w:t xml:space="preserve"> grown continuously (continuous </w:t>
      </w:r>
      <w:r w:rsidR="003811F3">
        <w:t>maize</w:t>
      </w:r>
      <w:r>
        <w:t xml:space="preserve">). </w:t>
      </w:r>
      <w:proofErr w:type="gramStart"/>
      <w:r>
        <w:t>In a given year</w:t>
      </w:r>
      <w:proofErr w:type="gramEnd"/>
      <w:r>
        <w:t xml:space="preserve">, at </w:t>
      </w:r>
      <w:r w:rsidR="004735C0">
        <w:t xml:space="preserve">the </w:t>
      </w:r>
      <w:r>
        <w:t xml:space="preserve">rotated </w:t>
      </w:r>
      <w:r w:rsidR="003811F3">
        <w:t>maize</w:t>
      </w:r>
      <w:r>
        <w:t xml:space="preserve">’s AONR, continuous </w:t>
      </w:r>
      <w:r w:rsidR="003811F3">
        <w:t>maize</w:t>
      </w:r>
      <w:r>
        <w:t xml:space="preserve"> is likely to yield less </w:t>
      </w:r>
      <w:r w:rsidR="004735C0">
        <w:t xml:space="preserve">than the rotated </w:t>
      </w:r>
      <w:r w:rsidR="003811F3">
        <w:t>maize</w:t>
      </w:r>
      <w:r w:rsidR="004735C0">
        <w:t xml:space="preserve">. </w:t>
      </w:r>
      <w:r>
        <w:t xml:space="preserve">This yield gap can be partially overcome </w:t>
      </w:r>
      <w:r w:rsidR="004735C0">
        <w:t>by adding</w:t>
      </w:r>
      <w:r>
        <w:t xml:space="preserve"> additional </w:t>
      </w:r>
      <w:r w:rsidR="003811F3">
        <w:t>nitrogen (</w:t>
      </w:r>
      <w:r>
        <w:t>N</w:t>
      </w:r>
      <w:r w:rsidR="003811F3">
        <w:t>)</w:t>
      </w:r>
      <w:r w:rsidR="004735C0">
        <w:t xml:space="preserve"> </w:t>
      </w:r>
      <w:r w:rsidR="003811F3">
        <w:t xml:space="preserve">fertilization </w:t>
      </w:r>
      <w:r w:rsidR="004735C0">
        <w:t>(~50 kg N/ha, cite)</w:t>
      </w:r>
      <w:r>
        <w:t xml:space="preserve"> </w:t>
      </w:r>
      <w:r w:rsidR="004735C0">
        <w:t xml:space="preserve">to the continuous </w:t>
      </w:r>
      <w:r w:rsidR="003811F3">
        <w:t>maize</w:t>
      </w:r>
      <w:r w:rsidR="004735C0">
        <w:t xml:space="preserve"> system</w:t>
      </w:r>
      <w:r>
        <w:t xml:space="preserve">. </w:t>
      </w:r>
      <w:r w:rsidR="008822B9">
        <w:t xml:space="preserve">However, even at high </w:t>
      </w:r>
      <w:r w:rsidR="003811F3">
        <w:t>N</w:t>
      </w:r>
      <w:r w:rsidR="008822B9">
        <w:t xml:space="preserve"> rates,</w:t>
      </w:r>
      <w:r w:rsidR="004735C0">
        <w:t xml:space="preserve"> </w:t>
      </w:r>
      <w:r w:rsidR="00A516C0">
        <w:t>continuous</w:t>
      </w:r>
      <w:r w:rsidR="004735C0">
        <w:t xml:space="preserve"> </w:t>
      </w:r>
      <w:r w:rsidR="003811F3">
        <w:t>maize</w:t>
      </w:r>
      <w:r w:rsidR="004735C0">
        <w:t xml:space="preserve"> will achieve </w:t>
      </w:r>
      <w:r w:rsidR="00A516C0">
        <w:t>lower</w:t>
      </w:r>
      <w:r w:rsidR="004735C0">
        <w:t xml:space="preserve"> maximum yield levels compared to</w:t>
      </w:r>
      <w:r w:rsidR="008822B9">
        <w:t xml:space="preserve"> </w:t>
      </w:r>
      <w:r w:rsidR="00A516C0">
        <w:t>rotated</w:t>
      </w:r>
      <w:r w:rsidR="008822B9">
        <w:t xml:space="preserve"> </w:t>
      </w:r>
      <w:r w:rsidR="003811F3">
        <w:t>maize</w:t>
      </w:r>
      <w:r w:rsidR="008822B9">
        <w:t xml:space="preserve"> (CITE). </w:t>
      </w:r>
      <w:r>
        <w:t>This difference in the maximum yields attainable in rotated- and continuous-</w:t>
      </w:r>
      <w:r w:rsidR="003811F3">
        <w:t>maize</w:t>
      </w:r>
      <w:r>
        <w:t xml:space="preserve"> systems</w:t>
      </w:r>
      <w:r w:rsidR="00CA653A">
        <w:t xml:space="preserve"> is referred to as the ‘continuous </w:t>
      </w:r>
      <w:r w:rsidR="003811F3">
        <w:t>maize</w:t>
      </w:r>
      <w:r w:rsidR="00CA653A">
        <w:t xml:space="preserve"> penalty’.</w:t>
      </w:r>
      <w:r w:rsidR="00F119D9">
        <w:t xml:space="preserve"> With an estimated XX hectares of land in continuous </w:t>
      </w:r>
      <w:r w:rsidR="003811F3">
        <w:t>maize</w:t>
      </w:r>
      <w:r w:rsidR="00F119D9">
        <w:t xml:space="preserve"> acres, the penalty equates to XX in lost grain production, or $XX. </w:t>
      </w:r>
      <w:r w:rsidR="004735C0">
        <w:t xml:space="preserve">It is also a major issue for </w:t>
      </w:r>
      <w:r w:rsidR="003811F3">
        <w:t xml:space="preserve">process-based </w:t>
      </w:r>
      <w:r w:rsidR="004735C0">
        <w:t>crop models</w:t>
      </w:r>
      <w:r w:rsidR="003811F3">
        <w:t xml:space="preserve"> (</w:t>
      </w:r>
      <w:proofErr w:type="gramStart"/>
      <w:r w:rsidR="003811F3">
        <w:t>e.g.</w:t>
      </w:r>
      <w:proofErr w:type="gramEnd"/>
      <w:r w:rsidR="003811F3">
        <w:t xml:space="preserve"> DSSAT, EPIC, APSIM)</w:t>
      </w:r>
      <w:r w:rsidR="004735C0">
        <w:t xml:space="preserve">, as although it is a repeatable, observable, </w:t>
      </w:r>
      <w:r w:rsidR="003811F3">
        <w:t xml:space="preserve">and </w:t>
      </w:r>
      <w:r w:rsidR="004735C0">
        <w:t xml:space="preserve">well-documented phenomena, the underlying mechanisms are unknown. The inability of crop models to </w:t>
      </w:r>
      <w:r w:rsidR="003811F3">
        <w:t>incorporate</w:t>
      </w:r>
      <w:r w:rsidR="004735C0">
        <w:t xml:space="preserve"> th</w:t>
      </w:r>
      <w:r w:rsidR="003811F3">
        <w:t>is</w:t>
      </w:r>
      <w:r w:rsidR="004735C0">
        <w:t xml:space="preserve"> yield penalty results in consistent over-predictions of continuous </w:t>
      </w:r>
      <w:r w:rsidR="003811F3">
        <w:t>maize</w:t>
      </w:r>
      <w:r w:rsidR="004735C0">
        <w:t xml:space="preserve"> yields, which has </w:t>
      </w:r>
      <w:r w:rsidR="003811F3">
        <w:t xml:space="preserve">significant </w:t>
      </w:r>
      <w:r w:rsidR="004735C0">
        <w:t xml:space="preserve">implications when predicting long-term impacts of cropping systems on carbon balances, </w:t>
      </w:r>
      <w:r w:rsidR="00A516C0">
        <w:t>nutrient leaching</w:t>
      </w:r>
      <w:r w:rsidR="004735C0">
        <w:t xml:space="preserve">, residue cover, and </w:t>
      </w:r>
      <w:r w:rsidR="003811F3">
        <w:t>fertilizer requirements</w:t>
      </w:r>
      <w:r w:rsidR="004735C0">
        <w:t xml:space="preserve"> (CITE)</w:t>
      </w:r>
      <w:r w:rsidR="003811F3">
        <w:t>, as well as when considering impacts of climate change on crop production (CITE)</w:t>
      </w:r>
      <w:r w:rsidR="004735C0">
        <w:t xml:space="preserve">. </w:t>
      </w:r>
    </w:p>
    <w:p w14:paraId="1D640ADA" w14:textId="0AC0C28A" w:rsidR="00AC7897" w:rsidRDefault="003811F3" w:rsidP="005E51AE">
      <w:r>
        <w:t>The over-arching problems associated with understanding underlying mechanisms driving the continuous maize penalty are as follows</w:t>
      </w:r>
      <w:r w:rsidR="00AC7897">
        <w:t>:</w:t>
      </w:r>
    </w:p>
    <w:p w14:paraId="53CF64FA" w14:textId="57888F23" w:rsidR="00AC7897" w:rsidRDefault="00AC7897" w:rsidP="00AC7897">
      <w:pPr>
        <w:pStyle w:val="ListParagraph"/>
        <w:numPr>
          <w:ilvl w:val="0"/>
          <w:numId w:val="5"/>
        </w:numPr>
      </w:pPr>
      <w:r>
        <w:t>It is unknown whether rotated</w:t>
      </w:r>
      <w:r w:rsidR="001D57DF">
        <w:t>-</w:t>
      </w:r>
      <w:r>
        <w:t xml:space="preserve"> or continuous</w:t>
      </w:r>
      <w:r w:rsidR="001D57DF">
        <w:t>-</w:t>
      </w:r>
      <w:r w:rsidR="003811F3">
        <w:t>maize</w:t>
      </w:r>
      <w:r>
        <w:t xml:space="preserve"> yields are driving the yield gap. This is an important distinction</w:t>
      </w:r>
      <w:r w:rsidR="001D57DF">
        <w:t>,</w:t>
      </w:r>
      <w:r>
        <w:t xml:space="preserve"> as it </w:t>
      </w:r>
      <w:r w:rsidR="003811F3">
        <w:t>signifies</w:t>
      </w:r>
      <w:r>
        <w:t xml:space="preserve"> whether rotating </w:t>
      </w:r>
      <w:r w:rsidR="003811F3">
        <w:t>maize</w:t>
      </w:r>
      <w:r>
        <w:t xml:space="preserve"> is increasing the yield potential of the environment, or if continuously growing </w:t>
      </w:r>
      <w:r w:rsidR="003811F3">
        <w:t>maize</w:t>
      </w:r>
      <w:r>
        <w:t xml:space="preserve"> is preventing the crop from achieving its yield potential. The two mechanisms have different implications for both management and modelling, and there has been little work to elucidate this distinction.</w:t>
      </w:r>
    </w:p>
    <w:p w14:paraId="7DFCA914" w14:textId="5F773C95" w:rsidR="00277268" w:rsidRDefault="00277268" w:rsidP="00277268">
      <w:pPr>
        <w:pStyle w:val="ListParagraph"/>
        <w:numPr>
          <w:ilvl w:val="0"/>
          <w:numId w:val="5"/>
        </w:numPr>
      </w:pPr>
      <w:r>
        <w:lastRenderedPageBreak/>
        <w:t xml:space="preserve">It is unknown whether genetic improvements over the past 20 years have led to changes in the continuous </w:t>
      </w:r>
      <w:r w:rsidR="003811F3">
        <w:t>maize</w:t>
      </w:r>
      <w:r>
        <w:t xml:space="preserve"> penalty. Understanding trends over time could help shed light on possible mechanisms, leading to model improvement. </w:t>
      </w:r>
    </w:p>
    <w:p w14:paraId="2417A8FD" w14:textId="468B7796" w:rsidR="00AC7897" w:rsidRDefault="00AC7897" w:rsidP="00AC7897">
      <w:pPr>
        <w:pStyle w:val="ListParagraph"/>
        <w:numPr>
          <w:ilvl w:val="0"/>
          <w:numId w:val="5"/>
        </w:numPr>
      </w:pPr>
      <w:r>
        <w:t xml:space="preserve">The penalty can be conceptualized as consisting of two components: one component can be overcome through nitrogen fertilization, while the other cannot. </w:t>
      </w:r>
      <w:r w:rsidR="00277268">
        <w:t xml:space="preserve">Major crop models (APSIM, DSSAT, EPIC) can only capture the nitrogen-derived component. </w:t>
      </w:r>
      <w:r>
        <w:t>The relationship between the</w:t>
      </w:r>
      <w:r w:rsidR="00277268">
        <w:t xml:space="preserve"> two</w:t>
      </w:r>
      <w:r>
        <w:t xml:space="preserve"> components is unclear, and whether the</w:t>
      </w:r>
      <w:r w:rsidR="00277268">
        <w:t xml:space="preserve">re are independent drivers of each component </w:t>
      </w:r>
      <w:r>
        <w:t xml:space="preserve">has implications for both management and modelling.   </w:t>
      </w:r>
    </w:p>
    <w:p w14:paraId="7DB8CFB4" w14:textId="7BCF04C9" w:rsidR="00AC7897" w:rsidRDefault="00AC7897" w:rsidP="00AC7897">
      <w:pPr>
        <w:pStyle w:val="ListParagraph"/>
        <w:numPr>
          <w:ilvl w:val="0"/>
          <w:numId w:val="5"/>
        </w:numPr>
      </w:pPr>
      <w:r>
        <w:t xml:space="preserve">To our knowledge, there </w:t>
      </w:r>
      <w:r w:rsidR="003811F3">
        <w:t>has been</w:t>
      </w:r>
      <w:r>
        <w:t xml:space="preserve"> no conceptual diagram </w:t>
      </w:r>
      <w:r w:rsidR="003811F3">
        <w:t xml:space="preserve">proposed </w:t>
      </w:r>
      <w:r>
        <w:t xml:space="preserve">for organizing potential mechanisms contributing to the continuous </w:t>
      </w:r>
      <w:r w:rsidR="003811F3">
        <w:t>maize</w:t>
      </w:r>
      <w:r>
        <w:t xml:space="preserve"> penalty into an actionable framework. Additionally, the feasibility of </w:t>
      </w:r>
      <w:r w:rsidR="00277268">
        <w:t xml:space="preserve">proposed mechanisms has not been investigated. </w:t>
      </w:r>
      <w:r>
        <w:t xml:space="preserve"> </w:t>
      </w:r>
    </w:p>
    <w:p w14:paraId="2303D939" w14:textId="6759EDCC" w:rsidR="002F760E" w:rsidRDefault="002F760E" w:rsidP="00CA653A">
      <w:r>
        <w:t>To address these knowledge gaps, we used XXX site-years of nitrogen rate trials in Iowa and Illinois (</w:t>
      </w:r>
      <w:proofErr w:type="spellStart"/>
      <w:r>
        <w:t>i</w:t>
      </w:r>
      <w:proofErr w:type="spellEnd"/>
      <w:r>
        <w:t xml:space="preserve">) to explore the variation in the </w:t>
      </w:r>
      <w:r w:rsidR="001D57DF">
        <w:t>two</w:t>
      </w:r>
      <w:r>
        <w:t xml:space="preserve"> component</w:t>
      </w:r>
      <w:r w:rsidR="001D57DF">
        <w:t>s (nitrogen, non-nitrogen)</w:t>
      </w:r>
      <w:r>
        <w:t xml:space="preserve"> of the continuous </w:t>
      </w:r>
      <w:r w:rsidR="003811F3">
        <w:t>maize</w:t>
      </w:r>
      <w:r>
        <w:t xml:space="preserve"> penalty, and (ii) to calibrate the Agricultural Production Systems </w:t>
      </w:r>
      <w:proofErr w:type="spellStart"/>
      <w:r>
        <w:t>Simuator</w:t>
      </w:r>
      <w:proofErr w:type="spellEnd"/>
      <w:r>
        <w:t xml:space="preserve"> (APSIM) model to explore the feasibility of </w:t>
      </w:r>
      <w:r w:rsidR="001D57DF">
        <w:t xml:space="preserve">proposed </w:t>
      </w:r>
      <w:r>
        <w:t>non-</w:t>
      </w:r>
      <w:r w:rsidR="001D57DF">
        <w:t>nitrogen</w:t>
      </w:r>
      <w:r>
        <w:t xml:space="preserve"> contributions to the penalty. </w:t>
      </w:r>
    </w:p>
    <w:p w14:paraId="5EC1C4FD" w14:textId="3BE7FDE4" w:rsidR="00CA653A" w:rsidRDefault="003811F3" w:rsidP="00CA653A">
      <w:r>
        <w:t>Specifically, o</w:t>
      </w:r>
      <w:r w:rsidR="00CA653A">
        <w:t>ur objectives were to:</w:t>
      </w:r>
    </w:p>
    <w:p w14:paraId="68C8E836" w14:textId="5DBD603C" w:rsidR="002F760E" w:rsidRDefault="002F760E" w:rsidP="00CA653A">
      <w:pPr>
        <w:pStyle w:val="ListParagraph"/>
        <w:numPr>
          <w:ilvl w:val="0"/>
          <w:numId w:val="1"/>
        </w:numPr>
      </w:pPr>
      <w:r>
        <w:t xml:space="preserve">Explore the trends in the continuous </w:t>
      </w:r>
      <w:r w:rsidR="003811F3">
        <w:t>maize</w:t>
      </w:r>
      <w:r>
        <w:t xml:space="preserve"> penalty over the past 20 </w:t>
      </w:r>
      <w:proofErr w:type="gramStart"/>
      <w:r>
        <w:t>years</w:t>
      </w:r>
      <w:proofErr w:type="gramEnd"/>
    </w:p>
    <w:p w14:paraId="3A5DA44A" w14:textId="77777777" w:rsidR="00FA313E" w:rsidRDefault="00FA313E" w:rsidP="00800A7C"/>
    <w:p w14:paraId="51F4E04D" w14:textId="74969D60" w:rsidR="00FA313E" w:rsidRDefault="00FA313E" w:rsidP="00800A7C"/>
    <w:p w14:paraId="51206050" w14:textId="77777777" w:rsidR="00FA313E" w:rsidRDefault="00FA313E" w:rsidP="00800A7C"/>
    <w:p w14:paraId="061CE3F1" w14:textId="357483E6" w:rsidR="00800A7C" w:rsidRDefault="00800A7C" w:rsidP="00800A7C">
      <w:r>
        <w:t xml:space="preserve">High N, gap over time, </w:t>
      </w:r>
      <w:proofErr w:type="spellStart"/>
      <w:r>
        <w:t>cont</w:t>
      </w:r>
      <w:proofErr w:type="spellEnd"/>
      <w:r>
        <w:t xml:space="preserve"> corn yields are driving the gap </w:t>
      </w:r>
      <w:r>
        <w:sym w:font="Wingdings" w:char="F0E0"/>
      </w:r>
      <w:r>
        <w:t xml:space="preserve"> should focus on </w:t>
      </w:r>
      <w:proofErr w:type="spellStart"/>
      <w:r>
        <w:t>contin</w:t>
      </w:r>
      <w:proofErr w:type="spellEnd"/>
      <w:r>
        <w:t xml:space="preserve"> corn in model tweaks. Add definitions of continuous corn penalty, vs rotation effect. Make small viz. X% is nitrogen related, x% not.  </w:t>
      </w:r>
      <w:r w:rsidR="00B96A11">
        <w:t>Fig – gap not changing over time (raw or %)</w:t>
      </w:r>
    </w:p>
    <w:p w14:paraId="4AAEF534" w14:textId="213FB573" w:rsidR="00CA653A" w:rsidRDefault="00CA653A" w:rsidP="00CA653A">
      <w:pPr>
        <w:pStyle w:val="ListParagraph"/>
        <w:numPr>
          <w:ilvl w:val="0"/>
          <w:numId w:val="1"/>
        </w:numPr>
      </w:pPr>
      <w:r>
        <w:t xml:space="preserve">Quantify variation </w:t>
      </w:r>
      <w:r w:rsidR="00800A7C">
        <w:t xml:space="preserve">in </w:t>
      </w:r>
      <w:r>
        <w:t xml:space="preserve">non-nitrogen components of the continuous maize </w:t>
      </w:r>
      <w:proofErr w:type="gramStart"/>
      <w:r>
        <w:t>penalty</w:t>
      </w:r>
      <w:proofErr w:type="gramEnd"/>
      <w:r>
        <w:t xml:space="preserve"> </w:t>
      </w:r>
    </w:p>
    <w:p w14:paraId="6E120AF7" w14:textId="4D7A2C9E" w:rsidR="00800A7C" w:rsidRDefault="00800A7C" w:rsidP="00800A7C">
      <w:r>
        <w:t xml:space="preserve">They are not related. % env and % site for non-nitrogen component. Rain 2 weeks before. Not residue. </w:t>
      </w:r>
    </w:p>
    <w:p w14:paraId="630E9358" w14:textId="3971EC49" w:rsidR="00B96A11" w:rsidRDefault="00B96A11" w:rsidP="00800A7C">
      <w:r>
        <w:t>Proposed hypothesis, citation(s). Conceptual figure? Statistical model results?</w:t>
      </w:r>
    </w:p>
    <w:p w14:paraId="1903C258" w14:textId="33663EC4" w:rsidR="00CA653A" w:rsidRDefault="00B96A11" w:rsidP="00B96A11">
      <w:pPr>
        <w:pStyle w:val="ListParagraph"/>
        <w:numPr>
          <w:ilvl w:val="0"/>
          <w:numId w:val="1"/>
        </w:numPr>
      </w:pPr>
      <w:r>
        <w:t xml:space="preserve">Model exploration study + directions for future research </w:t>
      </w:r>
    </w:p>
    <w:p w14:paraId="40436B75" w14:textId="0B68CAEC" w:rsidR="00CA653A" w:rsidRDefault="00B96A11" w:rsidP="00B96A11">
      <w:r>
        <w:t xml:space="preserve">Sensitivity stuff scenario analysis fig.  We need residue </w:t>
      </w:r>
      <w:proofErr w:type="spellStart"/>
      <w:r>
        <w:t>msmts</w:t>
      </w:r>
      <w:proofErr w:type="spellEnd"/>
      <w:r>
        <w:t xml:space="preserve"> to do path </w:t>
      </w:r>
      <w:proofErr w:type="gramStart"/>
      <w:r>
        <w:t>analysis</w:t>
      </w:r>
      <w:proofErr w:type="gramEnd"/>
    </w:p>
    <w:p w14:paraId="4F7FCA37" w14:textId="77777777" w:rsidR="00B96A11" w:rsidRDefault="00B96A11" w:rsidP="00B96A11"/>
    <w:p w14:paraId="6A91B8BD" w14:textId="63730939" w:rsidR="004735C0" w:rsidRDefault="004735C0" w:rsidP="004735C0"/>
    <w:p w14:paraId="6822AF6D" w14:textId="77777777" w:rsidR="004735C0" w:rsidRDefault="004735C0" w:rsidP="004735C0"/>
    <w:p w14:paraId="3ACF40F6" w14:textId="71C27F13" w:rsidR="004735C0" w:rsidRDefault="004735C0" w:rsidP="004735C0">
      <w:r>
        <w:t>What is driving the gap</w:t>
      </w:r>
      <w:r w:rsidR="003811F3">
        <w:t xml:space="preserve"> + g</w:t>
      </w:r>
      <w:r>
        <w:t xml:space="preserve">ap over </w:t>
      </w:r>
      <w:proofErr w:type="gramStart"/>
      <w:r>
        <w:t>time</w:t>
      </w:r>
      <w:proofErr w:type="gramEnd"/>
    </w:p>
    <w:p w14:paraId="3BFBF269" w14:textId="77777777" w:rsidR="004735C0" w:rsidRDefault="004735C0" w:rsidP="004735C0">
      <w:r>
        <w:t>Two components</w:t>
      </w:r>
    </w:p>
    <w:p w14:paraId="4B8F8634" w14:textId="77777777" w:rsidR="004735C0" w:rsidRDefault="004735C0" w:rsidP="004735C0">
      <w:r>
        <w:t>Hypothesis testing with models</w:t>
      </w:r>
    </w:p>
    <w:p w14:paraId="4F35B6E2" w14:textId="44899481" w:rsidR="004735C0" w:rsidRDefault="003811F3" w:rsidP="004735C0">
      <w:r>
        <w:lastRenderedPageBreak/>
        <w:t>Future efforts</w:t>
      </w:r>
    </w:p>
    <w:sectPr w:rsidR="004735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C90DC8"/>
    <w:multiLevelType w:val="hybridMultilevel"/>
    <w:tmpl w:val="E604E2B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DE5775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722CFE"/>
    <w:multiLevelType w:val="hybridMultilevel"/>
    <w:tmpl w:val="8424F6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E66F4B"/>
    <w:multiLevelType w:val="hybridMultilevel"/>
    <w:tmpl w:val="622A7AD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1F5354"/>
    <w:multiLevelType w:val="hybridMultilevel"/>
    <w:tmpl w:val="8766E5E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2813EEE"/>
    <w:multiLevelType w:val="multilevel"/>
    <w:tmpl w:val="F2D689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5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71EF"/>
    <w:rsid w:val="000A0D2D"/>
    <w:rsid w:val="001D4534"/>
    <w:rsid w:val="001D57DF"/>
    <w:rsid w:val="00220C13"/>
    <w:rsid w:val="00234AEC"/>
    <w:rsid w:val="00277268"/>
    <w:rsid w:val="002E0655"/>
    <w:rsid w:val="002F760E"/>
    <w:rsid w:val="003811F3"/>
    <w:rsid w:val="003B09E1"/>
    <w:rsid w:val="003B19DA"/>
    <w:rsid w:val="00421F41"/>
    <w:rsid w:val="00432F5A"/>
    <w:rsid w:val="004735C0"/>
    <w:rsid w:val="004C454A"/>
    <w:rsid w:val="005966D9"/>
    <w:rsid w:val="005E51AE"/>
    <w:rsid w:val="00611852"/>
    <w:rsid w:val="006571EF"/>
    <w:rsid w:val="0073743D"/>
    <w:rsid w:val="00800A7C"/>
    <w:rsid w:val="008343C2"/>
    <w:rsid w:val="008822B9"/>
    <w:rsid w:val="00886958"/>
    <w:rsid w:val="008C015E"/>
    <w:rsid w:val="009000BB"/>
    <w:rsid w:val="00960AC1"/>
    <w:rsid w:val="00976276"/>
    <w:rsid w:val="00A516C0"/>
    <w:rsid w:val="00A939E0"/>
    <w:rsid w:val="00AA3FBB"/>
    <w:rsid w:val="00AC7897"/>
    <w:rsid w:val="00AD0D08"/>
    <w:rsid w:val="00B05ADB"/>
    <w:rsid w:val="00B2668B"/>
    <w:rsid w:val="00B96A11"/>
    <w:rsid w:val="00C467E4"/>
    <w:rsid w:val="00C92E0D"/>
    <w:rsid w:val="00C93C61"/>
    <w:rsid w:val="00CA653A"/>
    <w:rsid w:val="00D25A52"/>
    <w:rsid w:val="00D9048F"/>
    <w:rsid w:val="00D9555C"/>
    <w:rsid w:val="00F078F7"/>
    <w:rsid w:val="00F109D5"/>
    <w:rsid w:val="00F119D9"/>
    <w:rsid w:val="00FA313E"/>
    <w:rsid w:val="00FE13A5"/>
    <w:rsid w:val="00FE6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21EE77"/>
  <w15:chartTrackingRefBased/>
  <w15:docId w15:val="{0A0B7758-FA5C-4E21-98E8-24D3E3F936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71E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571EF"/>
    <w:pPr>
      <w:ind w:left="720"/>
      <w:contextualSpacing/>
    </w:pPr>
  </w:style>
  <w:style w:type="paragraph" w:customStyle="1" w:styleId="m-5394878258787082074msolistparagraph">
    <w:name w:val="m_-5394878258787082074msolistparagraph"/>
    <w:basedOn w:val="Normal"/>
    <w:rsid w:val="001D45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39"/>
    <w:rsid w:val="00FA313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2813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748</TotalTime>
  <Pages>1</Pages>
  <Words>853</Words>
  <Characters>4866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Nichols, Virginia A [AGRON]</dc:creator>
  <cp:keywords/>
  <dc:description/>
  <cp:lastModifiedBy>Nichols, Virginia A [AGRON]</cp:lastModifiedBy>
  <cp:revision>8</cp:revision>
  <dcterms:created xsi:type="dcterms:W3CDTF">2021-03-30T17:48:00Z</dcterms:created>
  <dcterms:modified xsi:type="dcterms:W3CDTF">2021-04-27T03:15:00Z</dcterms:modified>
</cp:coreProperties>
</file>