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9E101" w14:textId="731F48EA" w:rsidR="00265268" w:rsidRDefault="00265268" w:rsidP="005E51AE">
      <w:pPr>
        <w:rPr>
          <w:sz w:val="24"/>
          <w:szCs w:val="24"/>
        </w:rPr>
      </w:pPr>
      <w:bookmarkStart w:id="0" w:name="_GoBack"/>
      <w:bookmarkEnd w:id="0"/>
      <w:r>
        <w:rPr>
          <w:noProof/>
          <w:sz w:val="24"/>
          <w:szCs w:val="24"/>
        </w:rPr>
        <w:drawing>
          <wp:inline distT="0" distB="0" distL="0" distR="0" wp14:anchorId="123D3F95" wp14:editId="4DEA2AE4">
            <wp:extent cx="5943600" cy="459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gap-smy-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p>
    <w:p w14:paraId="5FBB0AAE" w14:textId="073F967B" w:rsidR="004814D6" w:rsidRDefault="004814D6" w:rsidP="005E51AE">
      <w:pPr>
        <w:rPr>
          <w:sz w:val="24"/>
          <w:szCs w:val="24"/>
        </w:rPr>
      </w:pPr>
    </w:p>
    <w:p w14:paraId="2D7C92AC" w14:textId="1F13ADD9" w:rsidR="004814D6" w:rsidRDefault="004814D6" w:rsidP="005E51AE">
      <w:pPr>
        <w:rPr>
          <w:sz w:val="24"/>
          <w:szCs w:val="24"/>
        </w:rPr>
      </w:pPr>
    </w:p>
    <w:p w14:paraId="51011DBF" w14:textId="77777777" w:rsidR="004814D6" w:rsidRPr="001D7219" w:rsidRDefault="004814D6" w:rsidP="005E51AE">
      <w:pPr>
        <w:rPr>
          <w:sz w:val="24"/>
          <w:szCs w:val="24"/>
        </w:rPr>
      </w:pPr>
    </w:p>
    <w:p w14:paraId="185A5827" w14:textId="42A86AF3" w:rsidR="00AE0F0A" w:rsidRDefault="001178B4" w:rsidP="00AE0F0A">
      <w:pPr>
        <w:keepNext/>
      </w:pPr>
      <w:r>
        <w:rPr>
          <w:noProof/>
        </w:rPr>
        <w:lastRenderedPageBreak/>
        <w:drawing>
          <wp:inline distT="0" distB="0" distL="0" distR="0" wp14:anchorId="521BD5DA" wp14:editId="0AD354C5">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apsim-oat-windmi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46B49F2" w14:textId="230AF46A" w:rsidR="00E27585" w:rsidRPr="001D7219" w:rsidRDefault="00AE0F0A" w:rsidP="00AE0F0A">
      <w:pPr>
        <w:pStyle w:val="Caption"/>
        <w:rPr>
          <w:sz w:val="24"/>
          <w:szCs w:val="24"/>
        </w:rPr>
      </w:pPr>
      <w:bookmarkStart w:id="1" w:name="_Ref76632762"/>
      <w:bookmarkStart w:id="2" w:name="_Ref76632725"/>
      <w:commentRangeStart w:id="3"/>
      <w:r>
        <w:t xml:space="preserve">Figure </w:t>
      </w:r>
      <w:commentRangeEnd w:id="3"/>
      <w:r w:rsidR="00CC5F91">
        <w:rPr>
          <w:rStyle w:val="CommentReference"/>
          <w:iCs w:val="0"/>
          <w:color w:val="auto"/>
        </w:rPr>
        <w:commentReference w:id="3"/>
      </w:r>
      <w:r w:rsidR="00265268">
        <w:fldChar w:fldCharType="begin"/>
      </w:r>
      <w:r w:rsidR="00265268">
        <w:instrText xml:space="preserve"> SEQ Figure \* ARABIC </w:instrText>
      </w:r>
      <w:r w:rsidR="00265268">
        <w:fldChar w:fldCharType="separate"/>
      </w:r>
      <w:r w:rsidR="00FD50E2">
        <w:rPr>
          <w:noProof/>
        </w:rPr>
        <w:t>7</w:t>
      </w:r>
      <w:r w:rsidR="00265268">
        <w:rPr>
          <w:noProof/>
        </w:rPr>
        <w:fldChar w:fldCharType="end"/>
      </w:r>
      <w:bookmarkEnd w:id="1"/>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2"/>
      <w:r w:rsidR="004B3265">
        <w:t xml:space="preserve"> </w:t>
      </w:r>
    </w:p>
    <w:p w14:paraId="26515AB6" w14:textId="33CB450B" w:rsidR="00367F50" w:rsidRDefault="00367F50" w:rsidP="005E57F7"/>
    <w:p w14:paraId="3554FC58" w14:textId="77777777" w:rsidR="00367F50" w:rsidRDefault="00367F50" w:rsidP="005E57F7"/>
    <w:p w14:paraId="61DDE8A0" w14:textId="1A11BB8E"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526D6F15"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it may not have been captured by the maize plant due to compromised root function. A study done in Minnesota</w:t>
      </w:r>
      <w:ins w:id="4" w:author="Mitch Baum" w:date="2021-07-15T14:14:00Z">
        <w:r w:rsidR="00810509">
          <w:t>,</w:t>
        </w:r>
      </w:ins>
      <w:r w:rsidRPr="00FD50E2">
        <w:t xml:space="preserve">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lastRenderedPageBreak/>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5"/>
      <w:commentRangeStart w:id="6"/>
      <w:commentRangeStart w:id="7"/>
      <w:r>
        <w:t xml:space="preserve">Dynamic script testing </w:t>
      </w:r>
      <w:commentRangeEnd w:id="5"/>
      <w:r>
        <w:rPr>
          <w:rStyle w:val="CommentReference"/>
          <w:rFonts w:asciiTheme="minorHAnsi" w:eastAsiaTheme="minorHAnsi" w:hAnsiTheme="minorHAnsi" w:cstheme="minorBidi"/>
          <w:color w:val="auto"/>
        </w:rPr>
        <w:commentReference w:id="5"/>
      </w:r>
      <w:commentRangeEnd w:id="6"/>
      <w:r>
        <w:rPr>
          <w:rStyle w:val="CommentReference"/>
          <w:rFonts w:asciiTheme="minorHAnsi" w:eastAsiaTheme="minorHAnsi" w:hAnsiTheme="minorHAnsi" w:cstheme="minorBidi"/>
          <w:color w:val="auto"/>
        </w:rPr>
        <w:commentReference w:id="6"/>
      </w:r>
      <w:commentRangeEnd w:id="7"/>
      <w:r w:rsidR="00CC5F91">
        <w:rPr>
          <w:rStyle w:val="CommentReference"/>
          <w:rFonts w:asciiTheme="minorHAnsi" w:eastAsiaTheme="minorHAnsi" w:hAnsiTheme="minorHAnsi" w:cstheme="minorBidi"/>
          <w:color w:val="auto"/>
        </w:rPr>
        <w:commentReference w:id="7"/>
      </w:r>
    </w:p>
    <w:p w14:paraId="5FC2EE33" w14:textId="27EC8517" w:rsidR="0024701C" w:rsidRDefault="0024701C" w:rsidP="0024701C">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w:t>
      </w:r>
      <w:proofErr w:type="spellStart"/>
      <w:r>
        <w:t>dynamicis</w:t>
      </w:r>
      <w:proofErr w:type="spellEnd"/>
      <w:del w:id="8" w:author="Sotirios Archontoulis" w:date="2021-07-11T12:52:00Z">
        <w:r w:rsidDel="0038047E">
          <w:delText>m</w:delText>
        </w:r>
      </w:del>
      <w:r>
        <w:t xml:space="preserve"> improved model predictions because of the uncertainty around the measured penalty sizes. While the mean observed penalty </w:t>
      </w:r>
      <w:commentRangeStart w:id="9"/>
      <w:r>
        <w:t>was 1.0 Mg ha-1, the average standard deviation for the sites where that information was available was 0.7 Mg ha-1.</w:t>
      </w:r>
      <w:commentRangeEnd w:id="9"/>
      <w:r w:rsidR="0038047E">
        <w:rPr>
          <w:rStyle w:val="CommentReference"/>
        </w:rPr>
        <w:commentReference w:id="9"/>
      </w:r>
      <w:r>
        <w:t xml:space="preserve"> Therefore, while the dynamic implementation of penalties in the model affected the predicted penalty</w:t>
      </w:r>
      <w:r w:rsidR="005E57F7">
        <w:t>,</w:t>
      </w:r>
      <w:r>
        <w:t xml:space="preserve">  and in many cases improved the overall site-average prediction of the penalty (supplementary material), the size of the penalty was not known with enough precision to identify the optimal script parameters for capturing the year-to-year variation.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 xml:space="preserve">directed </w:t>
      </w:r>
      <w:proofErr w:type="spellStart"/>
      <w:r w:rsidR="00992317" w:rsidRPr="005E57F7">
        <w:t>acyclical</w:t>
      </w:r>
      <w:proofErr w:type="spellEnd"/>
      <w:r w:rsidR="00992317" w:rsidRPr="005E57F7">
        <w:t xml:space="preserve"> graph for path analysis (</w:t>
      </w:r>
      <w:proofErr w:type="spellStart"/>
      <w:r w:rsidR="00992317" w:rsidRPr="005E57F7">
        <w:rPr>
          <w:color w:val="FF0000"/>
        </w:rPr>
        <w:t>SmithSEMpaper</w:t>
      </w:r>
      <w:proofErr w:type="spellEnd"/>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10" w:name="_Ref76728960"/>
      <w:r>
        <w:t xml:space="preserve">Figure </w:t>
      </w:r>
      <w:r w:rsidR="00265268">
        <w:fldChar w:fldCharType="begin"/>
      </w:r>
      <w:r w:rsidR="00265268">
        <w:instrText xml:space="preserve"> SEQ Figure \* ARABIC </w:instrText>
      </w:r>
      <w:r w:rsidR="00265268">
        <w:fldChar w:fldCharType="separate"/>
      </w:r>
      <w:r>
        <w:rPr>
          <w:noProof/>
        </w:rPr>
        <w:t>8</w:t>
      </w:r>
      <w:r w:rsidR="00265268">
        <w:rPr>
          <w:noProof/>
        </w:rPr>
        <w:fldChar w:fldCharType="end"/>
      </w:r>
      <w:bookmarkEnd w:id="10"/>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w:t>
      </w:r>
      <w:proofErr w:type="gramStart"/>
      <w:r w:rsidR="0035700C">
        <w:t>0</w:t>
      </w:r>
      <w:proofErr w:type="gramEnd"/>
      <w:r w:rsidR="0035700C">
        <w:t xml:space="preserve"> N, the penalty decreases….no I don’t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637CBE57" w:rsidR="00763C57" w:rsidRDefault="0038047E" w:rsidP="00554F96">
      <w:commentRangeStart w:id="11"/>
      <w:ins w:id="12" w:author="Sotirios Archontoulis" w:date="2021-07-11T12:54:00Z">
        <w:r>
          <w:t xml:space="preserve">This </w:t>
        </w:r>
      </w:ins>
      <w:commentRangeEnd w:id="11"/>
      <w:r w:rsidR="00E82E02">
        <w:rPr>
          <w:rStyle w:val="CommentReference"/>
        </w:rPr>
        <w:commentReference w:id="11"/>
      </w:r>
      <w:ins w:id="13" w:author="Sotirios Archontoulis" w:date="2021-07-11T12:54:00Z">
        <w:r>
          <w:t>study used APSIM as a tool to understand a well observed phenomenon, the CC penalty</w:t>
        </w:r>
      </w:ins>
      <w:ins w:id="14" w:author="Sotirios Archontoulis" w:date="2021-07-11T12:55:00Z">
        <w:r>
          <w:t>, that impacts x% of the US Corn Belt maize land</w:t>
        </w:r>
      </w:ins>
      <w:ins w:id="15" w:author="Sotirios Archontoulis" w:date="2021-07-11T12:54:00Z">
        <w:r>
          <w:t xml:space="preserve">. </w:t>
        </w:r>
      </w:ins>
      <w:ins w:id="16" w:author="Sotirios Archontoulis" w:date="2021-07-11T12:55:00Z">
        <w:r>
          <w:t xml:space="preserve">Long term </w:t>
        </w:r>
      </w:ins>
      <w:ins w:id="17" w:author="Sotirios Archontoulis" w:date="2021-07-11T12:56:00Z">
        <w:r>
          <w:t>field</w:t>
        </w:r>
      </w:ins>
      <w:ins w:id="18" w:author="Sotirios Archontoulis" w:date="2021-07-11T12:55:00Z">
        <w:r>
          <w:t xml:space="preserve"> data </w:t>
        </w:r>
      </w:ins>
      <w:ins w:id="19" w:author="Sotirios Archontoulis" w:date="2021-07-11T12:56:00Z">
        <w:r>
          <w:t xml:space="preserve">indicated that the CC penalty </w:t>
        </w:r>
        <w:r w:rsidR="00E82E02">
          <w:t xml:space="preserve">remains constant over two decades of farming. </w:t>
        </w:r>
      </w:ins>
      <w:commentRangeStart w:id="20"/>
      <w:r w:rsidR="00554F96">
        <w:t xml:space="preserve">Based on the data available, it is not possible to say whether the maize yield increases </w:t>
      </w:r>
      <w:r w:rsidR="00FD50E2">
        <w:t xml:space="preserve">over time </w:t>
      </w:r>
      <w:r w:rsidR="00554F96">
        <w:t>are due to weather, increased yield potential of newer varieties, management changes etc. Exploring the drivers of increases in Midwestern maize yields over time has been the subject of multiple investigations (</w:t>
      </w:r>
      <w:proofErr w:type="spellStart"/>
      <w:r w:rsidR="00554F96" w:rsidRPr="006E5AA7">
        <w:rPr>
          <w:color w:val="FF0000"/>
        </w:rPr>
        <w:t>Tollenar</w:t>
      </w:r>
      <w:proofErr w:type="spellEnd"/>
      <w:r w:rsidR="00554F96" w:rsidRPr="006E5AA7">
        <w:rPr>
          <w:color w:val="FF0000"/>
        </w:rPr>
        <w:t xml:space="preserve"> et al. 2017, </w:t>
      </w:r>
      <w:r w:rsidR="00554F96">
        <w:rPr>
          <w:color w:val="FF0000"/>
        </w:rPr>
        <w:t xml:space="preserve">Assefa et al. 2018, </w:t>
      </w:r>
      <w:proofErr w:type="spellStart"/>
      <w:r w:rsidR="00554F96" w:rsidRPr="006E5AA7">
        <w:rPr>
          <w:color w:val="FF0000"/>
        </w:rPr>
        <w:t>Kucharik</w:t>
      </w:r>
      <w:proofErr w:type="spellEnd"/>
      <w:r w:rsidR="00554F96" w:rsidRPr="006E5AA7">
        <w:rPr>
          <w:color w:val="FF0000"/>
        </w:rPr>
        <w:t xml:space="preserve"> 2008, Lobe</w:t>
      </w:r>
      <w:r w:rsidR="00554F96" w:rsidRPr="00BF010F">
        <w:rPr>
          <w:color w:val="FF0000"/>
        </w:rPr>
        <w:t>ll and Burney 2021</w:t>
      </w:r>
      <w:r w:rsidR="00554F96">
        <w:t>) and is outside the scope of this study.</w:t>
      </w:r>
      <w:commentRangeEnd w:id="20"/>
      <w:r w:rsidR="00E82E02">
        <w:rPr>
          <w:rStyle w:val="CommentReference"/>
        </w:rPr>
        <w:commentReference w:id="20"/>
      </w:r>
      <w:r w:rsidR="00554F96">
        <w:t xml:space="preserve"> However, the consistent increase in both rotated and continuous maize yields is, to our knowledge, a novel finding. </w:t>
      </w:r>
      <w:commentRangeStart w:id="21"/>
      <w:r w:rsidR="00554F96">
        <w:t>Conceptually, it indicates the amount of residue in the continuous maize system is not linearly related to the size of the yield penalty.</w:t>
      </w:r>
      <w:commentRangeEnd w:id="21"/>
      <w:r w:rsidR="00E82E02">
        <w:rPr>
          <w:rStyle w:val="CommentReference"/>
        </w:rPr>
        <w:commentReference w:id="21"/>
      </w:r>
      <w:r w:rsidR="00554F96">
        <w:t xml:space="preserve"> </w:t>
      </w:r>
      <w:commentRangeStart w:id="22"/>
      <w:r w:rsidR="00561D30">
        <w:t xml:space="preserve">Additionally, none of the statistical models identified the previous year’s continuous maize yields (a proxy for residue amount) as important, and the literature review found no effect of ‘years-in-maize’. </w:t>
      </w:r>
      <w:r w:rsidR="00561D30">
        <w:lastRenderedPageBreak/>
        <w:t>While previous studies have found removing residue in continuous maize systems decreases the amount of N required to reach maximum yields</w:t>
      </w:r>
      <w:r w:rsidR="00992317">
        <w:t xml:space="preserve"> (</w:t>
      </w:r>
      <w:r w:rsidR="00992317" w:rsidRPr="0035700C">
        <w:rPr>
          <w:color w:val="FF0000"/>
        </w:rPr>
        <w:t xml:space="preserve">coulter2008, </w:t>
      </w:r>
      <w:proofErr w:type="spellStart"/>
      <w:r w:rsidR="00992317" w:rsidRPr="0035700C">
        <w:rPr>
          <w:color w:val="FF0000"/>
        </w:rPr>
        <w:t>jose</w:t>
      </w:r>
      <w:proofErr w:type="spellEnd"/>
      <w:r w:rsidR="00992317" w:rsidRPr="0035700C">
        <w:rPr>
          <w:color w:val="FF0000"/>
        </w:rPr>
        <w:t xml:space="preserve">, </w:t>
      </w:r>
      <w:proofErr w:type="spellStart"/>
      <w:r w:rsidR="00992317" w:rsidRPr="0035700C">
        <w:rPr>
          <w:color w:val="FF0000"/>
        </w:rPr>
        <w:t>karlen</w:t>
      </w:r>
      <w:proofErr w:type="spellEnd"/>
      <w:r w:rsidR="00992317">
        <w:t>?)</w:t>
      </w:r>
      <w:r w:rsidR="00561D30">
        <w:t xml:space="preserve">, </w:t>
      </w:r>
      <w:r w:rsidR="00992317">
        <w:t>many</w:t>
      </w:r>
      <w:r w:rsidR="00561D30">
        <w:t xml:space="preserve"> studies still see a significant continuous maize penalty even with complete residue removal (</w:t>
      </w:r>
      <w:r w:rsidR="00561D30" w:rsidRPr="00561D30">
        <w:rPr>
          <w:color w:val="FF0000"/>
        </w:rPr>
        <w:t xml:space="preserve">Jose, </w:t>
      </w:r>
      <w:proofErr w:type="spellStart"/>
      <w:r w:rsidR="00561D30" w:rsidRPr="00561D30">
        <w:rPr>
          <w:color w:val="FF0000"/>
        </w:rPr>
        <w:t>Karlen</w:t>
      </w:r>
      <w:proofErr w:type="spellEnd"/>
      <w:r w:rsidR="00561D30" w:rsidRPr="00561D30">
        <w:rPr>
          <w:color w:val="FF0000"/>
        </w:rPr>
        <w:t xml:space="preserve">, </w:t>
      </w:r>
      <w:r w:rsidR="00561D30">
        <w:rPr>
          <w:color w:val="FF0000"/>
        </w:rPr>
        <w:t>Crookston</w:t>
      </w:r>
      <w:r w:rsidR="00992317">
        <w:rPr>
          <w:color w:val="FF0000"/>
        </w:rPr>
        <w:t>1989</w:t>
      </w:r>
      <w:r w:rsidR="00561D30">
        <w:rPr>
          <w:color w:val="FF0000"/>
        </w:rPr>
        <w:t xml:space="preserve">, </w:t>
      </w:r>
      <w:r w:rsidR="00561D30" w:rsidRPr="00561D30">
        <w:rPr>
          <w:color w:val="FF0000"/>
        </w:rPr>
        <w:t>I think there’s another</w:t>
      </w:r>
      <w:r w:rsidR="00561D30">
        <w:t>)</w:t>
      </w:r>
      <w:r w:rsidR="00762EDC">
        <w:t>, indicating it is not the only contributor to the continuous maize penalty</w:t>
      </w:r>
      <w:r w:rsidR="00561D30">
        <w:t xml:space="preserve">. </w:t>
      </w:r>
      <w:commentRangeEnd w:id="22"/>
      <w:r w:rsidR="00E82E02">
        <w:rPr>
          <w:rStyle w:val="CommentReference"/>
        </w:rPr>
        <w:commentReference w:id="22"/>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disease dynamics, or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penalty, and may render maize monocultures less responsive to N fertilizer. </w:t>
      </w:r>
      <w:r w:rsidR="00762EDC">
        <w:t xml:space="preserve">Previous studies in Ohio found the penalty was higher in </w:t>
      </w:r>
      <w:proofErr w:type="gramStart"/>
      <w:r w:rsidR="00762EDC">
        <w:t>poorly-drained</w:t>
      </w:r>
      <w:proofErr w:type="gramEnd"/>
      <w:r w:rsidR="00762EDC">
        <w:t xml:space="preserve">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 xml:space="preserve">Maybe we </w:t>
      </w:r>
      <w:proofErr w:type="gramStart"/>
      <w:r w:rsidRPr="006F3689">
        <w:t>shouldn’t</w:t>
      </w:r>
      <w:proofErr w:type="gramEnd"/>
      <w:r w:rsidRPr="006F3689">
        <w:t xml:space="preserve"> assume applying more nitrogen is worth it</w:t>
      </w:r>
      <w:r>
        <w:t xml:space="preserve"> in continuous maize</w:t>
      </w:r>
      <w:r w:rsidRPr="006F3689">
        <w:t xml:space="preserve">. </w:t>
      </w:r>
    </w:p>
    <w:p w14:paraId="26A7E91B" w14:textId="62F5C8EC" w:rsidR="006F3689" w:rsidRDefault="00E82E02" w:rsidP="00554F96">
      <w:pPr>
        <w:rPr>
          <w:ins w:id="23" w:author="Sotirios Archontoulis" w:date="2021-07-11T13:06:00Z"/>
          <w:b/>
          <w:bCs/>
        </w:rPr>
      </w:pPr>
      <w:ins w:id="24" w:author="Sotirios Archontoulis" w:date="2021-07-11T13:06:00Z">
        <w:r>
          <w:rPr>
            <w:b/>
            <w:bCs/>
          </w:rPr>
          <w:t xml:space="preserve">Some other </w:t>
        </w:r>
      </w:ins>
      <w:ins w:id="25" w:author="Sotirios Archontoulis" w:date="2021-07-11T13:09:00Z">
        <w:r w:rsidR="001F5F61">
          <w:rPr>
            <w:b/>
            <w:bCs/>
          </w:rPr>
          <w:t xml:space="preserve">thoughts for </w:t>
        </w:r>
      </w:ins>
      <w:ins w:id="26" w:author="Sotirios Archontoulis" w:date="2021-07-11T13:06:00Z">
        <w:r>
          <w:rPr>
            <w:b/>
            <w:bCs/>
          </w:rPr>
          <w:t>text</w:t>
        </w:r>
      </w:ins>
    </w:p>
    <w:p w14:paraId="6C7EF4D4" w14:textId="77777777" w:rsidR="008A211D" w:rsidRDefault="008A211D" w:rsidP="00554F96">
      <w:pPr>
        <w:rPr>
          <w:ins w:id="27" w:author="Sotirios Archontoulis" w:date="2021-07-11T13:07:00Z"/>
          <w:b/>
          <w:bCs/>
        </w:rPr>
      </w:pPr>
      <w:ins w:id="28" w:author="Sotirios Archontoulis" w:date="2021-07-11T13:06:00Z">
        <w:r>
          <w:rPr>
            <w:b/>
            <w:bCs/>
          </w:rPr>
          <w:t xml:space="preserve">Models applied for N </w:t>
        </w:r>
        <w:proofErr w:type="spellStart"/>
        <w:r>
          <w:rPr>
            <w:b/>
            <w:bCs/>
          </w:rPr>
          <w:t>recom</w:t>
        </w:r>
        <w:proofErr w:type="spellEnd"/>
        <w:r>
          <w:rPr>
            <w:b/>
            <w:bCs/>
          </w:rPr>
          <w:t>, should be updated to account for C</w:t>
        </w:r>
      </w:ins>
      <w:ins w:id="29" w:author="Sotirios Archontoulis" w:date="2021-07-11T13:07:00Z">
        <w:r>
          <w:rPr>
            <w:b/>
            <w:bCs/>
          </w:rPr>
          <w:t xml:space="preserve">C </w:t>
        </w:r>
        <w:proofErr w:type="spellStart"/>
        <w:r>
          <w:rPr>
            <w:b/>
            <w:bCs/>
          </w:rPr>
          <w:t>penalalty</w:t>
        </w:r>
        <w:proofErr w:type="spellEnd"/>
        <w:r>
          <w:rPr>
            <w:b/>
            <w:bCs/>
          </w:rPr>
          <w:t>…</w:t>
        </w:r>
      </w:ins>
    </w:p>
    <w:p w14:paraId="73F4C572" w14:textId="77777777" w:rsidR="008A211D" w:rsidRDefault="008A211D" w:rsidP="00554F96">
      <w:pPr>
        <w:rPr>
          <w:ins w:id="30" w:author="Sotirios Archontoulis" w:date="2021-07-11T13:07:00Z"/>
          <w:b/>
          <w:bCs/>
        </w:rPr>
      </w:pPr>
      <w:ins w:id="31" w:author="Sotirios Archontoulis" w:date="2021-07-11T13:07:00Z">
        <w:r>
          <w:rPr>
            <w:b/>
            <w:bCs/>
          </w:rPr>
          <w:t>While we work on corn, this analysis may be relevant to continuous wheat….</w:t>
        </w:r>
      </w:ins>
    </w:p>
    <w:p w14:paraId="032A15B2" w14:textId="77777777" w:rsidR="008A211D" w:rsidRDefault="008A211D" w:rsidP="00554F96">
      <w:pPr>
        <w:rPr>
          <w:ins w:id="32" w:author="Sotirios Archontoulis" w:date="2021-07-11T13:08:00Z"/>
          <w:b/>
          <w:bCs/>
        </w:rPr>
      </w:pPr>
      <w:ins w:id="33" w:author="Sotirios Archontoulis" w:date="2021-07-11T13:07:00Z">
        <w:r>
          <w:rPr>
            <w:b/>
            <w:bCs/>
          </w:rPr>
          <w:t>We provided a different than common use of the APSIM model – this is to test possible hypothesis and help</w:t>
        </w:r>
      </w:ins>
      <w:ins w:id="34" w:author="Sotirios Archontoulis" w:date="2021-07-11T13:08:00Z">
        <w:r>
          <w:rPr>
            <w:b/>
            <w:bCs/>
          </w:rPr>
          <w:t xml:space="preserve"> us understand a </w:t>
        </w:r>
        <w:proofErr w:type="spellStart"/>
        <w:r>
          <w:rPr>
            <w:b/>
            <w:bCs/>
          </w:rPr>
          <w:t>phenomeno</w:t>
        </w:r>
        <w:proofErr w:type="spellEnd"/>
        <w:r>
          <w:rPr>
            <w:b/>
            <w:bCs/>
          </w:rPr>
          <w:t xml:space="preserve"> which causes $ of reducing productivity every year in the US Corn Belt</w:t>
        </w:r>
      </w:ins>
    </w:p>
    <w:p w14:paraId="3F7ED53E" w14:textId="77777777" w:rsidR="008A211D" w:rsidRDefault="008A211D" w:rsidP="00554F96">
      <w:pPr>
        <w:rPr>
          <w:ins w:id="35" w:author="Sotirios Archontoulis" w:date="2021-07-11T13:09:00Z"/>
          <w:b/>
          <w:bCs/>
        </w:rPr>
      </w:pPr>
      <w:ins w:id="36" w:author="Sotirios Archontoulis" w:date="2021-07-11T13:08:00Z">
        <w:r>
          <w:rPr>
            <w:b/>
            <w:bCs/>
          </w:rPr>
          <w:t xml:space="preserve">This study moved knowledge of CC a step further and provided a pathway for future research towards closing </w:t>
        </w:r>
      </w:ins>
      <w:ins w:id="37" w:author="Sotirios Archontoulis" w:date="2021-07-11T13:09:00Z">
        <w:r>
          <w:rPr>
            <w:b/>
            <w:bCs/>
          </w:rPr>
          <w:t xml:space="preserve">knowledge gaps and better locating the true mechanism. </w:t>
        </w:r>
      </w:ins>
    </w:p>
    <w:p w14:paraId="39B0F080" w14:textId="6DD92C21" w:rsidR="00E82E02" w:rsidRDefault="008A211D" w:rsidP="00554F96">
      <w:pPr>
        <w:rPr>
          <w:b/>
          <w:bCs/>
        </w:rPr>
      </w:pPr>
      <w:ins w:id="38" w:author="Sotirios Archontoulis" w:date="2021-07-11T13:06:00Z">
        <w:r>
          <w:rPr>
            <w:b/>
            <w:bCs/>
          </w:rPr>
          <w:t xml:space="preserve"> </w:t>
        </w:r>
      </w:ins>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lastRenderedPageBreak/>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Livingston2015 – rotating is always economically preferable</w:t>
      </w:r>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Neupane – roots/microbiome explains soybean rotation effect</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otirios Archontoulis" w:date="2021-07-11T15:44:00Z" w:initials="AS[">
    <w:p w14:paraId="23A0513F" w14:textId="77777777" w:rsidR="00601DC9" w:rsidRDefault="00601DC9">
      <w:pPr>
        <w:pStyle w:val="CommentText"/>
      </w:pPr>
      <w:r>
        <w:rPr>
          <w:rStyle w:val="CommentReference"/>
        </w:rPr>
        <w:annotationRef/>
      </w:r>
      <w:r>
        <w:t xml:space="preserve">Great fig, but do you need to have something in the x-axis? Count? </w:t>
      </w:r>
    </w:p>
    <w:p w14:paraId="019472A8" w14:textId="77777777" w:rsidR="00601DC9" w:rsidRDefault="00601DC9">
      <w:pPr>
        <w:pStyle w:val="CommentText"/>
      </w:pPr>
    </w:p>
    <w:p w14:paraId="499E5D5E" w14:textId="77777777" w:rsidR="00601DC9" w:rsidRDefault="00601DC9">
      <w:pPr>
        <w:pStyle w:val="CommentText"/>
      </w:pPr>
      <w:r>
        <w:t>Also we need a parag on the following</w:t>
      </w:r>
    </w:p>
    <w:p w14:paraId="01FCEBA0" w14:textId="6A3E2F78" w:rsidR="00601DC9" w:rsidRDefault="00601DC9">
      <w:pPr>
        <w:pStyle w:val="CommentText"/>
      </w:pPr>
      <w:r>
        <w:t xml:space="preserve">Which site years had the highest and which site years had the lowest CC penalty. Then some explanation on the why if possible. </w:t>
      </w:r>
    </w:p>
  </w:comment>
  <w:comment w:id="5" w:author="Virginia Nichols" w:date="2021-07-09T09:10:00Z" w:initials="VN">
    <w:p w14:paraId="326EB732" w14:textId="444AFDA7" w:rsidR="00601DC9" w:rsidRDefault="00601DC9">
      <w:pPr>
        <w:pStyle w:val="CommentText"/>
      </w:pPr>
      <w:r>
        <w:rPr>
          <w:rStyle w:val="CommentReference"/>
        </w:rPr>
        <w:annotationRef/>
      </w:r>
      <w:r>
        <w:t xml:space="preserve">This part can become the meat of the paper, but for the dissertation I don’t think I can say anything definitive. </w:t>
      </w:r>
    </w:p>
  </w:comment>
  <w:comment w:id="6" w:author="Virginia Nichols" w:date="2021-07-09T09:10:00Z" w:initials="VN">
    <w:p w14:paraId="537C2C8A" w14:textId="5DC58877" w:rsidR="00601DC9" w:rsidRDefault="00601DC9">
      <w:pPr>
        <w:pStyle w:val="CommentText"/>
      </w:pPr>
      <w:r>
        <w:rPr>
          <w:rStyle w:val="CommentReference"/>
        </w:rPr>
        <w:annotationRef/>
      </w:r>
    </w:p>
  </w:comment>
  <w:comment w:id="7" w:author="Sotirios Archontoulis" w:date="2021-07-11T15:45:00Z" w:initials="AS[">
    <w:p w14:paraId="1710C395" w14:textId="61C4ED51" w:rsidR="00601DC9" w:rsidRDefault="00601DC9">
      <w:pPr>
        <w:pStyle w:val="CommentText"/>
      </w:pPr>
      <w:r>
        <w:rPr>
          <w:rStyle w:val="CommentReference"/>
        </w:rPr>
        <w:annotationRef/>
      </w:r>
      <w:r>
        <w:t xml:space="preserve">I agree, let me have a look at what mitch on the dynamic and by the time you came back from vacation we should have an answer. </w:t>
      </w:r>
    </w:p>
  </w:comment>
  <w:comment w:id="9" w:author="Sotirios Archontoulis" w:date="2021-07-11T12:52:00Z" w:initials="AS[">
    <w:p w14:paraId="37BA95DA" w14:textId="4981E21A" w:rsidR="00601DC9" w:rsidRDefault="00601DC9">
      <w:pPr>
        <w:pStyle w:val="CommentText"/>
      </w:pPr>
      <w:r>
        <w:rPr>
          <w:rStyle w:val="CommentReference"/>
        </w:rPr>
        <w:annotationRef/>
      </w:r>
      <w:r>
        <w:t>Excellent point</w:t>
      </w:r>
    </w:p>
  </w:comment>
  <w:comment w:id="11" w:author="Sotirios Archontoulis" w:date="2021-07-11T12:57:00Z" w:initials="AS[">
    <w:p w14:paraId="77AC418D" w14:textId="6804AD9F" w:rsidR="00601DC9" w:rsidRDefault="00601DC9">
      <w:pPr>
        <w:pStyle w:val="CommentText"/>
      </w:pPr>
      <w:r>
        <w:rPr>
          <w:rStyle w:val="CommentReference"/>
        </w:rPr>
        <w:annotationRef/>
      </w:r>
      <w:r>
        <w:t>Just a few sentences to consider</w:t>
      </w:r>
    </w:p>
  </w:comment>
  <w:comment w:id="20" w:author="Sotirios Archontoulis" w:date="2021-07-11T12:57:00Z" w:initials="AS[">
    <w:p w14:paraId="439F01A5" w14:textId="69AEF2FA" w:rsidR="00601DC9" w:rsidRDefault="00601DC9">
      <w:pPr>
        <w:pStyle w:val="CommentText"/>
      </w:pPr>
      <w:r>
        <w:rPr>
          <w:rStyle w:val="CommentReference"/>
        </w:rPr>
        <w:annotationRef/>
      </w:r>
      <w:r>
        <w:t>If you get to space limits, remove this</w:t>
      </w:r>
    </w:p>
  </w:comment>
  <w:comment w:id="21" w:author="Sotirios Archontoulis" w:date="2021-07-11T12:58:00Z" w:initials="AS[">
    <w:p w14:paraId="1685AD57" w14:textId="3048EC34" w:rsidR="00601DC9" w:rsidRDefault="00601DC9">
      <w:pPr>
        <w:pStyle w:val="CommentText"/>
      </w:pPr>
      <w:r>
        <w:rPr>
          <w:rStyle w:val="CommentReference"/>
        </w:rPr>
        <w:annotationRef/>
      </w:r>
      <w:r>
        <w:t>I do not understand this, either elaborate more or remove it</w:t>
      </w:r>
    </w:p>
  </w:comment>
  <w:comment w:id="22" w:author="Sotirios Archontoulis" w:date="2021-07-11T12:59:00Z" w:initials="AS[">
    <w:p w14:paraId="789A4441" w14:textId="38E3735F" w:rsidR="00601DC9" w:rsidRDefault="00601DC9">
      <w:pPr>
        <w:pStyle w:val="CommentText"/>
      </w:pPr>
      <w:r>
        <w:rPr>
          <w:rStyle w:val="CommentReference"/>
        </w:rPr>
        <w:annotationRef/>
      </w:r>
      <w:r>
        <w:t xml:space="preserve">You have convinced me that the residue by itself is not the main reason. However, there may be a complex interaction between residue and something else that we have not locate yet? May be good framing all this as “literature data and our data suggest that but there may other residue interactions interaction (residue </w:t>
      </w:r>
      <w:r>
        <w:sym w:font="Wingdings" w:char="F0E0"/>
      </w:r>
      <w:r>
        <w:t xml:space="preserve"> diseases --… that we are not able to quantify in this study. A though. Just leave a bit the door open, who knows how the reviewer will reach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CEBA0" w15:done="0"/>
  <w15:commentEx w15:paraId="326EB732" w15:done="0"/>
  <w15:commentEx w15:paraId="537C2C8A" w15:paraIdParent="326EB732" w15:done="0"/>
  <w15:commentEx w15:paraId="1710C395" w15:paraIdParent="326EB732" w15:done="0"/>
  <w15:commentEx w15:paraId="37BA95DA" w15:done="0"/>
  <w15:commentEx w15:paraId="77AC418D" w15:done="0"/>
  <w15:commentEx w15:paraId="439F01A5" w15:done="0"/>
  <w15:commentEx w15:paraId="1685AD57" w15:done="0"/>
  <w15:commentEx w15:paraId="789A4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5594C" w16cex:dateUtc="2021-07-11T08:49:00Z"/>
  <w16cex:commentExtensible w16cex:durableId="24955A21" w16cex:dateUtc="2021-07-11T08:53:00Z"/>
  <w16cex:commentExtensible w16cex:durableId="24955B66" w16cex:dateUtc="2021-07-11T08:58:00Z"/>
  <w16cex:commentExtensible w16cex:durableId="24955BB2" w16cex:dateUtc="2021-07-11T08:59:00Z"/>
  <w16cex:commentExtensible w16cex:durableId="24955D90" w16cex:dateUtc="2021-07-11T09:07:00Z"/>
  <w16cex:commentExtensible w16cex:durableId="24955E66" w16cex:dateUtc="2021-07-11T09:11:00Z"/>
  <w16cex:commentExtensible w16cex:durableId="24955F4C" w16cex:dateUtc="2021-07-11T09:15:00Z"/>
  <w16cex:commentExtensible w16cex:durableId="249AA5F0" w16cex:dateUtc="2021-07-15T17:17:00Z"/>
  <w16cex:commentExtensible w16cex:durableId="249AA701" w16cex:dateUtc="2021-07-15T17:22:00Z"/>
  <w16cex:commentExtensible w16cex:durableId="24958E92" w16cex:dateUtc="2021-07-11T12:36:00Z"/>
  <w16cex:commentExtensible w16cex:durableId="249A9A21" w16cex:dateUtc="2021-07-15T16:27:00Z"/>
  <w16cex:commentExtensible w16cex:durableId="24956275" w16cex:dateUtc="2021-07-11T09:28:00Z"/>
  <w16cex:commentExtensible w16cex:durableId="249AABC0" w16cex:dateUtc="2021-07-15T17:42:00Z"/>
  <w16cex:commentExtensible w16cex:durableId="24958F4A" w16cex:dateUtc="2021-07-11T12:39:00Z"/>
  <w16cex:commentExtensible w16cex:durableId="249AAD64" w16cex:dateUtc="2021-07-15T17:49:00Z"/>
  <w16cex:commentExtensible w16cex:durableId="24958FE3" w16cex:dateUtc="2021-07-11T12:42:00Z"/>
  <w16cex:commentExtensible w16cex:durableId="249ACC8F" w16cex:dateUtc="2021-07-15T20:02:00Z"/>
  <w16cex:commentExtensible w16cex:durableId="249566C0" w16cex:dateUtc="2021-07-11T09:46:00Z"/>
  <w16cex:commentExtensible w16cex:durableId="249AC05F" w16cex:dateUtc="2021-07-15T19:10:00Z"/>
  <w16cex:commentExtensible w16cex:durableId="24958FFE" w16cex:dateUtc="2021-07-11T12:42:00Z"/>
  <w16cex:commentExtensible w16cex:durableId="249A98E5" w16cex:dateUtc="2021-07-15T16:22:00Z"/>
  <w16cex:commentExtensible w16cex:durableId="2495901F" w16cex:dateUtc="2021-07-11T12:43:00Z"/>
  <w16cex:commentExtensible w16cex:durableId="24959059" w16cex:dateUtc="2021-07-11T12:44:00Z"/>
  <w16cex:commentExtensible w16cex:durableId="249290F7" w16cex:dateUtc="2021-07-09T14:10:00Z"/>
  <w16cex:commentExtensible w16cex:durableId="24929112" w16cex:dateUtc="2021-07-09T14:10:00Z"/>
  <w16cex:commentExtensible w16cex:durableId="24959088" w16cex:dateUtc="2021-07-11T12:45:00Z"/>
  <w16cex:commentExtensible w16cex:durableId="24956803" w16cex:dateUtc="2021-07-11T09:52:00Z"/>
  <w16cex:commentExtensible w16cex:durableId="2495692F" w16cex:dateUtc="2021-07-11T09:57:00Z"/>
  <w16cex:commentExtensible w16cex:durableId="2495691F" w16cex:dateUtc="2021-07-11T09:57:00Z"/>
  <w16cex:commentExtensible w16cex:durableId="2495695E" w16cex:dateUtc="2021-07-11T09:58:00Z"/>
  <w16cex:commentExtensible w16cex:durableId="249569A3" w16cex:dateUtc="2021-07-1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06C3A" w16cid:durableId="2495594C"/>
  <w16cid:commentId w16cid:paraId="328A7E57" w16cid:durableId="24955A21"/>
  <w16cid:commentId w16cid:paraId="211B228B" w16cid:durableId="24955B66"/>
  <w16cid:commentId w16cid:paraId="19C80613" w16cid:durableId="24955BB2"/>
  <w16cid:commentId w16cid:paraId="370FB501" w16cid:durableId="24955D90"/>
  <w16cid:commentId w16cid:paraId="175124EF" w16cid:durableId="24955E66"/>
  <w16cid:commentId w16cid:paraId="2535DBD3" w16cid:durableId="24955F4C"/>
  <w16cid:commentId w16cid:paraId="79762CFC" w16cid:durableId="249AA5F0"/>
  <w16cid:commentId w16cid:paraId="001DF999" w16cid:durableId="249AA701"/>
  <w16cid:commentId w16cid:paraId="0A201D34" w16cid:durableId="24958E92"/>
  <w16cid:commentId w16cid:paraId="65CABE66" w16cid:durableId="249A9A21"/>
  <w16cid:commentId w16cid:paraId="3F727317" w16cid:durableId="24956275"/>
  <w16cid:commentId w16cid:paraId="1FB3598D" w16cid:durableId="249AABC0"/>
  <w16cid:commentId w16cid:paraId="1854D713" w16cid:durableId="24958F4A"/>
  <w16cid:commentId w16cid:paraId="2D9F779D" w16cid:durableId="249AAD64"/>
  <w16cid:commentId w16cid:paraId="03042BB2" w16cid:durableId="24958FE3"/>
  <w16cid:commentId w16cid:paraId="64447776" w16cid:durableId="249ACC8F"/>
  <w16cid:commentId w16cid:paraId="0E8703F3" w16cid:durableId="249566C0"/>
  <w16cid:commentId w16cid:paraId="4CE9C4A3" w16cid:durableId="249AC05F"/>
  <w16cid:commentId w16cid:paraId="2980892A" w16cid:durableId="24958FFE"/>
  <w16cid:commentId w16cid:paraId="0EE24B51" w16cid:durableId="249A98E5"/>
  <w16cid:commentId w16cid:paraId="4B11517D" w16cid:durableId="2495901F"/>
  <w16cid:commentId w16cid:paraId="01FCEBA0" w16cid:durableId="24959059"/>
  <w16cid:commentId w16cid:paraId="326EB732" w16cid:durableId="249290F7"/>
  <w16cid:commentId w16cid:paraId="537C2C8A" w16cid:durableId="24929112"/>
  <w16cid:commentId w16cid:paraId="1710C395" w16cid:durableId="24959088"/>
  <w16cid:commentId w16cid:paraId="37BA95DA" w16cid:durableId="24956803"/>
  <w16cid:commentId w16cid:paraId="77AC418D" w16cid:durableId="2495692F"/>
  <w16cid:commentId w16cid:paraId="439F01A5" w16cid:durableId="2495691F"/>
  <w16cid:commentId w16cid:paraId="1685AD57" w16cid:durableId="2495695E"/>
  <w16cid:commentId w16cid:paraId="789A4441" w16cid:durableId="24956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tirios Archontoulis">
    <w15:presenceInfo w15:providerId="AD" w15:userId="S::sarchont@iastate.edu::baea535f-0ef0-448a-a6fc-2735ba14392c"/>
  </w15:person>
  <w15:person w15:author="Mitch Baum">
    <w15:presenceInfo w15:providerId="Windows Live" w15:userId="d3be99782267cced"/>
  </w15:person>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262A1"/>
    <w:rsid w:val="00061638"/>
    <w:rsid w:val="000A0D2D"/>
    <w:rsid w:val="000A6FE5"/>
    <w:rsid w:val="000D294A"/>
    <w:rsid w:val="001178B4"/>
    <w:rsid w:val="001212DB"/>
    <w:rsid w:val="00140FA1"/>
    <w:rsid w:val="001469AE"/>
    <w:rsid w:val="0015749E"/>
    <w:rsid w:val="0016341B"/>
    <w:rsid w:val="00180978"/>
    <w:rsid w:val="00190745"/>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65268"/>
    <w:rsid w:val="002727D8"/>
    <w:rsid w:val="00277268"/>
    <w:rsid w:val="00282D8A"/>
    <w:rsid w:val="002977A0"/>
    <w:rsid w:val="002A0FB6"/>
    <w:rsid w:val="002A7319"/>
    <w:rsid w:val="002A7D1B"/>
    <w:rsid w:val="002B3D73"/>
    <w:rsid w:val="002B6B3A"/>
    <w:rsid w:val="002C3712"/>
    <w:rsid w:val="002E0655"/>
    <w:rsid w:val="002F0E1C"/>
    <w:rsid w:val="002F760E"/>
    <w:rsid w:val="00310E92"/>
    <w:rsid w:val="0035700C"/>
    <w:rsid w:val="00367F50"/>
    <w:rsid w:val="00374EC6"/>
    <w:rsid w:val="0038047E"/>
    <w:rsid w:val="003811F3"/>
    <w:rsid w:val="00385603"/>
    <w:rsid w:val="00386164"/>
    <w:rsid w:val="00390482"/>
    <w:rsid w:val="0039456C"/>
    <w:rsid w:val="00395EAB"/>
    <w:rsid w:val="003B09E1"/>
    <w:rsid w:val="003B1604"/>
    <w:rsid w:val="003B19DA"/>
    <w:rsid w:val="003B5323"/>
    <w:rsid w:val="003C1B0A"/>
    <w:rsid w:val="003C48EE"/>
    <w:rsid w:val="003D1A8B"/>
    <w:rsid w:val="003F1F14"/>
    <w:rsid w:val="00403B5E"/>
    <w:rsid w:val="00421F41"/>
    <w:rsid w:val="00422FB2"/>
    <w:rsid w:val="00432F5A"/>
    <w:rsid w:val="0043381C"/>
    <w:rsid w:val="00444731"/>
    <w:rsid w:val="004735C0"/>
    <w:rsid w:val="00475473"/>
    <w:rsid w:val="004814D6"/>
    <w:rsid w:val="004834CB"/>
    <w:rsid w:val="004A2036"/>
    <w:rsid w:val="004B3265"/>
    <w:rsid w:val="004C454A"/>
    <w:rsid w:val="004E736F"/>
    <w:rsid w:val="00505074"/>
    <w:rsid w:val="00522C98"/>
    <w:rsid w:val="00554F96"/>
    <w:rsid w:val="00555C2C"/>
    <w:rsid w:val="00561D30"/>
    <w:rsid w:val="0058016B"/>
    <w:rsid w:val="005914D3"/>
    <w:rsid w:val="00594F20"/>
    <w:rsid w:val="005966D9"/>
    <w:rsid w:val="005A312D"/>
    <w:rsid w:val="005E3FBB"/>
    <w:rsid w:val="005E51AE"/>
    <w:rsid w:val="005E57F7"/>
    <w:rsid w:val="00600F3E"/>
    <w:rsid w:val="00600F4E"/>
    <w:rsid w:val="006018BB"/>
    <w:rsid w:val="00601DC9"/>
    <w:rsid w:val="00611852"/>
    <w:rsid w:val="006131B1"/>
    <w:rsid w:val="00617804"/>
    <w:rsid w:val="00624E82"/>
    <w:rsid w:val="0063678C"/>
    <w:rsid w:val="006571EF"/>
    <w:rsid w:val="0066604D"/>
    <w:rsid w:val="00685694"/>
    <w:rsid w:val="006A1F39"/>
    <w:rsid w:val="006B04BF"/>
    <w:rsid w:val="006C1B24"/>
    <w:rsid w:val="006D6464"/>
    <w:rsid w:val="006E34F1"/>
    <w:rsid w:val="006E4345"/>
    <w:rsid w:val="006E5AA7"/>
    <w:rsid w:val="006F2CCA"/>
    <w:rsid w:val="006F3689"/>
    <w:rsid w:val="00714EF7"/>
    <w:rsid w:val="00715721"/>
    <w:rsid w:val="007366F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0509"/>
    <w:rsid w:val="00812C6B"/>
    <w:rsid w:val="00821A47"/>
    <w:rsid w:val="00823B17"/>
    <w:rsid w:val="0083020C"/>
    <w:rsid w:val="008343C2"/>
    <w:rsid w:val="00850E36"/>
    <w:rsid w:val="00873853"/>
    <w:rsid w:val="008822B9"/>
    <w:rsid w:val="008858F5"/>
    <w:rsid w:val="00886958"/>
    <w:rsid w:val="00887655"/>
    <w:rsid w:val="008A211D"/>
    <w:rsid w:val="008C015E"/>
    <w:rsid w:val="009000BB"/>
    <w:rsid w:val="009043BF"/>
    <w:rsid w:val="009148E4"/>
    <w:rsid w:val="00932231"/>
    <w:rsid w:val="00960AC1"/>
    <w:rsid w:val="009611FB"/>
    <w:rsid w:val="00976276"/>
    <w:rsid w:val="009862B7"/>
    <w:rsid w:val="009905D3"/>
    <w:rsid w:val="00992317"/>
    <w:rsid w:val="009C0197"/>
    <w:rsid w:val="009D3961"/>
    <w:rsid w:val="009D4BEF"/>
    <w:rsid w:val="009E3292"/>
    <w:rsid w:val="009F6E67"/>
    <w:rsid w:val="00A10EE7"/>
    <w:rsid w:val="00A1141D"/>
    <w:rsid w:val="00A11542"/>
    <w:rsid w:val="00A13297"/>
    <w:rsid w:val="00A23088"/>
    <w:rsid w:val="00A313CA"/>
    <w:rsid w:val="00A516C0"/>
    <w:rsid w:val="00A939E0"/>
    <w:rsid w:val="00AA3FBB"/>
    <w:rsid w:val="00AA694E"/>
    <w:rsid w:val="00AB11C5"/>
    <w:rsid w:val="00AB7414"/>
    <w:rsid w:val="00AC3C1C"/>
    <w:rsid w:val="00AC5312"/>
    <w:rsid w:val="00AC5D83"/>
    <w:rsid w:val="00AC7897"/>
    <w:rsid w:val="00AD0D08"/>
    <w:rsid w:val="00AE0F0A"/>
    <w:rsid w:val="00AE1F34"/>
    <w:rsid w:val="00AF4850"/>
    <w:rsid w:val="00B05ADB"/>
    <w:rsid w:val="00B2668B"/>
    <w:rsid w:val="00B53052"/>
    <w:rsid w:val="00B707A8"/>
    <w:rsid w:val="00B82DF9"/>
    <w:rsid w:val="00B91DBF"/>
    <w:rsid w:val="00B96A11"/>
    <w:rsid w:val="00BB0931"/>
    <w:rsid w:val="00BB4E36"/>
    <w:rsid w:val="00BE22CE"/>
    <w:rsid w:val="00BE47A8"/>
    <w:rsid w:val="00BF010F"/>
    <w:rsid w:val="00C11710"/>
    <w:rsid w:val="00C20B80"/>
    <w:rsid w:val="00C23CFB"/>
    <w:rsid w:val="00C31A34"/>
    <w:rsid w:val="00C3223E"/>
    <w:rsid w:val="00C34ECB"/>
    <w:rsid w:val="00C41363"/>
    <w:rsid w:val="00C446DC"/>
    <w:rsid w:val="00C467E4"/>
    <w:rsid w:val="00C60178"/>
    <w:rsid w:val="00C63DB3"/>
    <w:rsid w:val="00C642BE"/>
    <w:rsid w:val="00C727B6"/>
    <w:rsid w:val="00C8128C"/>
    <w:rsid w:val="00C92104"/>
    <w:rsid w:val="00C92E0D"/>
    <w:rsid w:val="00C93C61"/>
    <w:rsid w:val="00CA17AF"/>
    <w:rsid w:val="00CA38E3"/>
    <w:rsid w:val="00CA653A"/>
    <w:rsid w:val="00CA7D85"/>
    <w:rsid w:val="00CC1A42"/>
    <w:rsid w:val="00CC409A"/>
    <w:rsid w:val="00CC5F91"/>
    <w:rsid w:val="00CF32AA"/>
    <w:rsid w:val="00CF4C37"/>
    <w:rsid w:val="00D074B2"/>
    <w:rsid w:val="00D25A52"/>
    <w:rsid w:val="00D37F4B"/>
    <w:rsid w:val="00D524B4"/>
    <w:rsid w:val="00D65115"/>
    <w:rsid w:val="00D814B3"/>
    <w:rsid w:val="00D9048F"/>
    <w:rsid w:val="00D9555C"/>
    <w:rsid w:val="00DB1077"/>
    <w:rsid w:val="00DC1C3D"/>
    <w:rsid w:val="00DD5947"/>
    <w:rsid w:val="00E02EEF"/>
    <w:rsid w:val="00E04C43"/>
    <w:rsid w:val="00E04C6C"/>
    <w:rsid w:val="00E0668A"/>
    <w:rsid w:val="00E1059F"/>
    <w:rsid w:val="00E15764"/>
    <w:rsid w:val="00E16E6E"/>
    <w:rsid w:val="00E27585"/>
    <w:rsid w:val="00E43579"/>
    <w:rsid w:val="00E55248"/>
    <w:rsid w:val="00E700A0"/>
    <w:rsid w:val="00E81725"/>
    <w:rsid w:val="00E82E02"/>
    <w:rsid w:val="00EA1A07"/>
    <w:rsid w:val="00EB13A4"/>
    <w:rsid w:val="00F078F7"/>
    <w:rsid w:val="00F109D5"/>
    <w:rsid w:val="00F119D9"/>
    <w:rsid w:val="00F12A52"/>
    <w:rsid w:val="00F14DA9"/>
    <w:rsid w:val="00F17F2F"/>
    <w:rsid w:val="00F23DBB"/>
    <w:rsid w:val="00F31A69"/>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A7A36-C3FC-4A09-88BF-DE69D86E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cp:lastModifiedBy>
  <cp:revision>4</cp:revision>
  <dcterms:created xsi:type="dcterms:W3CDTF">2021-07-29T16:14:00Z</dcterms:created>
  <dcterms:modified xsi:type="dcterms:W3CDTF">2021-07-29T17:56:00Z</dcterms:modified>
</cp:coreProperties>
</file>