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12218CB2" w:rsidR="0012423C" w:rsidRDefault="00F67DEF" w:rsidP="006E637E">
      <w:pPr>
        <w:pStyle w:val="Title"/>
        <w:rPr>
          <w:lang w:val="en-US"/>
        </w:rPr>
      </w:pPr>
      <w:r>
        <w:rPr>
          <w:lang w:val="en-US"/>
        </w:rPr>
        <w:t xml:space="preserve">Applying </w:t>
      </w:r>
      <w:r w:rsidR="00F74EB8">
        <w:rPr>
          <w:lang w:val="en-US"/>
        </w:rPr>
        <w:t xml:space="preserve">the </w:t>
      </w:r>
      <w:r>
        <w:rPr>
          <w:lang w:val="en-US"/>
        </w:rPr>
        <w:t xml:space="preserve">principles of </w:t>
      </w:r>
      <w:r w:rsidR="008F5D30">
        <w:rPr>
          <w:lang w:val="en-US"/>
        </w:rPr>
        <w:t>D</w:t>
      </w:r>
      <w:r w:rsidR="006E637E">
        <w:rPr>
          <w:lang w:val="en-US"/>
        </w:rPr>
        <w:t xml:space="preserve">ata </w:t>
      </w:r>
      <w:r w:rsidR="008F5D30">
        <w:rPr>
          <w:lang w:val="en-US"/>
        </w:rPr>
        <w:t>F</w:t>
      </w:r>
      <w:r w:rsidR="006E637E">
        <w:rPr>
          <w:lang w:val="en-US"/>
        </w:rPr>
        <w:t xml:space="preserve">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5F4CC22C"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their work.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 xml:space="preserve">Many researchers already practice </w:t>
      </w:r>
      <w:r w:rsidR="008F5D30">
        <w:rPr>
          <w:color w:val="20124D"/>
          <w:shd w:val="clear" w:color="auto" w:fill="FFFFFF"/>
          <w:lang w:val="en-US"/>
        </w:rPr>
        <w:t>D</w:t>
      </w:r>
      <w:r w:rsidR="00AF2F84">
        <w:rPr>
          <w:color w:val="20124D"/>
          <w:shd w:val="clear" w:color="auto" w:fill="FFFFFF"/>
          <w:lang w:val="en-US"/>
        </w:rPr>
        <w:t xml:space="preserve">ata </w:t>
      </w:r>
      <w:r w:rsidR="008F5D30">
        <w:rPr>
          <w:color w:val="20124D"/>
          <w:shd w:val="clear" w:color="auto" w:fill="FFFFFF"/>
          <w:lang w:val="en-US"/>
        </w:rPr>
        <w:t>F</w:t>
      </w:r>
      <w:r w:rsidR="00AF2F84">
        <w:rPr>
          <w:color w:val="20124D"/>
          <w:shd w:val="clear" w:color="auto" w:fill="FFFFFF"/>
          <w:lang w:val="en-US"/>
        </w:rPr>
        <w:t>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w:t>
      </w:r>
      <w:r w:rsidR="008F5D30">
        <w:rPr>
          <w:color w:val="20124D"/>
          <w:shd w:val="clear" w:color="auto" w:fill="FFFFFF"/>
          <w:lang w:val="en-US"/>
        </w:rPr>
        <w:t xml:space="preserve">, visible, and in time, ubiquitous. </w:t>
      </w:r>
    </w:p>
    <w:p w14:paraId="4091956C" w14:textId="77777777" w:rsidR="00AF2F84" w:rsidRDefault="00AF2F84" w:rsidP="000E7DB5">
      <w:pPr>
        <w:rPr>
          <w:lang w:val="en-US"/>
        </w:rPr>
      </w:pPr>
    </w:p>
    <w:p w14:paraId="59F76605" w14:textId="6569F261" w:rsidR="008D2ECE" w:rsidRPr="00D16F57" w:rsidRDefault="008D2ECE" w:rsidP="00EB106A">
      <w:pPr>
        <w:pStyle w:val="Heading1"/>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6FCC99A" w:rsidR="00926CF0" w:rsidRPr="00172B03" w:rsidRDefault="00EC204E" w:rsidP="00926CF0">
      <w:pPr>
        <w:rPr>
          <w:lang w:val="en-US"/>
        </w:rPr>
      </w:pPr>
      <w:r>
        <w:rPr>
          <w:lang w:val="en-US"/>
        </w:rPr>
        <w:t>Power may be defined as a relationship through which one can obtain one’s will even in the face of resistance from others</w:t>
      </w:r>
      <w:r w:rsidR="006D2EA8">
        <w:rPr>
          <w:lang w:val="en-US"/>
        </w:rPr>
        <w:fldChar w:fldCharType="begin"/>
      </w:r>
      <w:r w:rsidR="006D2EA8">
        <w:rPr>
          <w:lang w:val="en-US"/>
        </w:rPr>
        <w:instrText xml:space="preserve"> ADDIN ZOTERO_ITEM CSL_CITATION {"citationID":"EMhM43Cl","properties":{"formattedCitation":"\\super 1\\nosupersub{}","plainCitation":"1","noteIndex":0},"citationItems":[{"id":1461,"uris":["http://zotero.org/users/3599437/items/9ZVFEG24"],"itemData":{"id":1461,"type":"book","abstract":"English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6D2EA8">
        <w:rPr>
          <w:lang w:val="en-US"/>
        </w:rPr>
        <w:fldChar w:fldCharType="separate"/>
      </w:r>
      <w:r w:rsidR="006D2EA8" w:rsidRPr="006D2EA8">
        <w:rPr>
          <w:vertAlign w:val="superscript"/>
          <w:lang w:val="en-US"/>
        </w:rPr>
        <w:t>1</w:t>
      </w:r>
      <w:r w:rsidR="006D2EA8">
        <w:rPr>
          <w:lang w:val="en-US"/>
        </w:rPr>
        <w:fldChar w:fldCharType="end"/>
      </w:r>
      <w:r>
        <w:rPr>
          <w:lang w:val="en-US"/>
        </w:rPr>
        <w:t xml:space="preserve">. </w:t>
      </w:r>
      <w:r w:rsidR="00D33AAF">
        <w:rPr>
          <w:lang w:val="en-US"/>
        </w:rPr>
        <w:t>A</w:t>
      </w:r>
      <w:r w:rsidR="00864973">
        <w:rPr>
          <w:lang w:val="en-US"/>
        </w:rPr>
        <w:t>griculture</w:t>
      </w:r>
      <w:r w:rsidR="00864973" w:rsidRPr="00F83DA2">
        <w:rPr>
          <w:lang w:val="en-US"/>
        </w:rPr>
        <w:t xml:space="preserve"> involves the cultivation of land to produce food</w:t>
      </w:r>
      <w:r>
        <w:rPr>
          <w:lang w:val="en-US"/>
        </w:rPr>
        <w:t xml:space="preserve">; </w:t>
      </w:r>
      <w:r w:rsidR="00D33AAF">
        <w:rPr>
          <w:lang w:val="en-US"/>
        </w:rPr>
        <w:t>as the</w:t>
      </w:r>
      <w:r>
        <w:rPr>
          <w:lang w:val="en-US"/>
        </w:rPr>
        <w:t xml:space="preserve"> former becomes </w:t>
      </w:r>
      <w:r w:rsidR="00864973">
        <w:rPr>
          <w:lang w:val="en-US"/>
        </w:rPr>
        <w:t>a prerequisite for the latter</w:t>
      </w:r>
      <w:r>
        <w:rPr>
          <w:lang w:val="en-US"/>
        </w:rPr>
        <w:t xml:space="preserve">, power dynamics emerge. </w:t>
      </w:r>
      <w:r w:rsidR="00864973">
        <w:rPr>
          <w:lang w:val="en-US"/>
        </w:rPr>
        <w:t xml:space="preserve">Indeed, over thousands of years and across civilizations, agriculture has </w:t>
      </w:r>
      <w:r>
        <w:rPr>
          <w:lang w:val="en-US"/>
        </w:rPr>
        <w:t xml:space="preserve">enabled, </w:t>
      </w:r>
      <w:r w:rsidR="00864973">
        <w:rPr>
          <w:lang w:val="en-US"/>
        </w:rPr>
        <w:t>fomented, and reflected power hierarchi</w:t>
      </w:r>
      <w:r w:rsidR="006D2EA8">
        <w:rPr>
          <w:lang w:val="en-US"/>
        </w:rPr>
        <w:t>es</w:t>
      </w:r>
      <w:r w:rsidR="006D2EA8">
        <w:rPr>
          <w:lang w:val="en-US"/>
        </w:rPr>
        <w:fldChar w:fldCharType="begin"/>
      </w:r>
      <w:r w:rsidR="006D2EA8">
        <w:rPr>
          <w:lang w:val="en-US"/>
        </w:rPr>
        <w:instrText xml:space="preserve"> ADDIN ZOTERO_ITEM CSL_CITATION {"citationID":"Dh32U7ZR","properties":{"formattedCitation":"\\super 2\\uc0\\u8211{}4\\nosupersub{}","plainCitation":"2–4","noteIndex":0},"citationItems":[{"id":1046,"uris":["http://zotero.org/users/3599437/items/DQ54GPR6"],"itemData":{"id":1046,"type":"book","abstract":"This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1045,"uris":["http://zotero.org/users/3599437/items/IR9I4RUI"],"itemData":{"id":1045,"type":"article-journal","language":"en","source":"Zotero","title":"The Worst Mistake in the History of the Human Race","author":[{"family":"Diamond","given":"Jared"}]}},{"id":1044,"uris":["http://zotero.org/users/3599437/items/877J8BPI"],"itemData":{"id":1044,"type":"book","abstract":"An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D2EA8" w:rsidRPr="00B0328D">
        <w:rPr>
          <w:vertAlign w:val="superscript"/>
          <w:lang w:val="en-US"/>
        </w:rPr>
        <w:t>2–4</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potentially profound ethical and social consequences. This is not unique to agricultural research</w:t>
      </w:r>
      <w:r>
        <w:rPr>
          <w:lang w:val="en-US"/>
        </w:rPr>
        <w:t xml:space="preserve">; global </w:t>
      </w:r>
      <w:r w:rsidR="00C55944">
        <w:rPr>
          <w:lang w:val="en-US"/>
        </w:rPr>
        <w:t xml:space="preserve">recognition </w:t>
      </w:r>
      <w:r>
        <w:rPr>
          <w:lang w:val="en-US"/>
        </w:rPr>
        <w:t xml:space="preserve">of the need to </w:t>
      </w:r>
      <w:r w:rsidR="00C55944">
        <w:rPr>
          <w:lang w:val="en-US"/>
        </w:rPr>
        <w:t>intentional</w:t>
      </w:r>
      <w:r>
        <w:rPr>
          <w:lang w:val="en-US"/>
        </w:rPr>
        <w:t>ly</w:t>
      </w:r>
      <w:r w:rsidR="00C55944">
        <w:rPr>
          <w:lang w:val="en-US"/>
        </w:rPr>
        <w:t xml:space="preserve"> examin</w:t>
      </w:r>
      <w:r>
        <w:rPr>
          <w:lang w:val="en-US"/>
        </w:rPr>
        <w:t>e how power interacts with science</w:t>
      </w:r>
      <w:r w:rsidR="00C55944">
        <w:rPr>
          <w:lang w:val="en-US"/>
        </w:rPr>
        <w:t xml:space="preserve"> has spurred the creation of new academic fields</w:t>
      </w:r>
      <w:r w:rsidR="006D2EA8">
        <w:rPr>
          <w:lang w:val="en-US"/>
        </w:rPr>
        <w:fldChar w:fldCharType="begin"/>
      </w:r>
      <w:r w:rsidR="006D2EA8">
        <w:rPr>
          <w:lang w:val="en-US"/>
        </w:rPr>
        <w:instrText xml:space="preserve"> ADDIN ZOTERO_ITEM CSL_CITATION {"citationID":"xIzTOqOf","properties":{"formattedCitation":"\\super 5\\uc0\\u8211{}8\\nosupersub{}","plainCitation":"5–8","noteIndex":0},"citationItems":[{"id":1004,"uris":["http://zotero.org/users/3599437/items/EPS3IEFU"],"itemData":{"id":1004,"type":"article-journal","container-title":"Information,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id":1429,"uris":["http://zotero.org/users/3599437/items/VAGDUEIZ"],"itemData":{"id":1429,"type":"article-journal","abstract":"In this article we seek to revisit what the term ‘technopolitical’ means for democratic politics in our age. We begin by tracing how the term was used and then transformed through various and conflicting adaptations of ICTs (Information and Communication Technologies) in governmental and civil organizations and grassroots movements. Two main streams can be distinguished in academic literature: studies about internet-enhanced politics (labelled as e- government) and politics 2.0 that imply the facilitation of existing practices such as e-voting, e-campaigning and e-petitioning. The second stream of the internet-enabled perspective builds on the idea that ICTs are essential for the organization of transformative, contentious politics, citizen participation and deliberative processes. Under a range of labels, studies have often used ideas of the technopolitical in an undefined or underspecified manner for describing the influence of digital technologies on their scope of investigation. After critically reviewing and categorizing the main concepts used in the literature to describe ICT-based political performances, we construct a conceptual model of technopolitics oriented at two contra-rotating developments: Centralization vs. Decentralization. Within a schema consisting of the five dimensions of context, scale and direction, purpose, synchronization and actors we will clarify these developments and structure informal and formal ways of political practices.  We explain the dimensions using real-world examples to illustrate the unique characteristics of each technopolitical action field and the power dynamics that influence them.                   \nEn este artículo queremos reconsiderar el término \"tecnopolítica\" y ver qué significa en la política democrática de nuestros tiempos. Comenzamos indagando en el uso inicial del término y cómo se ha ido transformando mediante las distintas y contradictorias adaptaciones de las TIC (Tecnologías de la Información y la Comunicación) en los órganos de gobierno, las organizaciones civiles y los movimientos populares. En la literatura académica se pueden apreciar dos corrientes principales. Por un lado, están los estudios sobre la política mejorada gracias a Internet (conocida como \"e-gobierno\") y la Política 2.0, que apuntan a la facilitación de prácticas existentes como la votación electrónica y las campañas y peticiones en Internet. Y, por otro lado, la segunda corriente de la perspectiva de la influencia de Internet se sustenta en la idea de que las TIC son esenciales para la organización de una política transformadora y contenciosa, la participación ciudadana y los procesos deliberativos. Los estudios han usado a menudo, con una u otra etiqueta, ideas de la tecnopolítica en términos indefinidos o imprecisos para describir la influencia de las tecnologías digitales en su ámbito de investigación. Tras una labor crítica de revisión y clasificación de los principales conceptos empleados en la literatura para describir actuaciones políticas basadas en las TIC, interpretamos un modelo conceptual de tecnopolítica orientado a dos desarrollos contrarrotatorios: Centralización vs. descentralización. En un esquema formado por las cinco dimensiones contexto, escala y dirección, propósito, sincronización y actores, aclararemos estos desarrollos y estructuraremos los modos formales e informales de las prácticas políticas.  Explicamos las dimensiones utilizando ejemplos reales para ilustrar las características únicas de cada campo de acción tecnopolítica y la dinámica de poderes que influyen en ellos.\nEn aquest article volem reconsiderar el terme tecnopolítica i veure què significa en la política democràtica dels nostres temps. Comencem indagant l’ús inicial del terme i com aquest s’ha anat transformant per mitjà de les diverses i contradictòries adaptacions de les TIC (tecnologies de la informació i la comunicació) en els òrgans de govern, les organitzacions civils i els moviments populars. En la literatura acadèmica es poden apreciar dues corrents principals. D’una banda, hi ha els estudis sobre la política millorada gràcies a internet (coneguda com a “administració electrònica”) i la Política 2.0, les quals fan referència a la facilitació de pràctiques existents, com la votació electrònica, les campanyes i les peticions per internet. I, d’altra banda, la segona corrent de la perspectiva de la influència d’internet se sustenta en la idea que les TIC són essencials per a l’organització d’una política transformadora i controvertida, la participació ciutadana i els processos deliberatius. Els estudis han utilitzat sovint, amb una o altra etiqueta, idees de la tecnopolítica en termes indefinits o imprecisos per descriure la influència de les tecnologies digitals en el seu àmbit d’investigació. Després de dur a terme una feina crítica de revisió i classificació dels conceptes principals emprats en la literatura per descriure actuacions polítiques basades en les TIC, interpretem un model conceptual de tecnopolítica orientat a dos desenvolupaments contrarotatoris: centralització versus descentralització. És un esquema format per les cinc dimensions context, escala i direcció, propòsit, sincronització i actors. Aclarirem aquests desenvolupaments i estructurarem els modes formals i informals de les pràctiques polítiques. N’explicarem les dimensions fent servir exemples reals per il·lustrar les característiques úniques de cada camp d’acció tecnopolítica i la dinàmica de poders que hi influeixen.","container-title":"IDP: revista de Internet, derecho y política = revista d'Internet, dret i política","ISSN":"1699-8154","issue":"24","language":"eng","note":"publisher: Universitat Oberta de Catalunya = Universidad Oberta de Cataluña, UOC\nsection: IDP: revista de Internet, derecho y política = revista d'Internet, dret i política","page":"2","source":"dialnet.unirioja.es","title":"What is technopolitics? A conceptual schema for understanding politics in the digital age","title-short":"What is technopolitics?","author":[{"family":"Kurban","given":"Can"},{"family":"Peña López","given":"Ismael"},{"family":"Haberer","given":"Maria"}],"issued":{"date-parts":[["2017"]]}}},{"id":1435,"uris":["http://zotero.org/users/3599437/items/K3F8QBVP"],"itemData":{"id":1435,"type":"article-journal","abstract":"Critical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id":1433,"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Accountability","volume":"3","author":[{"family":"Diakopoulos","given":"Nicholas"}],"issued":{"date-parts":[["2015",5,4]]}}}],"schema":"https://github.com/citation-style-language/schema/raw/master/csl-citation.json"} </w:instrText>
      </w:r>
      <w:r w:rsidR="006D2EA8">
        <w:rPr>
          <w:lang w:val="en-US"/>
        </w:rPr>
        <w:fldChar w:fldCharType="separate"/>
      </w:r>
      <w:r w:rsidR="006D2EA8" w:rsidRPr="00D253C3">
        <w:rPr>
          <w:vertAlign w:val="superscript"/>
          <w:lang w:val="en-US"/>
        </w:rPr>
        <w:t>5–8</w:t>
      </w:r>
      <w:r w:rsidR="006D2EA8">
        <w:rPr>
          <w:lang w:val="en-US"/>
        </w:rPr>
        <w:fldChar w:fldCharType="end"/>
      </w:r>
      <w:r>
        <w:rPr>
          <w:lang w:val="en-US"/>
        </w:rPr>
        <w:t xml:space="preserve">. While </w:t>
      </w:r>
      <w:r w:rsidR="00C55944">
        <w:rPr>
          <w:lang w:val="en-US"/>
        </w:rPr>
        <w:t>social scientists have long recognized the</w:t>
      </w:r>
      <w:r w:rsidR="0014002B">
        <w:rPr>
          <w:lang w:val="en-US"/>
        </w:rPr>
        <w:t xml:space="preserve">se </w:t>
      </w:r>
      <w:r>
        <w:rPr>
          <w:lang w:val="en-US"/>
        </w:rPr>
        <w:t>interactions</w:t>
      </w:r>
      <w:r w:rsidR="00D253C3">
        <w:rPr>
          <w:lang w:val="en-US"/>
        </w:rPr>
        <w:fldChar w:fldCharType="begin"/>
      </w:r>
      <w:r w:rsidR="00D253C3">
        <w:rPr>
          <w:lang w:val="en-US"/>
        </w:rPr>
        <w:instrText xml:space="preserve"> ADDIN ZOTERO_ITEM CSL_CITATION {"citationID":"SX0L1dzS","properties":{"formattedCitation":"\\super 9\\nosupersub{}","plainCitation":"9","noteIndex":0},"citationItems":[{"id":1371,"uris":["http://zotero.org/users/3599437/items/3CYIBW5F"],"itemData":{"id":1371,"type":"chapter","abstract":"This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D253C3" w:rsidRPr="00D253C3">
        <w:rPr>
          <w:vertAlign w:val="superscript"/>
          <w:lang w:val="en-US"/>
        </w:rPr>
        <w:t>9</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Pr>
          <w:lang w:val="en-US"/>
        </w:rPr>
        <w:t>There have been c</w:t>
      </w:r>
      <w:r w:rsidR="00520667">
        <w:rPr>
          <w:lang w:val="en-US"/>
        </w:rPr>
        <w:t>alls for</w:t>
      </w:r>
      <w:r>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D51DD6">
        <w:rPr>
          <w:lang w:val="en-US"/>
        </w:rPr>
        <w:instrText xml:space="preserve"> ADDIN ZOTERO_ITEM CSL_CITATION {"citationID":"SAVYdMUQ","properties":{"formattedCitation":"\\super 10\\uc0\\u8211{}14\\nosupersub{}","plainCitation":"10–14","noteIndex":0},"citationItems":[{"id":982,"uris":["http://zotero.org/users/3599437/items/9BEXPEC5"],"itemData":{"id":982,"type":"article-journal","abstract":"Agroecology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Jahi"}],"issued":{"date-parts":[["2021",2,11]]}}},{"id":1342,"uris":["http://zotero.org/users/3599437/items/LTLMAHKJ"],"itemData":{"id":1342,"type":"article-journal","abstract":"First paragraph:\nWe write to highlight the potential for aca­demic agroecology to address the crucial challenge facing agriculture in the Upper Midwest region of the U.S.: diversification. Integrative forms of agroecology—often framed as “science, prac­tice, and movement” (Wezel et al. 2018)—can make important and unique contributions to expanding the scale at which diversified farming systems are adopted in the region. After outlining the current situation in the Upper Midwest region, we identify particular roles—currently not robustly practiced—that academic agroecologists can play to advance diversification.","container-title":"Journal of Agriculture, Food Systems, and Community Development","DOI":"10.5304/jafscd.2024.133.007","ISSN":"2152-0801","issue":"3","language":"en","license":"Copyright (c) 2024 Nicholas R. Jordan, Matt Liebman, Mitch Hunter, Colin Cureton","note":"number: 3","page":"1-6","source":"www.foodsystemsjournal.org","title":"Broadscale diversification of Midwestern agriculture requires an agroecological approach","volume":"13","author":[{"family":"Jordan","given":"Nicholas"},{"family":"Liebman","given":"Matt"},{"family":"Hunter","given":"Mitch"},{"family":"Cureton","given":"Colin"}],"issued":{"date-parts":[["2024",4,24]]}}},{"id":1469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E."}],"accessed":{"date-parts":[["2024",6,6]]},"issued":{"date-parts":[["1991",1,1]]}}},{"id":1137,"uris":["http://zotero.org/users/3599437/items/CCZS5TAZ"],"itemData":{"id":1137,"type":"article-journal","abstract":"The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Wit","given":"Maywa"}],"issued":{"date-parts":[["2022",8,9]]}}}],"schema":"https://github.com/citation-style-language/schema/raw/master/csl-citation.json"} </w:instrText>
      </w:r>
      <w:r w:rsidR="00D51DD6">
        <w:rPr>
          <w:lang w:val="en-US"/>
        </w:rPr>
        <w:fldChar w:fldCharType="separate"/>
      </w:r>
      <w:r w:rsidR="00D51DD6" w:rsidRPr="00D51DD6">
        <w:rPr>
          <w:vertAlign w:val="superscript"/>
          <w:lang w:val="en-US"/>
        </w:rPr>
        <w:t>10–14</w:t>
      </w:r>
      <w:r w:rsidR="00D51DD6">
        <w:rPr>
          <w:lang w:val="en-US"/>
        </w:rPr>
        <w:fldChar w:fldCharType="end"/>
      </w:r>
      <w:r w:rsidR="00520667">
        <w:rPr>
          <w:lang w:val="en-US"/>
        </w:rPr>
        <w:t>, but it remains a formidable task</w:t>
      </w:r>
      <w:r>
        <w:rPr>
          <w:lang w:val="en-US"/>
        </w:rPr>
        <w:t xml:space="preserve"> in agriculture</w:t>
      </w:r>
      <w:r w:rsidR="001D6797">
        <w:rPr>
          <w:lang w:val="en-US"/>
        </w:rPr>
        <w:t xml:space="preserve">. </w:t>
      </w:r>
      <w:r w:rsidR="00926CF0">
        <w:rPr>
          <w:lang w:val="en-US"/>
        </w:rPr>
        <w:t xml:space="preserve">We believe the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D51DD6">
        <w:rPr>
          <w:lang w:val="en-US"/>
        </w:rPr>
        <w:fldChar w:fldCharType="begin"/>
      </w:r>
      <w:r w:rsidR="00D51DD6">
        <w:rPr>
          <w:lang w:val="en-US"/>
        </w:rPr>
        <w:instrText xml:space="preserve"> ADDIN ZOTERO_ITEM CSL_CITATION {"citationID":"qexWiYuL","properties":{"formattedCitation":"\\super 15\\nosupersub{}","plainCitation":"15","noteIndex":0},"citationItems":[{"id":1466,"uris":["http://zotero.org/users/3599437/items/3664CACM"],"itemData":{"id":1466,"type":"book","ISBN":"978-0-262-54718-5","language":"en","note":"Google-Books-ID: rHOdEAAAQBAJ","number-of-pages":"328","publisher":"MIT Press","source":"Google Books","title":"Data Feminism","author":[{"family":"D'Ignazio","given":"Catherine"},{"family":"Klein","given":"Lauren F."}],"issued":{"date-parts":[["2020"]]}}}],"schema":"https://github.com/citation-style-language/schema/raw/master/csl-citation.json"} </w:instrText>
      </w:r>
      <w:r w:rsidR="00D51DD6">
        <w:rPr>
          <w:lang w:val="en-US"/>
        </w:rPr>
        <w:fldChar w:fldCharType="separate"/>
      </w:r>
      <w:r w:rsidR="00D51DD6" w:rsidRPr="00D51DD6">
        <w:rPr>
          <w:vertAlign w:val="superscript"/>
          <w:lang w:val="en-US"/>
        </w:rPr>
        <w:t>15</w:t>
      </w:r>
      <w:r w:rsidR="00D51DD6">
        <w:rPr>
          <w:lang w:val="en-US"/>
        </w:rPr>
        <w:fldChar w:fldCharType="end"/>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 inability to study dimensions of power in isolation </w:t>
      </w:r>
      <w:r w:rsidR="00D51DD6">
        <w:rPr>
          <w:lang w:val="en-US"/>
        </w:rPr>
        <w:fldChar w:fldCharType="begin"/>
      </w:r>
      <w:r w:rsidR="00D51DD6">
        <w:rPr>
          <w:lang w:val="en-US"/>
        </w:rPr>
        <w:instrText xml:space="preserve"> ADDIN ZOTERO_ITEM CSL_CITATION {"citationID":"BtAt5G0R","properties":{"formattedCitation":"\\super 16\\nosupersub{}","plainCitation":"16","noteIndex":0},"citationItems":[{"id":1468,"uris":["http://zotero.org/users/3599437/items/DS8YB79Y"],"itemData":{"id":1468,"type":"article-journal","container-title":"Stanford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D51DD6" w:rsidRPr="00D51DD6">
        <w:rPr>
          <w:vertAlign w:val="superscript"/>
          <w:lang w:val="en-US"/>
        </w:rPr>
        <w:t>16</w:t>
      </w:r>
      <w:r w:rsidR="00D51DD6">
        <w:rPr>
          <w:lang w:val="en-US"/>
        </w:rPr>
        <w:fldChar w:fldCharType="end"/>
      </w:r>
      <w:r w:rsidR="00926CF0">
        <w:rPr>
          <w:lang w:val="en-US"/>
        </w:rPr>
        <w:t xml:space="preserve">. </w:t>
      </w:r>
      <w:r w:rsidR="006A3F10">
        <w:rPr>
          <w:lang w:val="en-US"/>
        </w:rPr>
        <w:t xml:space="preserve">It is </w:t>
      </w:r>
      <w:r w:rsidR="00926CF0">
        <w:rPr>
          <w:lang w:val="en-US"/>
        </w:rPr>
        <w:t xml:space="preserve">action-oriented and </w:t>
      </w:r>
      <w:r w:rsidR="00926CF0" w:rsidRPr="00172B03">
        <w:rPr>
          <w:lang w:val="en-US"/>
        </w:rPr>
        <w:t xml:space="preserve">domain-agnostic, and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D51DD6">
        <w:rPr>
          <w:lang w:val="en-US"/>
        </w:rPr>
        <w:instrText xml:space="preserve"> ADDIN ZOTERO_ITEM CSL_CITATION {"citationID":"rZcR7QPT","properties":{"formattedCitation":"\\super 17\\nosupersub{}","plainCitation":"17","noteIndex":0},"citationItems":[{"id":906,"uris":["http://zotero.org/users/3599437/items/TAJD9K9N"],"itemData":{"id":906,"type":"article-journal","abstract":"Using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D51DD6" w:rsidRPr="00D51DD6">
        <w:rPr>
          <w:vertAlign w:val="superscript"/>
          <w:lang w:val="en-US"/>
        </w:rPr>
        <w:t>17</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2D4B8C76"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data feminism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research creativity, stakeholder participation, and agricultural sustainability writ large.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3E4EFC11"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ata feminism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B0328D"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B0328D"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876F61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interpret the Data Feminism framework in an agricultural setting, demonstrate its utility, and serve as a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 xml:space="preserve">should seek to equalize </w:t>
      </w:r>
      <w:proofErr w:type="gramStart"/>
      <w:r w:rsidR="00EE392E">
        <w:rPr>
          <w:lang w:val="en-US"/>
        </w:rPr>
        <w:t>power</w:t>
      </w:r>
      <w:proofErr w:type="gramEnd"/>
    </w:p>
    <w:p w14:paraId="50F09C51" w14:textId="77777777" w:rsidR="00520667" w:rsidRPr="007018EE" w:rsidRDefault="00520667" w:rsidP="005E13CB">
      <w:pPr>
        <w:rPr>
          <w:i/>
          <w:iCs/>
          <w:color w:val="20124D"/>
          <w:shd w:val="clear" w:color="auto" w:fill="FFFFFF"/>
          <w:lang w:val="en-US"/>
        </w:rPr>
      </w:pPr>
    </w:p>
    <w:p w14:paraId="61600001" w14:textId="5FA33ECE" w:rsidR="00B51666" w:rsidRDefault="00D33AAF" w:rsidP="00B51666">
      <w:pPr>
        <w:rPr>
          <w:lang w:val="en-US"/>
        </w:rPr>
      </w:pPr>
      <w:r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 xml:space="preserve">rectification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C42FD0">
        <w:rPr>
          <w:lang w:val="en-US"/>
        </w:rPr>
        <w:instrText xml:space="preserve"> ADDIN ZOTERO_ITEM CSL_CITATION {"citationID":"SUeczId9","properties":{"formattedCitation":"\\super 18,19\\nosupersub{}","plainCitation":"18,19","noteIndex":0},"citationItems":[{"id":1471,"uris":["http://zotero.org/users/3599437/items/Q3VMI6DK"],"itemData":{"id":1471,"type":"book","abstract":"Migrant workers live in a transnational world that spans the boundaries of nation-states. Yet for undocumented workers, this world is complicated by inflexible immigration policies and the ever-present threat of enforcement. Workers labeled as “illegals” wrestle with restrictive immigration policies, evading border patrol and local police as they risk their lives to achieve economic stability for their families. For this group of workers, whose lives in the U.S. are largely defined by their tenuous legal status, the sacrifices they make to get ahead entail long periods of waiting, extended separation from family, and above all, tremendous uncertainty around a freedom that many of us take for granted—everyday mobility. In Milking in the Shadows, Julie Keller takes an in-depth look at a population of undocumented migrants working in the American dairy industry to understand the components of this labor system. This book offers a framework for understanding the disjuncture between the labor desired by employers and life as an undocumented worker in America today.","ISBN":"978-0-8135-9641-9","language":"en","note":"Google-Books-ID: wuSCEAAAQBAJ","number-of-pages":"197","publisher":"Rutgers University Press","source":"Google Books","title":"Milking in the Shadows: Migrants and Mobility in America’s Dairyland","title-short":"Milking in the Shadows","author":[{"family":"Keller","given":"Julie C."}],"issued":{"date-parts":[["2019",1,7]]}}},{"id":1473,"uris":["http://zotero.org/users/3599437/items/645VEX2E"],"itemData":{"id":1473,"type":"article-journal","container-title":"Animal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Agriculture","title-short":"Exploited","volume":"30","author":[{"family":"Kelly","given":"Caitlin"}],"issued":{"date-parts":[["2024"]]}}}],"schema":"https://github.com/citation-style-language/schema/raw/master/csl-citation.json"} </w:instrText>
      </w:r>
      <w:r w:rsidR="00C42FD0">
        <w:rPr>
          <w:lang w:val="en-US"/>
        </w:rPr>
        <w:fldChar w:fldCharType="separate"/>
      </w:r>
      <w:r w:rsidR="00C42FD0" w:rsidRPr="00C42FD0">
        <w:rPr>
          <w:vertAlign w:val="superscript"/>
          <w:lang w:val="en-US"/>
        </w:rPr>
        <w:t>18,19</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2260F">
        <w:rPr>
          <w:lang w:val="en-US"/>
        </w:rPr>
        <w:instrText xml:space="preserve"> ADDIN ZOTERO_ITEM CSL_CITATION {"citationID":"Xu48sDJp","properties":{"formattedCitation":"\\super 20,21\\nosupersub{}","plainCitation":"20,21","noteIndex":0},"citationItems":[{"id":1475,"uris":["http://zotero.org/users/3599437/items/PS35EMQT"],"itemData":{"id":1475,"type":"article-journal","container-title":"Native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R."}],"issued":{"date-parts":[["2021"]]}}},{"id":1302,"uris":["http://zotero.org/users/3599437/items/XM9D2D4C"],"itemData":{"id":1302,"type":"article-journal","abstract":"Land-grant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2260F" w:rsidRPr="0072260F">
        <w:rPr>
          <w:vertAlign w:val="superscript"/>
          <w:lang w:val="en-US"/>
        </w:rPr>
        <w:t>20,21</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5622C2">
        <w:rPr>
          <w:lang w:val="en-US"/>
        </w:rPr>
        <w:instrText xml:space="preserve"> ADDIN ZOTERO_ITEM CSL_CITATION {"citationID":"S0Pev1D9","properties":{"formattedCitation":"\\super 22\\uc0\\u8211{}24\\nosupersub{}","plainCitation":"22–24","noteIndex":0},"citationItems":[{"id":1476,"uris":["http://zotero.org/users/3599437/items/ET6KAEWC"],"itemData":{"id":1476,"type":"article-journal","abstract":"Of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D."},{"family":"Sharp","given":"Gwen"}],"issued":{"date-parts":[["2002"]]}}},{"id":1477,"uris":["http://zotero.org/users/3599437/items/7LMXKVSR"],"itemData":{"id":1477,"type":"article-journal","abstract":"The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W."}],"issued":{"date-parts":[["2013",9,1]]}}},{"id":1479,"uris":["http://zotero.org/users/3599437/items/L7LZ4A8P"],"itemData":{"id":1479,"type":"article-journal","container-title":"Boston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Own","volume":"19","author":[{"family":"Aoki","given":"Keith"}],"issued":{"date-parts":[["1998"]],"season":"1999"}}}],"schema":"https://github.com/citation-style-language/schema/raw/master/csl-citation.json"} </w:instrText>
      </w:r>
      <w:r w:rsidR="0072260F">
        <w:rPr>
          <w:lang w:val="en-US"/>
        </w:rPr>
        <w:fldChar w:fldCharType="separate"/>
      </w:r>
      <w:r w:rsidR="005622C2" w:rsidRPr="00B0328D">
        <w:rPr>
          <w:vertAlign w:val="superscript"/>
          <w:lang w:val="en-US"/>
        </w:rPr>
        <w:t>22–24</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so 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5622C2">
        <w:rPr>
          <w:lang w:val="en-US"/>
        </w:rPr>
        <w:instrText xml:space="preserve"> ADDIN ZOTERO_ITEM CSL_CITATION {"citationID":"8AoD7s1P","properties":{"formattedCitation":"\\super 25\\nosupersub{}","plainCitation":"25","noteIndex":0},"citationItems":[{"id":1298,"uris":["http://zotero.org/users/3599437/items/PTFRW4YS"],"itemData":{"id":1298,"type":"chapter","container-title":"Black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5622C2" w:rsidRPr="005622C2">
        <w:rPr>
          <w:vertAlign w:val="superscript"/>
          <w:lang w:val="en-US"/>
        </w:rPr>
        <w:t>25</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B0328D"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B0328D"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0C4C989B"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5622C2">
              <w:rPr>
                <w:lang w:val="en-US"/>
              </w:rPr>
              <w:fldChar w:fldCharType="begin"/>
            </w:r>
            <w:r w:rsidR="00B008D2">
              <w:rPr>
                <w:lang w:val="en-US"/>
              </w:rPr>
              <w:instrText xml:space="preserve"> ADDIN ZOTERO_ITEM CSL_CITATION {"citationID":"ep2ZuVcv","properties":{"formattedCitation":"\\super 26\\uc0\\u8211{}28\\nosupersub{}","plainCitation":"26–28","noteIndex":0},"citationItems":[{"id":1300,"uris":["http://zotero.org/users/3599437/items/IVVBHHY3"],"itemData":{"id":1300,"type":"report","number":"45897","publisher":"Congressional Research Service","title":"The US land-grant university system: An overview.","author":[{"family":"Croft","given":"G.K."}]}},{"id":1294,"uris":["http://zotero.org/users/3599437/items/GXVXB39G"],"itemData":{"id":1294,"type":"article-journal","container-title":"The Review of Black Political Economy","DOI":"10.1007/s12114-005-1003-0","ISSN":"0034-6446","issue":"3-4","language":"en","note":"publisher: SAGE Publications Inc","page":"29-38","source":"SAGE Journals","title":"All Land Grants Were not Created Equal: The Benefits of White Privilege","title-short":"All Land Grants Were not Created Equal","volume":"32","author":[{"family":"Sharpe","given":"Rhonda Vonshay"}],"issued":{"date-parts":[["2004",12,1]]}}},{"id":1306,"uris":["http://zotero.org/users/3599437/items/4SJNA3GE"],"itemData":{"id":1306,"type":"article-journal","container-title":"Tribal College: Journal of American Indian Higher Education","ISSN":"10525505","issue":"3","language":"English","license":"Copyright American Indian Higher Education Consortium Spring 2018","note":"number-of-pages: 50\npublisher-place: Mancos, United States\npublisher: American Indian Higher Education Consortium\nsection: VOICES","page":"50","source":"ProQuest","title":"A Time for Substance: Confronting Funding Inequities at Land Grant Institutions","title-short":"A Time for Substance","volume":"29","author":[{"family":"Martin","given":"Michael V."},{"family":"Hipp","given":"Janie Simms"}],"issued":{"date-parts":[["2018"]]}},"locator":"201"}],"schema":"https://github.com/citation-style-language/schema/raw/master/csl-citation.json"} </w:instrText>
            </w:r>
            <w:r w:rsidR="005622C2">
              <w:rPr>
                <w:lang w:val="en-US"/>
              </w:rPr>
              <w:fldChar w:fldCharType="separate"/>
            </w:r>
            <w:r w:rsidR="005622C2" w:rsidRPr="005622C2">
              <w:rPr>
                <w:vertAlign w:val="superscript"/>
                <w:lang w:val="en-US"/>
              </w:rPr>
              <w:t>26–28</w:t>
            </w:r>
            <w:r w:rsidR="005622C2">
              <w:rPr>
                <w:lang w:val="en-US"/>
              </w:rPr>
              <w:fldChar w:fldCharType="end"/>
            </w:r>
            <w:r w:rsidR="0072381E">
              <w:rPr>
                <w:lang w:val="en-US"/>
              </w:rPr>
              <w:t>; d</w:t>
            </w:r>
            <w:r>
              <w:rPr>
                <w:lang w:val="en-US"/>
              </w:rPr>
              <w:t>iscriminatory design of US land heirship laws</w:t>
            </w:r>
            <w:r w:rsidR="005622C2">
              <w:rPr>
                <w:lang w:val="en-US"/>
              </w:rPr>
              <w:fldChar w:fldCharType="begin"/>
            </w:r>
            <w:r w:rsidR="00B008D2">
              <w:rPr>
                <w:lang w:val="en-US"/>
              </w:rPr>
              <w:instrText xml:space="preserve"> ADDIN ZOTERO_ITEM CSL_CITATION {"citationID":"RqJloF5F","properties":{"formattedCitation":"\\super 29\\uc0\\u8211{}31\\nosupersub{}","plainCitation":"29–31","noteIndex":0},"citationItems":[{"id":1163,"uris":["http://zotero.org/users/3599437/items/FW3RSY2I"],"itemData":{"id":1163,"type":"article-journal","abstract":"(2007). Intestate Succession and Heir Property: Implications for Future Research on the Persistence of Poverty in Central Appalachia. Journal of Economic Issues: Vol. 41, No. 4, pp. 927-942.","archive_location":"world","container-title":"Journal of Economic Issues","ISSN":"0021-3624","language":"EN","license":"© 2007 by Journal of Economic Issues–Association for Evolutionary Economics.","note":"publisher: Routledge","source":"www.tandfonline.com","title":"Intestate Succession and Heir Property: Implications for Future Research on the Persistence of Poverty in Central Appalachia","title-short":"Intestate Succession and Heir Property","URL":"https://www.tandfonline.com/doi/abs/10.1080/00213624.2007.11507081","author":[{"family":"Deaton","given":"B. James"}],"accessed":{"date-parts":[["2024",4,18]]},"issued":{"date-parts":[["2007",12,1]]}}},{"id":1167,"uris":["http://zotero.org/users/3599437/items/7NJEZAYV"],"itemData":{"id":1167,"type":"article-journal","abstract":"We use critical race theory (CRT) to examine the involuntary loss of land and homes among Black residents of the southeastern United States and in particular among the Gullah/Geechee. An Afro-indigenous population, the Gullah/Geechee have deep roots in the federally designated Gullah/Geechee Cultural Heritage Corridor, an area of sea islands and coastal Lowcountry within 25 coastal counties in North and South Carolina, Georgia, and Florida. We identify legal vulnerabilities associated with heirs property, in particular tax sales and predatory partition actions, as mechanisms used within the legal system to dispossess owners of their land. Our use of CRT allows us to understand heirs property as a legacy of the Jim Crow era and to recognize material motivations behind continued racial discrimination that has led to involuntary land loss. CRT also leads us to consider the question of empowerment of the Gullah/Geechee population through a program of reparations for wrongful taking of land and homes since coastal development began roughly 70 years ago. One possible mechanism for reparations is to increase existing lodging taxes on coastal tourism along the Gullah/Geechee coast.","container-title":"Rural Sociology","DOI":"10.1111/ruso.12455","ISSN":"1549-0831","issue":"4","language":"en","license":"© 2022 Rural Sociological Society (RSS).","note":"_eprint: https://onlinelibrary.wiley.com/doi/pdf/10.1111/ruso.12455","page":"1219-1243","source":"Wiley Online Library","title":"Heirs Property, Critical Race Theory, and Reparations</w:instrText>
            </w:r>
            <w:r w:rsidR="00B008D2">
              <w:rPr>
                <w:rFonts w:ascii="Segoe UI Symbol" w:hAnsi="Segoe UI Symbol" w:cs="Segoe UI Symbol"/>
                <w:lang w:val="en-US"/>
              </w:rPr>
              <w:instrText>☆</w:instrText>
            </w:r>
            <w:r w:rsidR="00B008D2">
              <w:rPr>
                <w:lang w:val="en-US"/>
              </w:rPr>
              <w:instrText xml:space="preserve">","volume":"87","author":[{"family":"Bailey","given":"Conner"},{"family":"Thomson","given":"Ryan"}],"issued":{"date-parts":[["2022"]]}}},{"id":1481,"uris":["http://zotero.org/users/3599437/items/CYN42VAJ"],"itemData":{"id":1481,"type":"article-journal","container-title":"CUNY Law Review","issue":"2","journalAbbreviation":"CUNY L. Rev.","language":"eng","page":"172-219","source":"HeinOnline","title":"The Heirs' Property Problem: Racial Caste Origins and Systemic Effects in the Black Community","title-short":"The Heirs' Property Problem","volume":"26","author":[{"family":"Gibson","given":"Brenda D."}],"issued":{"date-parts":[["2023"]]}}}],"schema":"https://github.com/citation-style-language/schema/raw/master/csl-citation.json"} </w:instrText>
            </w:r>
            <w:r w:rsidR="005622C2">
              <w:rPr>
                <w:lang w:val="en-US"/>
              </w:rPr>
              <w:fldChar w:fldCharType="separate"/>
            </w:r>
            <w:r w:rsidR="00B008D2" w:rsidRPr="00B008D2">
              <w:rPr>
                <w:vertAlign w:val="superscript"/>
                <w:lang w:val="en-US"/>
              </w:rPr>
              <w:t>29–31</w:t>
            </w:r>
            <w:r w:rsidR="005622C2">
              <w:rPr>
                <w:lang w:val="en-US"/>
              </w:rPr>
              <w:fldChar w:fldCharType="end"/>
            </w:r>
            <w:r w:rsidR="0072381E">
              <w:rPr>
                <w:lang w:val="en-US"/>
              </w:rPr>
              <w:t>; d</w:t>
            </w:r>
            <w:r>
              <w:rPr>
                <w:lang w:val="en-US"/>
              </w:rPr>
              <w:t>iscretionary implementation of eminent domain laws</w:t>
            </w:r>
            <w:r w:rsidR="00B008D2">
              <w:rPr>
                <w:lang w:val="en-US"/>
              </w:rPr>
              <w:fldChar w:fldCharType="begin"/>
            </w:r>
            <w:r w:rsidR="00B008D2">
              <w:rPr>
                <w:lang w:val="en-US"/>
              </w:rPr>
              <w:instrText xml:space="preserve"> ADDIN ZOTERO_ITEM CSL_CITATION {"citationID":"orFRJN58","properties":{"formattedCitation":"\\super 32\\nosupersub{}","plainCitation":"32","noteIndex":0},"citationItems":[{"id":1451,"uris":["http://zotero.org/users/3599437/items/KKPZ7RNE"],"itemData":{"id":1451,"type":"article-journal","container-title":"Penn State Law Review","issue":"3","journalAbbreviation":"Penn St. L. Rev.","language":"eng","page":"609-666","source":"HeinOnline","title":"Eminent Domain and Unfettered Discretion: Lessons from a History of U.S. Territorial Takings","title-short":"Eminent Domain and Unfettered Discretion","volume":"126","author":[{"family":"Fraley","given":"Jill M."}],"issued":{"date-parts":[["2021"]],"season":"2022"}}}],"schema":"https://github.com/citation-style-language/schema/raw/master/csl-citation.json"} </w:instrText>
            </w:r>
            <w:r w:rsidR="00B008D2">
              <w:rPr>
                <w:lang w:val="en-US"/>
              </w:rPr>
              <w:fldChar w:fldCharType="separate"/>
            </w:r>
            <w:r w:rsidR="00B008D2" w:rsidRPr="00B008D2">
              <w:rPr>
                <w:vertAlign w:val="superscript"/>
                <w:lang w:val="en-US"/>
              </w:rPr>
              <w:t>32</w:t>
            </w:r>
            <w:r w:rsidR="00B008D2">
              <w:rPr>
                <w:lang w:val="en-US"/>
              </w:rPr>
              <w:fldChar w:fldCharType="end"/>
            </w:r>
            <w:r>
              <w:rPr>
                <w:lang w:val="en-US"/>
              </w:rPr>
              <w:t xml:space="preserve"> </w:t>
            </w:r>
          </w:p>
        </w:tc>
      </w:tr>
      <w:tr w:rsidR="005E13CB" w:rsidRPr="00B0328D"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4E874C5D" w:rsidR="005E13CB" w:rsidRDefault="005E13CB" w:rsidP="0072381E">
            <w:pPr>
              <w:rPr>
                <w:lang w:val="en-US"/>
              </w:rPr>
            </w:pPr>
            <w:r>
              <w:rPr>
                <w:lang w:val="en-US"/>
              </w:rPr>
              <w:t>USDA credit granting discrimination based on race and gender</w:t>
            </w:r>
            <w:r w:rsidR="00B008D2">
              <w:rPr>
                <w:lang w:val="en-US"/>
              </w:rPr>
              <w:fldChar w:fldCharType="begin"/>
            </w:r>
            <w:r w:rsidR="00B008D2">
              <w:rPr>
                <w:lang w:val="en-US"/>
              </w:rPr>
              <w:instrText xml:space="preserve"> ADDIN ZOTERO_ITEM CSL_CITATION {"citationID":"up0UtM97","properties":{"formattedCitation":"\\super 33\\nosupersub{}","plainCitation":"33","noteIndex":0},"citationItems":[{"id":1311,"uris":["http://zotero.org/users/3599437/items/L2KU5WSR"],"itemData":{"id":1311,"type":"article-journal","container-title":"Drake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00B008D2">
              <w:rPr>
                <w:lang w:val="en-US"/>
              </w:rPr>
              <w:fldChar w:fldCharType="separate"/>
            </w:r>
            <w:r w:rsidR="00B008D2" w:rsidRPr="00B008D2">
              <w:rPr>
                <w:vertAlign w:val="superscript"/>
                <w:lang w:val="en-US"/>
              </w:rPr>
              <w:t>33</w:t>
            </w:r>
            <w:r w:rsidR="00B008D2">
              <w:rPr>
                <w:lang w:val="en-US"/>
              </w:rPr>
              <w:fldChar w:fldCharType="end"/>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B008D2">
              <w:rPr>
                <w:lang w:val="en-US"/>
              </w:rPr>
              <w:fldChar w:fldCharType="begin"/>
            </w:r>
            <w:r w:rsidR="00B008D2">
              <w:rPr>
                <w:lang w:val="en-US"/>
              </w:rPr>
              <w:instrText xml:space="preserve"> ADDIN ZOTERO_ITEM CSL_CITATION {"citationID":"2S1lUScW","properties":{"formattedCitation":"\\super 34,35\\nosupersub{}","plainCitation":"34,35","noteIndex":0},"citationItems":[{"id":1014,"uris":["http://zotero.org/users/3599437/items/RYC9X8CV"],"itemData":{"id":1014,"type":"article-journal","container-title":"Choices","ISSN":"0886-5558","issue":"1","note":"publisher: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1316,"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00B008D2">
              <w:rPr>
                <w:lang w:val="en-US"/>
              </w:rPr>
              <w:fldChar w:fldCharType="separate"/>
            </w:r>
            <w:r w:rsidR="00B008D2" w:rsidRPr="00B008D2">
              <w:rPr>
                <w:vertAlign w:val="superscript"/>
                <w:lang w:val="en-US"/>
              </w:rPr>
              <w:t>34,35</w:t>
            </w:r>
            <w:r w:rsidR="00B008D2">
              <w:rPr>
                <w:lang w:val="en-US"/>
              </w:rPr>
              <w:fldChar w:fldCharType="end"/>
            </w:r>
            <w:r w:rsidR="0072381E">
              <w:rPr>
                <w:lang w:val="en-US"/>
              </w:rPr>
              <w:t>; b</w:t>
            </w:r>
            <w:r>
              <w:rPr>
                <w:lang w:val="en-US"/>
              </w:rPr>
              <w:t>arriers to participation of American Indian lands in NRCS programs</w:t>
            </w:r>
            <w:r w:rsidR="00F15A28">
              <w:rPr>
                <w:lang w:val="en-US"/>
              </w:rPr>
              <w:fldChar w:fldCharType="begin"/>
            </w:r>
            <w:r w:rsidR="00F15A28">
              <w:rPr>
                <w:lang w:val="en-US"/>
              </w:rPr>
              <w:instrText xml:space="preserve"> ADDIN ZOTERO_ITEM CSL_CITATION {"citationID":"rE2IvE1a","properties":{"formattedCitation":"\\super 36\\nosupersub{}","plainCitation":"36","noteIndex":0},"citationItems":[{"id":1485,"uris":["http://zotero.org/users/3599437/items/V9XP3NPP"],"itemData":{"id":1485,"type":"article-journal","abstract":"There has been significant study of barriers to implementation of payment for ecosystem services in Indigenous communities in less developed countries. These barriers include land tenure insecurity and lack of access to capital. However, there is no similar research in the Organization for Economic Cooperation and Development (OECD) countries. Our research fills this gap. We hypothesize that mismatches between the traditional land tenure regimes and institutional arrangements of Indigenous communities on one hand, and government sponsors of PES programs on the other hand, result in the lack of success of these programs. To test this hypothesis, we conducted a qualitative study of the Environmental Quality Incentives Program (EQIP) on the Hopi reservation in the United States. We answer two questions: (1) What barriers prevent Hopi ranchers and farmers from participating in incentive-based programs? (2) What institutional changes are necessary to permit Hopi farmer and rancher participation in EQIP? We analyzed primary documents and conducted key informant interviews. We conclude that land tenure is at the forefront of problems associated with administering PES programs in Indigenous communities. Without new approaches addressing the land tenure regimes in Indigenous communities, PES will continue to struggle on American Indian reservations and around the world.","container-title":"Ecosystem Services","DOI":"10.1016/j.ecoser.2018.05.009","ISSN":"2212-0416","journalAbbreviation":"Ecosystem Services","page":"62-69","source":"ScienceDirect","title":"Barriers to PES programs in Indigenous communities: A lesson in land tenure insecurity from the Hopi Indian reservation","title-short":"Barriers to PES programs in Indigenous communities","volume":"32","author":[{"family":"Johnson","given":"Michael Kotutwa"},{"family":"Lien","given":"Aaron M."},{"family":"Sherman","given":"Natalya Robbins"},{"family":"López-Hoffman","given":"Laura"}],"issued":{"date-parts":[["2018",8,1]]}}}],"schema":"https://github.com/citation-style-language/schema/raw/master/csl-citation.json"} </w:instrText>
            </w:r>
            <w:r w:rsidR="00F15A28">
              <w:rPr>
                <w:lang w:val="en-US"/>
              </w:rPr>
              <w:fldChar w:fldCharType="separate"/>
            </w:r>
            <w:r w:rsidR="00F15A28" w:rsidRPr="00F15A28">
              <w:rPr>
                <w:vertAlign w:val="superscript"/>
                <w:lang w:val="en-US"/>
              </w:rPr>
              <w:t>36</w:t>
            </w:r>
            <w:r w:rsidR="00F15A28">
              <w:rPr>
                <w:lang w:val="en-US"/>
              </w:rPr>
              <w:fldChar w:fldCharType="end"/>
            </w:r>
          </w:p>
        </w:tc>
      </w:tr>
      <w:tr w:rsidR="005E13CB" w:rsidRPr="00B0328D"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6331FC4B" w:rsidR="005E13CB" w:rsidRDefault="0072381E" w:rsidP="00792C60">
            <w:pPr>
              <w:rPr>
                <w:lang w:val="en-US"/>
              </w:rPr>
            </w:pPr>
            <w:r>
              <w:rPr>
                <w:color w:val="FF0000"/>
                <w:lang w:val="en-US"/>
              </w:rPr>
              <w:t>Gendered expectations for land ownership and management</w:t>
            </w:r>
            <w:r w:rsidR="004F7CEA">
              <w:rPr>
                <w:color w:val="FF0000"/>
                <w:lang w:val="en-US"/>
              </w:rPr>
              <w:fldChar w:fldCharType="begin"/>
            </w:r>
            <w:r w:rsidR="004F7CEA">
              <w:rPr>
                <w:color w:val="FF0000"/>
                <w:lang w:val="en-US"/>
              </w:rPr>
              <w:instrText xml:space="preserve"> ADDIN ZOTERO_ITEM CSL_CITATION {"citationID":"k3bVQEcH","properties":{"formattedCitation":"\\super 37\\nosupersub{}","plainCitation":"37","noteIndex":0},"citationItems":[{"id":1511,"uris":["http://zotero.org/users/3599437/items/CP6BKDW9"],"itemData":{"id":1511,"type":"article-journal","abstract":"Gendered expectations are central to the continuation of agricultural land tenure systems that concentrate land and power in the control of men. These expectations about how land should be used and by whom are communicated through cultural narratives and maintained through social interactions. Through analysis of qualitative data collected through in-depth interviews with women farmland owners in Iowa, this article identifies a pivotal person without whom the success of these stories is in jeopardy: the “placeholder.” In this article, I identify how cultural narratives place two gendered expectations on women in the placeholder position: (1) that women landowners maintain farmland through the continuance of its use and preexisting land agreements with tenants or co-owners, and (2) that women landowners defer their authority as landowners to men. Further, I identify the “changemaker” as an emerging character within cultural narratives—one who refuses to fit the expectations of placeholder and whose behavior may or may not be accepted by the community. Finally, I find that alternative social networks provide enabling environments for changemakers as sites of potential narrative revisions or shifts.","container-title":"Rural Sociology","DOI":"10.1111/ruso.12131","ISSN":"1549-0831","issue":"3","language":"en","license":"© 2016, by the Rural Sociological Society","note":"_eprint: https://onlinelibrary.wiley.com/doi/pdf/10.1111/ruso.12131","page":"499-523","source":"Wiley Online Library","title":"Placeholders and Changemakers: Women Farmland Owners Navigating Gendered Expectations","title-short":"Placeholders and Changemakers","volume":"82","author":[{"family":"Carter","given":"Angie"}],"issued":{"date-parts":[["2017"]]}}}],"schema":"https://github.com/citation-style-language/schema/raw/master/csl-citation.json"} </w:instrText>
            </w:r>
            <w:r w:rsidR="004F7CEA">
              <w:rPr>
                <w:color w:val="FF0000"/>
                <w:lang w:val="en-US"/>
              </w:rPr>
              <w:fldChar w:fldCharType="separate"/>
            </w:r>
            <w:r w:rsidR="004F7CEA" w:rsidRPr="004F7CEA">
              <w:rPr>
                <w:vertAlign w:val="superscript"/>
                <w:lang w:val="en-US"/>
              </w:rPr>
              <w:t>37</w:t>
            </w:r>
            <w:r w:rsidR="004F7CEA">
              <w:rPr>
                <w:color w:val="FF0000"/>
                <w:lang w:val="en-US"/>
              </w:rPr>
              <w:fldChar w:fldCharType="end"/>
            </w:r>
            <w:r>
              <w:rPr>
                <w:color w:val="FF0000"/>
                <w:lang w:val="en-US"/>
              </w:rPr>
              <w:t>; p</w:t>
            </w:r>
            <w:r w:rsidR="005E13CB">
              <w:rPr>
                <w:lang w:val="en-US"/>
              </w:rPr>
              <w:t>ublic extension and conservation programs focused on top-down, technical solutions</w:t>
            </w:r>
            <w:r w:rsidR="00F15A28">
              <w:rPr>
                <w:lang w:val="en-US"/>
              </w:rPr>
              <w:fldChar w:fldCharType="begin"/>
            </w:r>
            <w:r w:rsidR="00F15A28">
              <w:rPr>
                <w:lang w:val="en-US"/>
              </w:rPr>
              <w:instrText xml:space="preserve"> ADDIN ZOTERO_ITEM CSL_CITATION {"citationID":"XpAp0PVP","properties":{"formattedCitation":"\\super 38,39\\nosupersub{}","plainCitation":"38,39","noteIndex":0},"citationItems":[{"id":1333,"uris":["http://zotero.org/users/3599437/items/FZFZ84YP"],"itemData":{"id":1333,"type":"article-journal","abstract":"Agricultural management practices drawn from Indigenous agricultural knowledge (IAK) have supported people in the North American desert Southwest for thousands of years. Techniques developed and refined from generation to generation through careful observation and innovation have enhanced the sustainability and resilience of these delicate agroecosystems over millennia. USDA Natural Resources Conservation Service (NRCS) recognized the contributions of IAK practices to Environmental Quality Incentives (EQIP) and the Conservation Stewardship Programs (CSP) in the 2010 Indigenous Stewardship Methods and NRCS Conservation Practices (ISM) handbook. However, during fiscal year 2017 2% of EQIP and CSP contracts went to American Indian farms, which make up 2.9% of the total farms in the United States. NRCS would need to award nearly 400 more contracts to Indigenous farms to achieve proportional representation. This suggests significant potential exists for expanding American Indian participation in these conservation programs but barriers to their participation remain. For example, agriculturalists who wish to employ IAK management practices must go through an ad hoc process defined in the 2010 ISM handbook. This adds further complexity to the application process, in which applicants must navigate unique land tenure/ownership issues and tribal/federal interactions. Here we present examples of Indigenous conservation practices embedded in agricultural systems of Hopi dryland farmers, the La Courte Oreilles Band of Lake Superior Chippewa wild rice (Zizania palustris) harvesters, and Menominee tribal foresters to demonstrate the compatibility of IAK practices with NRCS conservation outcomes and to argue for full inclusion of Indigenous agricultural practices into something equivalent to the NRCS Field Office Technical Guides. Expansion of Indigenous agriculturalists and producers in NRCS programs can help preserve important ecosystems and help support Indigenous cultures and time-tested concepts of stewardship. Incorporation and support of IAK practices is beneficial to all stakeholders because expansion of partnerships between the NRCS and Indigenous agriculturalists and producers will help expand Indigenous conservation and agriculture practices and further the NRCS mission of “Helping People Help the Land.”","container-title":"Journal of Soil and Water Conservation","DOI":"10.2489/jswc.2021.00179","ISSN":"0022-4561, 1941-3300","issue":"6","language":"en","license":"© 2021 by the Soil and Water Conservation Society","note":"publisher: Soil and Water Conservation Society\nsection: Research Section","page":"487-497","source":"www.jswconline.org","title":"Enhancing integration of Indigenous agricultural knowledge into USDA Natural Resources Conservation Service cost-share initiatives","volume":"76","author":[{"family":"Johnson","given":"M. K."},{"family":"Rowe","given":"M. J."},{"family":"Lien","given":"A."},{"family":"López-Hoffman","given":"L."}],"issued":{"date-parts":[["2021",11,1]]}}},{"id":1321,"uris":["http://zotero.org/users/3599437/items/LHGSA3UI"],"itemData":{"id":1321,"type":"article-journal","abstract":"Although inter-cropping (IC) is widely practised in rainfed tropical small-scale agriculture, agricultural research scientists have not systematically explored the rationale for it and have rarely attempted to improve it. instead, they have concentrated on planting crops in pure stands and extension advice has been to replace IC with pure stands. This has reduced the impact of research and extension activities. A review of East African experience from the 1930s considers reasons for the research concentration on pure stand planting and reveals two phases when formal experiments on IC were carried out. Despite generally favourable results, neither of these led to including IC in extension advice to farmers. IC can contribute to one or more of five common objectives of small-scale farmers, but the standard design of agronomic experiments at best takes account of only one of these, so that benefits are underestimated and erroneous policy conclusions drawn. The paper advocates, inter alia, multidisciplinary research for small-scale agriculture and active participation by farmers themselves. RESUME Prendre la technologie indigène au sérieux: le cas des techniques d'association des cultures en Afrique orientale Bien que l'association des cultures (IC) soit très répandue dans l'agriculture pluviale intensive, les agronomes n'ont pas étudié systématiquement leur bien-fondé, et ont rarement tenté de l'améliorer. Ils se sont au contraire attachés à encourager les cultures ‘propres’, certains même conseillant aux exploitants de remplacer les cultures associées par des cultures ‘propres’. Une étude de l'expérience est-africaine depuis les années trente étudie les raisons de cette démarche et révèle qu'il y a eu deux phases au cours desquelles ont été officiellement effectuées des expériences sur les cultures associées. Malgré ses résultats généralement favorables, cette technique n'a pas été conseillée aux agriculteurs. L'association des cultures permet d'atteindre un ou plusieurs des cinq objectifs communs des petites exploitations agricoles, mais les modalités standards des expériences agronomiques ne font entrer en jeu que l'un d'entre eux, d'où une sous-estimation des résultats et des conclusions erronées. L'article conseille entre autres d'effectuer des études multidisciplinaires pour les petites exploitations, avec participation active des agriculteurs. RESUMEN Cómo se toma seriamente la tecnología indígena: el caso de las técnicas de las cosechas asociadas en Africa Oriental Aunque las cosechas asociadas (CA) están muy extendidas en los países tropicales de lluvias torrenciales con agricultura en pequeña escala, los hombres de ciencia e investigadores agrícolas todavía no han explorado de manera sistemática su explicación racional y rara vez se ha tratado de mejoraria. En su lugar, se han concentrado en plantar cosechas de cultivos únicos, lo cual ha reducido las repercusiones de las actividades de investigación y extensión. En un estudio de la experiencia adquirida en Africa Oriental desde el decenio de 1930 se analizan los motivos para concentrar la investigación en los cultivos únicos y revela dos fases en que se realizaron experimentos oficiales sobre CA. A pesar de los resultados, que en general fueron favorables, ninguno de estos experimentos condujo a que se incluyeran las CA en el asesoramiento de ampliación a los agricultores. Las CA pueden contribuir a uno o más de cinco objetivos comunes de los agricultores en pequeña escala, pero la concepción normal de los experimentos agronómicos tienen en cuenta uno solamente de éstos, en el mejor de los casos, de manera que se subestiman los beneficios y se llega a conclusiones erróneas de política. El artículo aboga, entre otras cosas, por la investigación en múltiples disciplinas para la agricultura en pequeña escala y la participación activa de los agricultores mismos.","container-title":"The IDS Bulletin","DOI":"10.1111/j.1759-5436.1979.mp10002004.x","ISSN":"1759-5436","issue":"2","language":"en","license":"© 1979 Institue of Development Studies","note":"_eprint: https://onlinelibrary.wiley.com/doi/pdf/10.1111/j.1759-5436.1979.mp10002004.x","page":"24-27","source":"Wiley Online Library","title":"Taking Indigenous Technology seriously: The Case of Inter-cropping Techniques in East Africa","title-short":"Taking Indigenous Technology seriously","volume":"10","author":[{"family":"Belshaw","given":"Deryke"}],"issued":{"date-parts":[["1979"]]}}}],"schema":"https://github.com/citation-style-language/schema/raw/master/csl-citation.json"} </w:instrText>
            </w:r>
            <w:r w:rsidR="00F15A28">
              <w:rPr>
                <w:lang w:val="en-US"/>
              </w:rPr>
              <w:fldChar w:fldCharType="separate"/>
            </w:r>
            <w:r w:rsidR="00F15A28" w:rsidRPr="00F15A28">
              <w:rPr>
                <w:vertAlign w:val="superscript"/>
              </w:rPr>
              <w:t>38,39</w:t>
            </w:r>
            <w:r w:rsidR="00F15A28">
              <w:rPr>
                <w:lang w:val="en-US"/>
              </w:rPr>
              <w:fldChar w:fldCharType="end"/>
            </w:r>
            <w:r>
              <w:rPr>
                <w:lang w:val="en-US"/>
              </w:rPr>
              <w:t>; f</w:t>
            </w:r>
            <w:r w:rsidR="005E13CB">
              <w:rPr>
                <w:lang w:val="en-US"/>
              </w:rPr>
              <w:t>ocus on Western science in agricultural curriculums</w:t>
            </w:r>
            <w:r w:rsidR="00F15A28">
              <w:rPr>
                <w:lang w:val="en-US"/>
              </w:rPr>
              <w:fldChar w:fldCharType="begin"/>
            </w:r>
            <w:r w:rsidR="00F15A28">
              <w:rPr>
                <w:lang w:val="en-US"/>
              </w:rPr>
              <w:instrText xml:space="preserve"> ADDIN ZOTERO_ITEM CSL_CITATION {"citationID":"hRSvqqwO","properties":{"formattedCitation":"\\super 40\\nosupersub{}","plainCitation":"40","noteIndex":0},"citationItems":[{"id":1330,"uris":["http://zotero.org/users/3599437/items/9Y3UHG59"],"itemData":{"id":1330,"type":"article-journal","abstract":"Indigenous science relates to both the science knowledge of long-resident, usually oral culture peoples, as well as the science knowledge of all peoples who as participants in culture are affected by the worldview and relativist interests of their home communities. 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 2000 John Wiley &amp; Sons, Inc. Sci Ed 85:6–34, 2001.","container-title":"Science Education","DOI":"10.1002/1098-237X(200101)85:1&lt;6::AID-SCE3&gt;3.0.CO;2-R","ISSN":"1098-237X","issue":"1","language":"en","license":"Copyright © 2001 John Wiley &amp; Sons, Inc.","note":"_eprint: https://onlinelibrary.wiley.com/doi/pdf/10.1002/1098-237X%28200101%2985%3A1%3C6%3A%3AAID-SCE3%3E3.0.CO%3B2-R","page":"6-34","source":"Wiley Online Library","title":"Discovering indigenous science: Implications for science education","title-short":"Discovering indigenous science","volume":"85","author":[{"family":"Snively","given":"Gloria"},{"family":"Corsiglia","given":"John"}],"issued":{"date-parts":[["2001"]]}}}],"schema":"https://github.com/citation-style-language/schema/raw/master/csl-citation.json"} </w:instrText>
            </w:r>
            <w:r w:rsidR="00F15A28">
              <w:rPr>
                <w:lang w:val="en-US"/>
              </w:rPr>
              <w:fldChar w:fldCharType="separate"/>
            </w:r>
            <w:r w:rsidR="00F15A28" w:rsidRPr="00F15A28">
              <w:rPr>
                <w:vertAlign w:val="superscript"/>
                <w:lang w:val="en-US"/>
              </w:rPr>
              <w:t>40</w:t>
            </w:r>
            <w:r w:rsidR="00F15A28">
              <w:rPr>
                <w:lang w:val="en-US"/>
              </w:rPr>
              <w:fldChar w:fldCharType="end"/>
            </w:r>
          </w:p>
        </w:tc>
      </w:tr>
      <w:tr w:rsidR="005E13CB" w:rsidRPr="002E19F4"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2D358D1D" w:rsidR="005E13CB" w:rsidRDefault="005E13CB" w:rsidP="00792C60">
            <w:pPr>
              <w:rPr>
                <w:lang w:val="en-US"/>
              </w:rPr>
            </w:pPr>
            <w:r>
              <w:rPr>
                <w:lang w:val="en-US"/>
              </w:rPr>
              <w:t>In- and out-group mentalities in agricultural practitioners</w:t>
            </w:r>
            <w:r w:rsidR="00F15A28">
              <w:rPr>
                <w:lang w:val="en-US"/>
              </w:rPr>
              <w:fldChar w:fldCharType="begin"/>
            </w:r>
            <w:r w:rsidR="00F15A28">
              <w:rPr>
                <w:lang w:val="en-US"/>
              </w:rPr>
              <w:instrText xml:space="preserve"> ADDIN ZOTERO_ITEM CSL_CITATION {"citationID":"ZEAe9vGm","properties":{"formattedCitation":"\\super 41\\nosupersub{}","plainCitation":"41","noteIndex":0},"citationItems":[{"id":1369,"uris":["http://zotero.org/users/3599437/items/NQ6HLACC"],"itemData":{"id":1369,"type":"post-weblog","abstract":"I love agriculture. I grew up on an irrigated farm in the panhandle of Nebraska. My grandma &amp; grandpa, my aunts &amp; uncles, and my mom &amp; dad all farmed together, and three of our families…","container-title":"A Plant Out of Place","language":"en-US","title":"Welcoming to who?","URL":"https://plantoutofplace.com/2020/08/welcoming-to-who/","author":[{"family":"Kniss","given":"Andrew"}],"accessed":{"date-parts":[["2024",5,4]]},"issued":{"date-parts":[["2020",8,28]]}}}],"schema":"https://github.com/citation-style-language/schema/raw/master/csl-citation.json"} </w:instrText>
            </w:r>
            <w:r w:rsidR="00F15A28">
              <w:rPr>
                <w:lang w:val="en-US"/>
              </w:rPr>
              <w:fldChar w:fldCharType="separate"/>
            </w:r>
            <w:r w:rsidR="00F15A28" w:rsidRPr="00F15A28">
              <w:rPr>
                <w:vertAlign w:val="superscript"/>
                <w:lang w:val="en-US"/>
              </w:rPr>
              <w:t>41</w:t>
            </w:r>
            <w:r w:rsidR="00F15A28">
              <w:rPr>
                <w:lang w:val="en-US"/>
              </w:rPr>
              <w:fldChar w:fldCharType="end"/>
            </w:r>
            <w:r>
              <w:rPr>
                <w:lang w:val="en-US"/>
              </w:rPr>
              <w:t>, gendered experiences of fieldwork and farmer interactions</w:t>
            </w:r>
            <w:r w:rsidR="00F15A28">
              <w:rPr>
                <w:lang w:val="en-US"/>
              </w:rPr>
              <w:fldChar w:fldCharType="begin"/>
            </w:r>
            <w:r w:rsidR="00F15A28">
              <w:rPr>
                <w:lang w:val="en-US"/>
              </w:rPr>
              <w:instrText xml:space="preserve"> ADDIN ZOTERO_ITEM CSL_CITATION {"citationID":"Z4RaaTun","properties":{"formattedCitation":"\\super 42\\nosupersub{}","plainCitation":"42","noteIndex":0},"citationItems":[{"id":1017,"uris":["http://zotero.org/users/3599437/items/9S55FSPQ"],"itemData":{"id":1017,"type":"article-journal","abstract":"This reflective paper explores gendered experiences of fieldwork encounters with farmers. Specifically, the paper considers how the particularities of farmer interviews – including the geographical remoteness of many farm holdings, the strength of tradition in farm families and the male-dominated nature of the industry – pose a unique and challenging prospect for the young and relatively inexperienced female researcher. Drawing on a number of the authors' own fieldwork experiences, we consider some of the ethical and safety challenges we have faced, and offer some practical strategies for addressing these. The paper also reflects on the implications of our positionality – specifically the intersection of our age, gender and non-farming status – on our own, and participants' interview performances. Although, as we discuss, we found these aspects of our identity broadly advantageous in securing and conducting successful farmer interviews, we also recount how they invited a number of unwelcomed behaviours, and often left us vulnerable to emotional risk. In sharing such experiences, we raise a number of questions concerning the ethical responsibility of negotiating or conforming to the identities conferred on us during farmer interviews and hope to prompt further discussion around these challenges. The paper concludes that young female researchers face a number of ethical and safety challenges during fieldwork in the rural and farming context and highlights the need to consider the impact of researcher positionality on the researcher, the participant(s) and the overall research process. By stimulating such a debate, we aim to bring the issue of gendered experiences of rural research to the fore, and hope to provide some reassurance and support to others working in similar areas.","container-title":"Area","DOI":"10.1111/area.12257","journalAbbreviation":"Area","page":"n/a-n/a","source":"ResearchGate","title":"'As long as you're easy on the eye': Reflecting on issues of positionality and researcher safety during farmer interviews","title-short":"'As long as you're easy on the eye'","volume":"48","author":[{"family":"Chiswell","given":"Hannah"},{"family":"Wheeler","given":"Rebecca"}],"issued":{"date-parts":[["2016",2,1]]}}}],"schema":"https://github.com/citation-style-language/schema/raw/master/csl-citation.json"} </w:instrText>
            </w:r>
            <w:r w:rsidR="00F15A28">
              <w:rPr>
                <w:lang w:val="en-US"/>
              </w:rPr>
              <w:fldChar w:fldCharType="separate"/>
            </w:r>
            <w:r w:rsidR="00F15A28" w:rsidRPr="00F15A28">
              <w:rPr>
                <w:vertAlign w:val="superscript"/>
              </w:rPr>
              <w:t>42</w:t>
            </w:r>
            <w:r w:rsidR="00F15A28">
              <w:rPr>
                <w:lang w:val="en-US"/>
              </w:rPr>
              <w:fldChar w:fldCharType="end"/>
            </w:r>
            <w:r>
              <w:rPr>
                <w:lang w:val="en-US"/>
              </w:rPr>
              <w:t xml:space="preserve">; </w:t>
            </w:r>
            <w:r w:rsidR="00BC2FCD">
              <w:rPr>
                <w:lang w:val="en-US"/>
              </w:rPr>
              <w:t>g</w:t>
            </w:r>
            <w:r>
              <w:rPr>
                <w:lang w:val="en-US"/>
              </w:rPr>
              <w:t>ender biases in agricultural students</w:t>
            </w:r>
            <w:r w:rsidR="00F15A28">
              <w:rPr>
                <w:lang w:val="en-US"/>
              </w:rPr>
              <w:fldChar w:fldCharType="begin"/>
            </w:r>
            <w:r w:rsidR="00F15A28">
              <w:rPr>
                <w:lang w:val="en-US"/>
              </w:rPr>
              <w:instrText xml:space="preserve"> ADDIN ZOTERO_ITEM CSL_CITATION {"citationID":"QlE9922s","properties":{"formattedCitation":"\\super 43\\nosupersub{}","plainCitation":"43","noteIndex":0},"citationItems":[{"id":1318,"uris":["http://zotero.org/users/3599437/items/8G3HG5WP"],"itemData":{"id":1318,"type":"article-journal","abstract":"The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F15A28">
              <w:rPr>
                <w:lang w:val="en-US"/>
              </w:rPr>
              <w:fldChar w:fldCharType="separate"/>
            </w:r>
            <w:r w:rsidR="00F15A28" w:rsidRPr="00F15A28">
              <w:rPr>
                <w:vertAlign w:val="superscript"/>
              </w:rPr>
              <w:t>43</w:t>
            </w:r>
            <w:r w:rsidR="00F15A28">
              <w:rPr>
                <w:lang w:val="en-US"/>
              </w:rPr>
              <w:fldChar w:fldCharType="end"/>
            </w:r>
          </w:p>
          <w:p w14:paraId="5D653647" w14:textId="77777777" w:rsidR="005E13CB" w:rsidRDefault="005E13CB" w:rsidP="00792C60">
            <w:pPr>
              <w:rPr>
                <w:lang w:val="en-US"/>
              </w:rPr>
            </w:pPr>
          </w:p>
        </w:tc>
      </w:tr>
      <w:tr w:rsidR="005E13CB" w:rsidRPr="00B0328D"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 xml:space="preserve">an agency that provides technical and financial </w:t>
            </w:r>
            <w:proofErr w:type="gramStart"/>
            <w:r w:rsidR="005E13CB">
              <w:rPr>
                <w:sz w:val="16"/>
                <w:szCs w:val="16"/>
                <w:lang w:val="en-US"/>
              </w:rPr>
              <w:t>assistance  to</w:t>
            </w:r>
            <w:proofErr w:type="gramEnd"/>
            <w:r w:rsidR="005E13CB">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182F78CF"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72381E">
        <w:rPr>
          <w:lang w:val="en-US"/>
        </w:rPr>
        <w:t>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 xml:space="preserve">remediation accompanying underground pipeline installation </w:t>
      </w:r>
      <w:r w:rsidR="00F15A28">
        <w:rPr>
          <w:lang w:val="en-US"/>
        </w:rPr>
        <w:fldChar w:fldCharType="begin"/>
      </w:r>
      <w:r w:rsidR="00812C0D">
        <w:rPr>
          <w:lang w:val="en-US"/>
        </w:rPr>
        <w:instrText xml:space="preserve"> ADDIN ZOTERO_ITEM CSL_CITATION {"citationID":"3D2FUMal","properties":{"formattedCitation":"\\super 44,45\\nosupersub{}","plainCitation":"44,45","noteIndex":0},"citationItems":[{"id":1351,"uris":["http://zotero.org/users/3599437/items/6FB9NPWL"],"itemData":{"id":1351,"type":"article-journal","abstract":"Degradation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1489,"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R."},{"family":"Horton","given":"Robert"}],"issued":{"date-parts":[["2021"]]}}}],"schema":"https://github.com/citation-style-language/schema/raw/master/csl-citation.json"} </w:instrText>
      </w:r>
      <w:r w:rsidR="00F15A28">
        <w:rPr>
          <w:lang w:val="en-US"/>
        </w:rPr>
        <w:fldChar w:fldCharType="separate"/>
      </w:r>
      <w:r w:rsidR="00812C0D" w:rsidRPr="00B0328D">
        <w:rPr>
          <w:vertAlign w:val="superscript"/>
          <w:lang w:val="en-US"/>
        </w:rPr>
        <w:t>44,45</w:t>
      </w:r>
      <w:r w:rsidR="00F15A28">
        <w:rPr>
          <w:lang w:val="en-US"/>
        </w:rPr>
        <w:fldChar w:fldCharType="end"/>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challenges laws (structural domain) </w:t>
      </w:r>
      <w:r w:rsidR="009A1F4F">
        <w:rPr>
          <w:lang w:val="en-US"/>
        </w:rPr>
        <w:t>allowing p</w:t>
      </w:r>
      <w:r>
        <w:rPr>
          <w:lang w:val="en-US"/>
        </w:rPr>
        <w:t xml:space="preserve">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72381E">
        <w:rPr>
          <w:lang w:val="en-US"/>
        </w:rPr>
        <w:t xml:space="preserve">As an example from </w:t>
      </w:r>
      <w:r w:rsidR="00BC2FCD">
        <w:rPr>
          <w:lang w:val="en-US"/>
        </w:rPr>
        <w:t>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812C0D">
        <w:rPr>
          <w:lang w:val="en-US"/>
        </w:rPr>
        <w:fldChar w:fldCharType="begin"/>
      </w:r>
      <w:r w:rsidR="00812C0D">
        <w:rPr>
          <w:lang w:val="en-US"/>
        </w:rPr>
        <w:instrText xml:space="preserve"> ADDIN ZOTERO_ITEM CSL_CITATION {"citationID":"U06N5Gez","properties":{"formattedCitation":"\\super 46\\nosupersub{}","plainCitation":"46","noteIndex":0},"citationItems":[{"id":1491,"uris":["http://zotero.org/users/3599437/items/RJ82J8BQ"],"itemData":{"id":1491,"type":"article-journal","abstract":"For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00812C0D">
        <w:rPr>
          <w:lang w:val="en-US"/>
        </w:rPr>
        <w:fldChar w:fldCharType="separate"/>
      </w:r>
      <w:r w:rsidR="00812C0D" w:rsidRPr="00812C0D">
        <w:rPr>
          <w:vertAlign w:val="superscript"/>
          <w:lang w:val="en-US"/>
        </w:rPr>
        <w:t>46</w:t>
      </w:r>
      <w:r w:rsidR="00812C0D">
        <w:rPr>
          <w:lang w:val="en-US"/>
        </w:rPr>
        <w:fldChar w:fldCharType="end"/>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nutrient management</w:t>
      </w:r>
      <w:r w:rsidR="00812C0D">
        <w:rPr>
          <w:lang w:val="en-US"/>
        </w:rPr>
        <w:fldChar w:fldCharType="begin"/>
      </w:r>
      <w:r w:rsidR="00812C0D">
        <w:rPr>
          <w:lang w:val="en-US"/>
        </w:rPr>
        <w:instrText xml:space="preserve"> ADDIN ZOTERO_ITEM CSL_CITATION {"citationID":"eogLo79e","properties":{"formattedCitation":"\\super 47\\nosupersub{}","plainCitation":"47","noteIndex":0},"citationItems":[{"id":1493,"uris":["http://zotero.org/users/3599437/items/5XCJ86ZU"],"itemData":{"id":1493,"type":"article-journal","container-title":"Tulane Law Review","issue":"1","journalAbbreviation":"Tul. L. Rev.","language":"eng","page":"157-188","source":"HeinOnline","title":"Nutrient Pollution and the Gulf of Mexico Dead Zone: Will Des Moines Water Works Be a Turning Point Comments","title-short":"Nutrient Pollution and the Gulf of Mexico Dead Zone","volume":"91","author":[{"family":"Crawford","given":"Amanda L."}],"issued":{"date-parts":[["2016"]],"season":"2017"}}}],"schema":"https://github.com/citation-style-language/schema/raw/master/csl-citation.json"} </w:instrText>
      </w:r>
      <w:r w:rsidR="00812C0D">
        <w:rPr>
          <w:lang w:val="en-US"/>
        </w:rPr>
        <w:fldChar w:fldCharType="separate"/>
      </w:r>
      <w:r w:rsidR="00812C0D" w:rsidRPr="00812C0D">
        <w:rPr>
          <w:vertAlign w:val="superscript"/>
          <w:lang w:val="en-US"/>
        </w:rPr>
        <w:t>47</w:t>
      </w:r>
      <w:r w:rsidR="00812C0D">
        <w:rPr>
          <w:lang w:val="en-US"/>
        </w:rPr>
        <w:fldChar w:fldCharType="end"/>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812C0D">
        <w:rPr>
          <w:lang w:val="en-US"/>
        </w:rPr>
        <w:fldChar w:fldCharType="begin"/>
      </w:r>
      <w:r w:rsidR="00812C0D">
        <w:rPr>
          <w:lang w:val="en-US"/>
        </w:rPr>
        <w:instrText xml:space="preserve"> ADDIN ZOTERO_ITEM CSL_CITATION {"citationID":"l25bAG4J","properties":{"formattedCitation":"\\super 48\\nosupersub{}","plainCitation":"48","noteIndex":0},"citationItems":[{"id":1495,"uris":["http://zotero.org/users/3599437/items/VZJ4DIIN"],"itemData":{"id":1495,"type":"webpage","abstract":"Recruiting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812C0D">
        <w:rPr>
          <w:lang w:val="en-US"/>
        </w:rPr>
        <w:fldChar w:fldCharType="separate"/>
      </w:r>
      <w:r w:rsidR="00812C0D" w:rsidRPr="00812C0D">
        <w:rPr>
          <w:vertAlign w:val="superscript"/>
          <w:lang w:val="en-US"/>
        </w:rPr>
        <w:t>48</w:t>
      </w:r>
      <w:r w:rsidR="00812C0D">
        <w:rPr>
          <w:lang w:val="en-US"/>
        </w:rPr>
        <w:fldChar w:fldCharType="end"/>
      </w:r>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results with the </w:t>
      </w:r>
      <w:r w:rsidR="002C20E9" w:rsidRPr="0039604B">
        <w:rPr>
          <w:color w:val="FF0000"/>
          <w:lang w:val="en-US"/>
        </w:rPr>
        <w:lastRenderedPageBreak/>
        <w:t>public</w:t>
      </w:r>
      <w:r w:rsidR="00B41852">
        <w:rPr>
          <w:color w:val="FF0000"/>
          <w:lang w:val="en-US"/>
        </w:rPr>
        <w:fldChar w:fldCharType="begin"/>
      </w:r>
      <w:r w:rsidR="00B41852">
        <w:rPr>
          <w:color w:val="FF0000"/>
          <w:lang w:val="en-US"/>
        </w:rPr>
        <w:instrText xml:space="preserve"> ADDIN ZOTERO_ITEM CSL_CITATION {"citationID":"lRCuCWuL","properties":{"formattedCitation":"\\super 49\\nosupersub{}","plainCitation":"49","noteIndex":0},"citationItems":[{"id":1497,"uris":["http://zotero.org/users/3599437/items/EWUS33CX"],"itemData":{"id":1497,"type":"webpage","abstract":"This research was funded by USDA-NRCS. In a Nutshell: Sixteen corn farmers performed 17 replicated strip trials testing their typical nitrogen (N) rate against that rate reduced by 15-45%. Most farms routinely used cover crops in the past ...","container-title":"Practical Farmers of Iowa","language":"en-US","title":"Can We Reduce N Rates and Improve ROI?","URL":"https://practicalfarmers.org/research/can-we-reduce-n-rates-and-improve-roi/","author":[{"family":"Gailans","given":"Stefan"}],"accessed":{"date-parts":[["2024",6,6]]},"issued":{"date-parts":[["2023"]]}}}],"schema":"https://github.com/citation-style-language/schema/raw/master/csl-citation.json"} </w:instrText>
      </w:r>
      <w:r w:rsidR="00B41852">
        <w:rPr>
          <w:color w:val="FF0000"/>
          <w:lang w:val="en-US"/>
        </w:rPr>
        <w:fldChar w:fldCharType="separate"/>
      </w:r>
      <w:r w:rsidR="00B41852" w:rsidRPr="00B41852">
        <w:rPr>
          <w:vertAlign w:val="superscript"/>
          <w:lang w:val="en-US"/>
        </w:rPr>
        <w:t>49</w:t>
      </w:r>
      <w:r w:rsidR="00B41852">
        <w:rPr>
          <w:color w:val="FF0000"/>
          <w:lang w:val="en-US"/>
        </w:rPr>
        <w:fldChar w:fldCharType="end"/>
      </w:r>
      <w:r w:rsidR="002C20E9" w:rsidRPr="0039604B">
        <w:rPr>
          <w:color w:val="FF0000"/>
          <w:lang w:val="en-US"/>
        </w:rPr>
        <w:t>.</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9A1F4F">
        <w:rPr>
          <w:lang w:val="en-US"/>
        </w:rPr>
        <w:t xml:space="preserve">, addressing a crucial component of agriculture’s environmental </w:t>
      </w:r>
      <w:proofErr w:type="spellStart"/>
      <w:r w:rsidR="009A1F4F">
        <w:rPr>
          <w:lang w:val="en-US"/>
        </w:rPr>
        <w:t>impactCITE</w:t>
      </w:r>
      <w:proofErr w:type="spellEnd"/>
      <w:r w:rsidR="009A1F4F">
        <w:rPr>
          <w:lang w:val="en-US"/>
        </w:rPr>
        <w:t xml:space="preserve">. </w:t>
      </w:r>
      <w:r w:rsidR="00A1659B">
        <w:rPr>
          <w:lang w:val="en-US"/>
        </w:rPr>
        <w:t xml:space="preserve"> </w:t>
      </w: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140ECC34"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D07C3B">
        <w:rPr>
          <w:lang w:val="en-US"/>
        </w:rPr>
        <w:t>power (</w:t>
      </w:r>
      <w:r w:rsidR="00A26087">
        <w:rPr>
          <w:lang w:val="en-US"/>
        </w:rPr>
        <w:t>hegemonic and interpersonal</w:t>
      </w:r>
      <w:r w:rsidR="00D07C3B">
        <w:rPr>
          <w:lang w:val="en-US"/>
        </w:rPr>
        <w:t>)</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B41852">
        <w:rPr>
          <w:lang w:val="en-US"/>
        </w:rPr>
        <w:fldChar w:fldCharType="begin"/>
      </w:r>
      <w:r w:rsidR="00B0328D">
        <w:rPr>
          <w:lang w:val="en-US"/>
        </w:rPr>
        <w:instrText xml:space="preserve"> ADDIN ZOTERO_ITEM CSL_CITATION {"citationID":"yMvpRQp2","properties":{"formattedCitation":"\\super 50\\uc0\\u8211{}53\\nosupersub{}","plainCitation":"50–53","noteIndex":0},"citationItems":[{"id":1314,"uris":["http://zotero.org/users/3599437/items/IH4PI5AX"],"itemData":{"id":1314,"type":"article-journal","abstract":"Although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Mayerfeld"}],"issued":{"date-parts":[["2019",8,3]]}}},{"id":1290,"uris":["http://zotero.org/users/3599437/items/EU6H6TJW"],"itemData":{"id":1290,"type":"article-journal","abstract":"Research on women in U.S. agriculture highlights how, despite real challenges, women have made and continue to make spaces for themselves in this male-dominated profession. We argue that, partly due to data accessibility limitations, this work has tended to use white women’s experiences in agriculture as universal. Analyzing micro-data from the 2017 Census of Agriculture, this paper offers descriptive statistics about women and race in U.S. agriculture. We examine numerous characteristics of U.S. farms, including their spatial distribution, the average number of acres farmed, predominant crop types, and other characteristics to describe how white, Black, Indigenous, and Pacific Islander/Asian women farmers are faring. Our findings suggest significant differences in women’s farms by race. We argue that these are related to the history of forced and voluntary migration within the U.S. Our results indicate that understanding women’s experiences in farming requires understanding the impact of race and these broader historical patterns. Finally, because of these differences across races, we suggest that supporting “women in agriculture” may require tailored responses from agricultural policy and programming that addresses unique needs in specific communities.","container-title":"Agriculture and Human Values","DOI":"10.1007/s10460-022-10324-3","ISSN":"1572-8366","issue":"4","journalAbbreviation":"Agric Hum Values","language":"en","page":"1341-1355","source":"Springer Link","title":"Women, race and place in US Agriculture","volume":"39","author":[{"family":"Pilgeram","given":"Ryanne"},{"family":"Dentzman","given":"Katherine"},{"family":"Lewin","given":"Paul"}],"issued":{"date-parts":[["2022",12,1]]}}},{"id":1286,"uris":["http://zotero.org/users/3599437/items/PKENL5V7"],"itemData":{"id":1286,"type":"article-journal","abstract":"The issue of gender and agriculture has been on the research agendas of civil society organisations, governments, and academia since the 1970s. Starting from the role of women in agriculture, research has mainly focused on the gendered division of work and the normative constitution of the farm as masculine. Although the gendered division of work has been questioned, the idea of binary gender has mostly been taken as a given. This explorative research shifts the attention from the production of (traditional) gender roles to the making and unmaking of binary gender. An ethnographic study of four farms in Switzerland is drawn on to explore queer farming practices and investigate how queer farmers navigate gender normativity and what this tells us about gender in agriculture more broadly. After considering the mechanisms through which queer farmers are discouraged from farming as a livelihood on the basis of their sex, gender or sexuality, this article argues that queer farmers de- and re-construct gender and farming identities differently, which has research and policy implications for a more diverse and resilient rurality.","container-title":"Agriculture and Human Values","DOI":"10.1007/s10460-023-10449-z","ISSN":"1572-8366","issue":"4","journalAbbreviation":"Agric Hum Values","language":"en","page":"1639-1651","source":"Springer Link","title":"Beyond farming women: queering gender, work and family farms","title-short":"Beyond farming women","volume":"40","author":[{"family":"Pfammatter","given":"Prisca"},{"family":"Jongerden","given":"Joost"}],"issued":{"date-parts":[["2023",12,1]]}}},{"id":1288,"uris":["http://zotero.org/users/3599437/items/CU534XWV"],"itemData":{"id":1288,"type":"article-journal","abstract":"This meta-analysis examined 35 study results within last 10 years that directly compared the response rates of e-mail versus mail surveys. Individual studies reported inconsistent findings concerning the response rate difference between e-mail and mail surveys, but e-mail surveys generally have lower response rate (about 20% lower on the average) than mail surveys. Two study features (population type and follow-up reminders) could account for some variation in the e-mail and mail survey response rate differences across the studies. For the studies involving college populations, the response rate difference between e-mail and mail surveys was much smaller, or even negligible, suggesting that e-mail survey is reasonably comparable with mail survey for college populations. The finding about follow-up reminder as a statistically significant study feature turns out to be somewhat an anomaly. Other study features (i.e., article type, random assignment of survey respondents into e-mail and mail survey modes, and use of incentives) did not prove to be statistically useful in accounting for the variation of response rate differences between mail and e-mail surveys. The findings here suggest that, in this age of internet technology, mail survey is still superior to e-mail survey in terms of obtaining higher response rate.","container-title":"Educational Research Review","DOI":"10.1016/j.edurev.2008.01.003","ISSN":"1747-938X","issue":"1","journalAbbreviation":"Educational Research Review","page":"26-40","source":"ScienceDirect","title":"Comparing response rates in e-mail and paper surveys: A meta-analysis","title-short":"Comparing response rates in e-mail and paper surveys","volume":"4","author":[{"family":"Shih","given":"Tse-Hua"},{"family":"Fan","given":"Xitao"}],"issued":{"date-parts":[["2009",1,1]]}}}],"schema":"https://github.com/citation-style-language/schema/raw/master/csl-citation.json"} </w:instrText>
      </w:r>
      <w:r w:rsidR="00B41852">
        <w:rPr>
          <w:lang w:val="en-US"/>
        </w:rPr>
        <w:fldChar w:fldCharType="separate"/>
      </w:r>
      <w:r w:rsidR="00B0328D" w:rsidRPr="00B0328D">
        <w:rPr>
          <w:vertAlign w:val="superscript"/>
          <w:lang w:val="en-US"/>
        </w:rPr>
        <w:t>50–53</w:t>
      </w:r>
      <w:r w:rsidR="00B41852">
        <w:rPr>
          <w:lang w:val="en-US"/>
        </w:rPr>
        <w:fldChar w:fldCharType="end"/>
      </w:r>
      <w:r w:rsidR="002C5D33">
        <w:rPr>
          <w:lang w:val="en-US"/>
        </w:rPr>
        <w:t xml:space="preserve">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market</w:t>
      </w:r>
      <w:r w:rsidR="008E4F4B">
        <w:rPr>
          <w:lang w:val="en-US"/>
        </w:rPr>
        <w:t xml:space="preserve"> participation</w:t>
      </w:r>
      <w:r w:rsidR="002C5D33">
        <w:rPr>
          <w:lang w:val="en-US"/>
        </w:rPr>
        <w:t>)</w:t>
      </w:r>
      <w:r w:rsidR="00B41852">
        <w:rPr>
          <w:lang w:val="en-US"/>
        </w:rPr>
        <w:fldChar w:fldCharType="begin"/>
      </w:r>
      <w:r w:rsidR="00B41852">
        <w:rPr>
          <w:lang w:val="en-US"/>
        </w:rPr>
        <w:instrText xml:space="preserve"> ADDIN ZOTERO_ITEM CSL_CITATION {"citationID":"Ela11LzN","properties":{"formattedCitation":"\\super 54\\nosupersub{}","plainCitation":"54","noteIndex":0},"citationItems":[{"id":1283,"uris":["http://zotero.org/users/3599437/items/KLK2UTJD"],"itemData":{"id":1283,"type":"article-journal","abstract":"Organic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00B41852">
        <w:rPr>
          <w:lang w:val="en-US"/>
        </w:rPr>
        <w:fldChar w:fldCharType="separate"/>
      </w:r>
      <w:r w:rsidR="00B41852" w:rsidRPr="00B0328D">
        <w:rPr>
          <w:vertAlign w:val="superscript"/>
          <w:lang w:val="en-US"/>
        </w:rPr>
        <w:t>54</w:t>
      </w:r>
      <w:r w:rsidR="00B41852">
        <w:rPr>
          <w:lang w:val="en-US"/>
        </w:rPr>
        <w:fldChar w:fldCharType="end"/>
      </w:r>
      <w:r w:rsidR="00CF0BBF">
        <w:rPr>
          <w:lang w:val="en-US"/>
        </w:rPr>
        <w:t xml:space="preserve">. </w:t>
      </w:r>
      <w:r w:rsidR="002C5D33">
        <w:rPr>
          <w:lang w:val="en-US"/>
        </w:rPr>
        <w:t xml:space="preserve">This systemic and cultural exclusion often translates to exclusion from agricultural research </w:t>
      </w:r>
      <w:r w:rsidR="008E4F4B">
        <w:rPr>
          <w:lang w:val="en-US"/>
        </w:rPr>
        <w:t xml:space="preserve">activities.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as a peer-to-peer learning community, </w:t>
      </w:r>
      <w:r w:rsidR="0039604B">
        <w:rPr>
          <w:lang w:val="en-US"/>
        </w:rPr>
        <w:t>partially in response to feeling neglected by the Land Grant</w:t>
      </w:r>
      <w:r w:rsidR="009147B2">
        <w:rPr>
          <w:lang w:val="en-US"/>
        </w:rPr>
        <w:t>’s extension systems</w:t>
      </w:r>
      <w:r w:rsidR="00B41852">
        <w:rPr>
          <w:lang w:val="en-US"/>
        </w:rPr>
        <w:fldChar w:fldCharType="begin"/>
      </w:r>
      <w:r w:rsidR="00B41852">
        <w:rPr>
          <w:lang w:val="en-US"/>
        </w:rPr>
        <w:instrText xml:space="preserve"> ADDIN ZOTERO_ITEM CSL_CITATION {"citationID":"MSKidoUc","properties":{"formattedCitation":"\\super 55\\nosupersub{}","plainCitation":"55","noteIndex":0},"citationItems":[{"id":1206,"uris":["http://zotero.org/users/3599437/items/XMWBMV2K"],"itemData":{"id":1206,"type":"article-journal","abstract":"Practical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B41852" w:rsidRPr="00B41852">
        <w:rPr>
          <w:vertAlign w:val="superscript"/>
          <w:lang w:val="en-US"/>
        </w:rPr>
        <w:t>55</w:t>
      </w:r>
      <w:r w:rsidR="00B41852">
        <w:rPr>
          <w:lang w:val="en-US"/>
        </w:rPr>
        <w:fldChar w:fldCharType="end"/>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CC6DD8">
        <w:rPr>
          <w:lang w:val="en-US"/>
        </w:rPr>
        <w:fldChar w:fldCharType="begin"/>
      </w:r>
      <w:r w:rsidR="00CC6DD8">
        <w:rPr>
          <w:lang w:val="en-US"/>
        </w:rPr>
        <w:instrText xml:space="preserve"> ADDIN ZOTERO_ITEM CSL_CITATION {"citationID":"P6U7uBcY","properties":{"formattedCitation":"\\super 56,57\\nosupersub{}","plainCitation":"56,57","noteIndex":0},"citationItems":[{"id":1500,"uris":["http://zotero.org/users/3599437/items/68BS4DKF"],"itemData":{"id":1500,"type":"webpage","abstract":"Dick and Sharon Thompson’s 2009 on-farm research report Dick and Sharon Thompson have been very important to the development of sustainable agriculture in Iowa, and they are known nationally and internationally for farming that is profitable, beneficial to ...","container-title":"Practical Farmers of Iowa","language":"en-US","title":"Thompson Agriculture Alternatives","URL":"https://practicalfarmers.org/programs/farmer-led-research/thompson-agriculture-alternatives/","author":[{"family":"Thompson","given":"Dick"},{"family":"Thompson","given":"Sharon"}],"accessed":{"date-parts":[["2024",6,6]]},"issued":{"date-parts":[["2009"]]}}},{"id":1502,"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CC6DD8" w:rsidRPr="00CC6DD8">
        <w:rPr>
          <w:vertAlign w:val="superscript"/>
          <w:lang w:val="en-US"/>
        </w:rPr>
        <w:t>56,57</w:t>
      </w:r>
      <w:r w:rsidR="00CC6DD8">
        <w:rPr>
          <w:lang w:val="en-US"/>
        </w:rPr>
        <w:fldChar w:fldCharType="end"/>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w:t>
      </w:r>
      <w:r w:rsidR="00967FC4">
        <w:rPr>
          <w:lang w:val="en-US"/>
        </w:rPr>
        <w:t xml:space="preserve">in response </w:t>
      </w:r>
      <w:r w:rsidR="00A26087">
        <w:rPr>
          <w:lang w:val="en-US"/>
        </w:rPr>
        <w:t>Practical Farmers of Iowa launched a Latino Engagement program</w:t>
      </w:r>
      <w:r w:rsidR="00CC6DD8">
        <w:rPr>
          <w:lang w:val="en-US"/>
        </w:rPr>
        <w:fldChar w:fldCharType="begin"/>
      </w:r>
      <w:r w:rsidR="00CC6DD8">
        <w:rPr>
          <w:lang w:val="en-US"/>
        </w:rPr>
        <w:instrText xml:space="preserve"> ADDIN ZOTERO_ITEM CSL_CITATION {"citationID":"j9OENPUj","properties":{"formattedCitation":"\\super 58\\nosupersub{}","plainCitation":"58","noteIndex":0},"citationItems":[{"id":1506,"uris":["http://zotero.org/users/3599437/items/T47EC533"],"itemData":{"id":1506,"type":"webpage","abstract":"La planificación de eventos, el suministro de recursos y la conexión de los agricultores entre sí son las principales formas en que Practical Farmers fomenta el aprendizaje y el intercambio de información entre agricultores.   Organizar eventos en ...","container-title":"Practical Farmers of Iowa","language":"en-US","title":"Agricultores Latinos","URL":"https://practicalfarmers.org/programs/agricultores-latinos/","accessed":{"date-parts":[["2024",6,6]]}}}],"schema":"https://github.com/citation-style-language/schema/raw/master/csl-citation.json"} </w:instrText>
      </w:r>
      <w:r w:rsidR="00CC6DD8">
        <w:rPr>
          <w:lang w:val="en-US"/>
        </w:rPr>
        <w:fldChar w:fldCharType="separate"/>
      </w:r>
      <w:r w:rsidR="00CC6DD8" w:rsidRPr="00CC6DD8">
        <w:rPr>
          <w:vertAlign w:val="superscript"/>
          <w:lang w:val="en-US"/>
        </w:rPr>
        <w:t>58</w:t>
      </w:r>
      <w:r w:rsidR="00CC6DD8">
        <w:rPr>
          <w:lang w:val="en-US"/>
        </w:rPr>
        <w:fldChar w:fldCharType="end"/>
      </w:r>
      <w:r w:rsidR="00671B76">
        <w:rPr>
          <w:lang w:val="en-US"/>
        </w:rPr>
        <w:t xml:space="preserve">. </w:t>
      </w:r>
      <w:r w:rsidR="008E4F4B">
        <w:rPr>
          <w:lang w:val="en-US"/>
        </w:rPr>
        <w:t>Researcher involvement with the Women Food and Agricultural Network</w:t>
      </w:r>
      <w:r w:rsidR="00CC6DD8">
        <w:rPr>
          <w:lang w:val="en-US"/>
        </w:rPr>
        <w:fldChar w:fldCharType="begin"/>
      </w:r>
      <w:r w:rsidR="00CC6DD8">
        <w:rPr>
          <w:lang w:val="en-US"/>
        </w:rPr>
        <w:instrText xml:space="preserve"> ADDIN ZOTERO_ITEM CSL_CITATION {"citationID":"TP2rI0KT","properties":{"formattedCitation":"\\super 59\\nosupersub{}","plainCitation":"59","noteIndex":0},"citationItems":[{"id":1508,"uris":["http://zotero.org/users/3599437/items/75VTQQ77"],"itemData":{"id":1508,"type":"webpage","container-title":"Women,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CC6DD8">
        <w:rPr>
          <w:lang w:val="en-US"/>
        </w:rPr>
        <w:fldChar w:fldCharType="separate"/>
      </w:r>
      <w:r w:rsidR="00CC6DD8" w:rsidRPr="00CC6DD8">
        <w:rPr>
          <w:vertAlign w:val="superscript"/>
          <w:lang w:val="en-US"/>
        </w:rPr>
        <w:t>59</w:t>
      </w:r>
      <w:r w:rsidR="00CC6DD8">
        <w:rPr>
          <w:lang w:val="en-US"/>
        </w:rPr>
        <w:fldChar w:fldCharType="end"/>
      </w:r>
      <w:r w:rsidR="008E4F4B">
        <w:rPr>
          <w:lang w:val="en-US"/>
        </w:rPr>
        <w:t xml:space="preserve"> similarly inspired scientifically fruitful activities with women land owners</w:t>
      </w:r>
      <w:r w:rsidR="004F7CEA">
        <w:rPr>
          <w:lang w:val="en-US"/>
        </w:rPr>
        <w:fldChar w:fldCharType="begin"/>
      </w:r>
      <w:r w:rsidR="004F7CEA">
        <w:rPr>
          <w:lang w:val="en-US"/>
        </w:rPr>
        <w:instrText xml:space="preserve"> ADDIN ZOTERO_ITEM CSL_CITATION {"citationID":"CaZD1BBj","properties":{"formattedCitation":"\\super 60,61\\nosupersub{}","plainCitation":"60,61","noteIndex":0},"citationItems":[{"id":1510,"uris":["http://zotero.org/users/3599437/items/ZC7TFG29"],"itemData":{"id":1510,"type":"article-journal","abstract":"Excerpt\nThe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C."},{"family":"Soulis","given":"Jessica"}],"issued":{"date-parts":[["2013",9,1]]}}},{"id":1285,"uris":["http://zotero.org/users/3599437/items/LBC2XEVP"],"itemData":{"id":1285,"type":"article-journal","abstract":"Women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4F7CEA">
        <w:rPr>
          <w:lang w:val="en-US"/>
        </w:rPr>
        <w:fldChar w:fldCharType="separate"/>
      </w:r>
      <w:r w:rsidR="004F7CEA" w:rsidRPr="004F7CEA">
        <w:rPr>
          <w:vertAlign w:val="superscript"/>
          <w:lang w:val="en-US"/>
        </w:rPr>
        <w:t>60,61</w:t>
      </w:r>
      <w:r w:rsidR="004F7CEA">
        <w:rPr>
          <w:lang w:val="en-US"/>
        </w:rPr>
        <w:fldChar w:fldCharType="end"/>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4F7CEA">
        <w:rPr>
          <w:lang w:val="en-US"/>
        </w:rPr>
        <w:fldChar w:fldCharType="begin"/>
      </w:r>
      <w:r w:rsidR="004F7CEA">
        <w:rPr>
          <w:lang w:val="en-US"/>
        </w:rPr>
        <w:instrText xml:space="preserve"> ADDIN ZOTERO_ITEM CSL_CITATION {"citationID":"4K6kcDXD","properties":{"formattedCitation":"\\super 62\\nosupersub{}","plainCitation":"62","noteIndex":0},"citationItems":[{"id":1346,"uris":["http://zotero.org/users/3599437/items/86KSMEUX"],"itemData":{"id":1346,"type":"article-journal","abstract":"Legitimacy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004F7CEA">
        <w:rPr>
          <w:lang w:val="en-US"/>
        </w:rPr>
        <w:fldChar w:fldCharType="separate"/>
      </w:r>
      <w:r w:rsidR="004F7CEA" w:rsidRPr="004F7CEA">
        <w:rPr>
          <w:vertAlign w:val="superscript"/>
          <w:lang w:val="en-US"/>
        </w:rPr>
        <w:t>62</w:t>
      </w:r>
      <w:r w:rsidR="004F7CEA">
        <w:rPr>
          <w:lang w:val="en-US"/>
        </w:rPr>
        <w:fldChar w:fldCharType="end"/>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xml:space="preserve">, they can gain </w:t>
      </w:r>
      <w:r w:rsidR="005F5DD2">
        <w:rPr>
          <w:lang w:val="en-US"/>
        </w:rPr>
        <w:t xml:space="preserve">rich scientific insights. </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237F8432" w14:textId="205D5727"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174198">
        <w:rPr>
          <w:lang w:val="en-US"/>
        </w:rPr>
        <w:instrText xml:space="preserve"> ADDIN ZOTERO_ITEM CSL_CITATION {"citationID":"ZMmV3Tfb","properties":{"formattedCitation":"\\super 63\\nosupersub{}","plainCitation":"63","noteIndex":0},"citationItems":[{"id":1513,"uris":["http://zotero.org/users/3599437/items/V55B6XFC"],"itemData":{"id":1513,"type":"article-journal","abstract":"In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174198" w:rsidRPr="00174198">
        <w:rPr>
          <w:vertAlign w:val="superscript"/>
          <w:lang w:val="en-US"/>
        </w:rPr>
        <w:t>63</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174198">
        <w:rPr>
          <w:lang w:val="en-US"/>
        </w:rPr>
        <w:instrText xml:space="preserve"> ADDIN ZOTERO_ITEM CSL_CITATION {"citationID":"XZBQCHjA","properties":{"formattedCitation":"\\super 64\\nosupersub{}","plainCitation":"64","noteIndex":0},"citationItems":[{"id":1515,"uris":["http://zotero.org/users/3599437/items/TBMP2R75"],"itemData":{"id":1515,"type":"webpage","title":"USDA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174198" w:rsidRPr="00174198">
        <w:rPr>
          <w:vertAlign w:val="superscript"/>
          <w:lang w:val="en-US"/>
        </w:rPr>
        <w:t>64</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174198">
        <w:rPr>
          <w:lang w:val="en-US"/>
        </w:rPr>
        <w:instrText xml:space="preserve"> ADDIN ZOTERO_ITEM CSL_CITATION {"citationID":"8sXiLiJj","properties":{"formattedCitation":"\\super 65\\nosupersub{}","plainCitation":"65","noteIndex":0},"citationItems":[{"id":1425,"uris":["http://zotero.org/users/3599437/items/XPLPG83Z"],"itemData":{"id":1425,"type":"article-journal","abstract":"The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174198" w:rsidRPr="00174198">
        <w:rPr>
          <w:vertAlign w:val="superscript"/>
          <w:lang w:val="en-US"/>
        </w:rPr>
        <w:t>65</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174198">
        <w:rPr>
          <w:lang w:val="en-US"/>
        </w:rPr>
        <w:instrText xml:space="preserve"> ADDIN ZOTERO_ITEM CSL_CITATION {"citationID":"86oHCn3s","properties":{"formattedCitation":"\\super 66\\nosupersub{}","plainCitation":"66","noteIndex":0},"citationItems":[{"id":1427,"uris":["http://zotero.org/users/3599437/items/FUK5SSCJ"],"itemData":{"id":1427,"type":"article-journal","abstract":"Context\nPrediction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174198" w:rsidRPr="00174198">
        <w:rPr>
          <w:vertAlign w:val="superscript"/>
          <w:lang w:val="en-US"/>
        </w:rPr>
        <w:t>66</w:t>
      </w:r>
      <w:r w:rsidR="00174198">
        <w:rPr>
          <w:lang w:val="en-US"/>
        </w:rPr>
        <w:fldChar w:fldCharType="end"/>
      </w:r>
      <w:r w:rsidR="005F5DD2">
        <w:rPr>
          <w:lang w:val="en-US"/>
        </w:rPr>
        <w:t>. Workable days survey data is commonly used in extension, but to our knowledge has had li</w:t>
      </w:r>
      <w:r>
        <w:rPr>
          <w:lang w:val="en-US"/>
        </w:rPr>
        <w:t>mited</w:t>
      </w:r>
      <w:r w:rsidR="005F5DD2">
        <w:rPr>
          <w:lang w:val="en-US"/>
        </w:rPr>
        <w:t xml:space="preserve"> use within scientific frameworks</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of Iowa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 xml:space="preserve"> of workable field days</w:t>
      </w:r>
      <w:r w:rsidR="00174198">
        <w:rPr>
          <w:lang w:val="en-US"/>
        </w:rPr>
        <w:fldChar w:fldCharType="begin"/>
      </w:r>
      <w:r w:rsidR="00174198">
        <w:rPr>
          <w:lang w:val="en-US"/>
        </w:rPr>
        <w:instrText xml:space="preserve"> ADDIN ZOTERO_ITEM CSL_CITATION {"citationID":"LT1taGxO","properties":{"formattedCitation":"\\super 67\\nosupersub{}","plainCitation":"67","noteIndex":0},"citationItems":[{"id":1517,"uris":["http://zotero.org/users/3599437/items/A8F6H6DB"],"itemData":{"id":1517,"type":"webpage","abstract":"Many PFI farmers have noted that cover crops boost their field access. A new PFI on-farm trial aims to back those claims with data. It’s an unseasonably warm, grey December day. Dozens of horticulture, livestock and field crop ...","container-title":"Practical Farmers of Iowa","language":"en-US","title":"Putting Soil to the Test","URL":"https://practicalfarmers.org/2024/04/putting-soil-to-the-test/","author":[{"family":"Orngard","given":"Solveig"}],"accessed":{"date-parts":[["2024",6,6]]},"issued":{"date-parts":[["2024",4,25]]}}}],"schema":"https://github.com/citation-style-language/schema/raw/master/csl-citation.json"} </w:instrText>
      </w:r>
      <w:r w:rsidR="00174198">
        <w:rPr>
          <w:lang w:val="en-US"/>
        </w:rPr>
        <w:fldChar w:fldCharType="separate"/>
      </w:r>
      <w:r w:rsidR="00174198" w:rsidRPr="00174198">
        <w:rPr>
          <w:vertAlign w:val="superscript"/>
          <w:lang w:val="en-US"/>
        </w:rPr>
        <w:t>67</w:t>
      </w:r>
      <w:r w:rsidR="00174198">
        <w:rPr>
          <w:lang w:val="en-US"/>
        </w:rPr>
        <w:fldChar w:fldCharType="end"/>
      </w:r>
      <w:r w:rsidR="00766CF5">
        <w:rPr>
          <w:lang w:val="en-US"/>
        </w:rPr>
        <w:t xml:space="preserve">. This </w:t>
      </w:r>
      <w:r w:rsidR="007C6F7A">
        <w:rPr>
          <w:lang w:val="en-US"/>
        </w:rPr>
        <w:t xml:space="preserve">will </w:t>
      </w:r>
      <w:r w:rsidR="00766CF5">
        <w:rPr>
          <w:lang w:val="en-US"/>
        </w:rPr>
        <w:t xml:space="preserve">not detract from nor undermine the scientific publications relating cover cropping to changes in soil-water </w:t>
      </w:r>
      <w:r w:rsidR="006D11F1">
        <w:rPr>
          <w:lang w:val="en-US"/>
        </w:rPr>
        <w:t>dynamics</w:t>
      </w:r>
      <w:r w:rsidR="00065B3B">
        <w:rPr>
          <w:lang w:val="en-US"/>
        </w:rPr>
        <w:t xml:space="preserve">; it will </w:t>
      </w:r>
      <w:r w:rsidR="00167D8E">
        <w:rPr>
          <w:lang w:val="en-US"/>
        </w:rPr>
        <w:t xml:space="preserve">enrich it by </w:t>
      </w:r>
      <w:r w:rsidR="00A86F8F">
        <w:rPr>
          <w:lang w:val="en-US"/>
        </w:rPr>
        <w:t>produc</w:t>
      </w:r>
      <w:r w:rsidR="00167D8E">
        <w:rPr>
          <w:lang w:val="en-US"/>
        </w:rPr>
        <w:t>ing</w:t>
      </w:r>
      <w:r w:rsidR="00A86F8F">
        <w:rPr>
          <w:lang w:val="en-US"/>
        </w:rPr>
        <w:t xml:space="preserve"> results that are based on </w:t>
      </w:r>
      <w:r w:rsidR="00034A6D">
        <w:rPr>
          <w:lang w:val="en-US"/>
        </w:rPr>
        <w:t>another</w:t>
      </w:r>
      <w:r w:rsidR="006A3F10">
        <w:rPr>
          <w:lang w:val="en-US"/>
        </w:rPr>
        <w:t>, meaningful</w:t>
      </w:r>
      <w:r w:rsidR="00766CF5">
        <w:rPr>
          <w:lang w:val="en-US"/>
        </w:rPr>
        <w:t xml:space="preserve"> way of knowing.</w:t>
      </w:r>
      <w:r w:rsidR="00CB44D5">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w:t>
      </w:r>
      <w:proofErr w:type="gramStart"/>
      <w:r>
        <w:rPr>
          <w:lang w:val="en-US"/>
        </w:rPr>
        <w:t>reciprocal</w:t>
      </w:r>
      <w:proofErr w:type="gramEnd"/>
      <w:r>
        <w:rPr>
          <w:lang w:val="en-US"/>
        </w:rPr>
        <w:t xml:space="preserve"> </w:t>
      </w:r>
    </w:p>
    <w:p w14:paraId="4B3B3851" w14:textId="1E14EFE7"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967FC4">
        <w:rPr>
          <w:lang w:val="en-US"/>
        </w:rPr>
        <w:t>opportunit</w:t>
      </w:r>
      <w:r w:rsidR="0093543C">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r>
        <w:rPr>
          <w:lang w:val="en-US"/>
        </w:rPr>
        <w:t>abound</w:t>
      </w:r>
      <w:r w:rsidR="009562A6">
        <w:rPr>
          <w:lang w:val="en-US"/>
        </w:rPr>
        <w:fldChar w:fldCharType="begin"/>
      </w:r>
      <w:r w:rsidR="009562A6">
        <w:rPr>
          <w:lang w:val="en-US"/>
        </w:rPr>
        <w:instrText xml:space="preserve"> ADDIN ZOTERO_ITEM CSL_CITATION {"citationID":"304dnLlD","properties":{"formattedCitation":"\\super 68\\uc0\\u8211{}70\\nosupersub{}","plainCitation":"68–70","noteIndex":0},"citationItems":[{"id":1052,"uris":["http://zotero.org/users/3599437/items/MX4SDQLD"],"itemData":{"id":1052,"type":"article-journal","abstract":"Advances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J."},{"family":"Mieno","given":"Taro"}],"accessed":{"date-parts":[["2024",6,6]]},"issued":{"date-parts":[["2024",3,15]]}}},{"id":1205,"uris":["http://zotero.org/users/3599437/items/EZQL8F3L"],"itemData":{"id":1205,"type":"article-journal","abstract":"Restructuring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9562A6" w:rsidRPr="00B0328D">
        <w:rPr>
          <w:vertAlign w:val="superscript"/>
          <w:lang w:val="en-US"/>
        </w:rPr>
        <w:t>68–70</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w:t>
      </w:r>
      <w:r w:rsidR="00F367C5" w:rsidRPr="004B348C">
        <w:rPr>
          <w:lang w:val="en-US"/>
        </w:rPr>
        <w:lastRenderedPageBreak/>
        <w:t>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9562A6">
        <w:rPr>
          <w:lang w:val="en-US"/>
        </w:rPr>
        <w:instrText xml:space="preserve"> ADDIN ZOTERO_ITEM CSL_CITATION {"citationID":"eEwyPIlQ","properties":{"formattedCitation":"\\super 71,72\\nosupersub{}","plainCitation":"71,72","noteIndex":0},"citationItems":[{"id":1213,"uris":["http://zotero.org/users/3599437/items/4A2YMKNF"],"itemData":{"id":1213,"type":"report","abstract":"A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1523,"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Wes","given":""}],"accessed":{"date-parts":[["2024",6,6]]},"issued":{"date-parts":[["2023",11,7]]}}}],"schema":"https://github.com/citation-style-language/schema/raw/master/csl-citation.json"} </w:instrText>
      </w:r>
      <w:r w:rsidR="009562A6">
        <w:rPr>
          <w:lang w:val="en-US"/>
        </w:rPr>
        <w:fldChar w:fldCharType="separate"/>
      </w:r>
      <w:r w:rsidR="009562A6" w:rsidRPr="009562A6">
        <w:rPr>
          <w:vertAlign w:val="superscript"/>
          <w:lang w:val="en-US"/>
        </w:rPr>
        <w:t>71,72</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w:t>
      </w:r>
      <w:r w:rsidR="009562A6">
        <w:rPr>
          <w:lang w:val="en-US"/>
        </w:rPr>
        <w:fldChar w:fldCharType="begin"/>
      </w:r>
      <w:r w:rsidR="009562A6">
        <w:rPr>
          <w:lang w:val="en-US"/>
        </w:rPr>
        <w:instrText xml:space="preserve"> ADDIN ZOTERO_ITEM CSL_CITATION {"citationID":"D8BOMq0E","properties":{"formattedCitation":"\\super 11\\nosupersub{}","plainCitation":"11","noteIndex":0},"citationItems":[{"id":1026,"uris":["http://zotero.org/users/3599437/items/4IAWCQ7E"],"itemData":{"id":1026,"type":"article-journal","abstract":"Scholar-activism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9562A6" w:rsidRPr="009562A6">
        <w:rPr>
          <w:vertAlign w:val="superscript"/>
          <w:lang w:val="en-US"/>
        </w:rPr>
        <w:t>11</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7FA9E4A8" w:rsidR="00BF2CA1" w:rsidRPr="00BF2CA1" w:rsidRDefault="00D10D16" w:rsidP="00BF2CA1">
      <w:pPr>
        <w:pStyle w:val="Heading2"/>
        <w:rPr>
          <w:lang w:val="en-US"/>
        </w:rPr>
      </w:pPr>
      <w:r>
        <w:rPr>
          <w:lang w:val="en-US"/>
        </w:rPr>
        <w:t>Compensation</w:t>
      </w:r>
    </w:p>
    <w:p w14:paraId="57D5F7BD" w14:textId="56A47D57"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9562A6">
        <w:rPr>
          <w:lang w:val="en-US"/>
        </w:rPr>
        <w:instrText xml:space="preserve"> ADDIN ZOTERO_ITEM CSL_CITATION {"citationID":"81Umz3ef","properties":{"formattedCitation":"\\super 73,74\\nosupersub{}","plainCitation":"73,74","noteIndex":0},"citationItems":[{"id":1204,"uris":["http://zotero.org/users/3599437/items/3UUPFTCT"],"itemData":{"id":1204,"type":"article-journal","abstract":"The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1198,"uris":["http://zotero.org/users/3599437/items/I222JFT9"],"itemData":{"id":1198,"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9562A6" w:rsidRPr="009562A6">
        <w:rPr>
          <w:vertAlign w:val="superscript"/>
          <w:lang w:val="en-US"/>
        </w:rPr>
        <w:t>73,74</w:t>
      </w:r>
      <w:r w:rsidR="009562A6">
        <w:rPr>
          <w:lang w:val="en-US"/>
        </w:rPr>
        <w:fldChar w:fldCharType="end"/>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and even fewer exploring how those mechanisms influence collaboration dynamics</w:t>
      </w:r>
      <w:r w:rsidR="009562A6">
        <w:rPr>
          <w:lang w:val="en-US"/>
        </w:rPr>
        <w:fldChar w:fldCharType="begin"/>
      </w:r>
      <w:r w:rsidR="009562A6">
        <w:rPr>
          <w:lang w:val="en-US"/>
        </w:rPr>
        <w:instrText xml:space="preserve"> ADDIN ZOTERO_ITEM CSL_CITATION {"citationID":"3quk0yx8","properties":{"formattedCitation":"\\super 75\\nosupersub{}","plainCitation":"75","noteIndex":0},"citationItems":[{"id":1131,"uris":["http://zotero.org/users/3599437/items/CDM2SYV8"],"itemData":{"id":1131,"type":"article-journal","abstract":"Constraints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9562A6" w:rsidRPr="00B0328D">
        <w:rPr>
          <w:vertAlign w:val="superscript"/>
          <w:lang w:val="en-US"/>
        </w:rPr>
        <w:t>75</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4302486F"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w:t>
      </w:r>
      <w:r w:rsidR="009147B2">
        <w:rPr>
          <w:lang w:val="en-US"/>
        </w:rPr>
        <w:t>fair</w:t>
      </w:r>
      <w:r w:rsidR="0093543C">
        <w:rPr>
          <w:lang w:val="en-US"/>
        </w:rPr>
        <w:t xml:space="preserve"> compensation, 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20694B">
        <w:rPr>
          <w:lang w:val="en-US"/>
        </w:rPr>
        <w:t xml:space="preserve"> </w:t>
      </w:r>
    </w:p>
    <w:p w14:paraId="643FCBBA" w14:textId="77777777" w:rsidR="0020694B" w:rsidRDefault="0020694B" w:rsidP="005B1CF4">
      <w:pPr>
        <w:rPr>
          <w:lang w:val="en-US"/>
        </w:rPr>
      </w:pPr>
    </w:p>
    <w:p w14:paraId="0D68FA4E" w14:textId="7B633FEF"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w:t>
      </w:r>
      <w:r w:rsidR="00065B3B">
        <w:rPr>
          <w:lang w:val="en-US"/>
        </w:rPr>
        <w:t xml:space="preserve">, </w:t>
      </w:r>
      <w:r>
        <w:rPr>
          <w:lang w:val="en-US"/>
        </w:rPr>
        <w:t xml:space="preserve">to our knowledge none require it. To assist researchers in compensating farmers in ways that equalize opportunities and power distributions, </w:t>
      </w:r>
      <w:r w:rsidRPr="006931DB">
        <w:rPr>
          <w:lang w:val="en-US"/>
        </w:rPr>
        <w:t xml:space="preserve">funding sources should </w:t>
      </w:r>
      <w:r>
        <w:rPr>
          <w:lang w:val="en-US"/>
        </w:rPr>
        <w:t xml:space="preserve">explicitly </w:t>
      </w:r>
      <w:r w:rsidRPr="006931DB">
        <w:rPr>
          <w:lang w:val="en-US"/>
        </w:rPr>
        <w:t xml:space="preserve">require </w:t>
      </w:r>
      <w:r w:rsidR="00E000F5">
        <w:rPr>
          <w:lang w:val="en-US"/>
        </w:rPr>
        <w:t xml:space="preserve">tangible renumeration of </w:t>
      </w:r>
      <w:r>
        <w:rPr>
          <w:lang w:val="en-US"/>
        </w:rPr>
        <w:t>farmers for their par</w:t>
      </w:r>
      <w:r w:rsidRPr="006931DB">
        <w:rPr>
          <w:lang w:val="en-US"/>
        </w:rPr>
        <w:t xml:space="preserve">ticipation in research </w:t>
      </w:r>
      <w:proofErr w:type="gramStart"/>
      <w:r w:rsidRPr="006931DB">
        <w:rPr>
          <w:lang w:val="en-US"/>
        </w:rPr>
        <w:t>projects</w:t>
      </w:r>
      <w:r w:rsidR="00E000F5">
        <w:rPr>
          <w:lang w:val="en-US"/>
        </w:rPr>
        <w:t>,</w:t>
      </w:r>
      <w:r>
        <w:rPr>
          <w:lang w:val="en-US"/>
        </w:rPr>
        <w:t xml:space="preserve"> and</w:t>
      </w:r>
      <w:proofErr w:type="gramEnd"/>
      <w:r>
        <w:rPr>
          <w:lang w:val="en-US"/>
        </w:rPr>
        <w:t xml:space="preserve"> provide associated 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w:t>
      </w:r>
      <w:r w:rsidR="0020694B">
        <w:rPr>
          <w:lang w:val="en-US"/>
        </w:rPr>
        <w:t xml:space="preserve">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(but see Metrics for Success section). The Iowa Nitrogen Initiative</w:t>
      </w:r>
      <w:r w:rsidR="009D4689">
        <w:rPr>
          <w:lang w:val="en-US"/>
        </w:rPr>
        <w:t xml:space="preserve"> (see Technical </w:t>
      </w:r>
      <w:r w:rsidR="00065B3B">
        <w:rPr>
          <w:lang w:val="en-US"/>
        </w:rPr>
        <w:t>A</w:t>
      </w:r>
      <w:r w:rsidR="009D4689">
        <w:rPr>
          <w:lang w:val="en-US"/>
        </w:rPr>
        <w:t>udit</w:t>
      </w:r>
      <w:r w:rsidR="00065B3B">
        <w:rPr>
          <w:lang w:val="en-US"/>
        </w:rPr>
        <w:t>s section</w:t>
      </w:r>
      <w:r w:rsidR="009D4689">
        <w:rPr>
          <w:lang w:val="en-US"/>
        </w:rPr>
        <w:t>)</w:t>
      </w:r>
      <w:r w:rsidR="001D43ED">
        <w:rPr>
          <w:lang w:val="en-US"/>
        </w:rPr>
        <w:t xml:space="preser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9562A6">
        <w:rPr>
          <w:lang w:val="en-US"/>
        </w:rPr>
        <w:instrText xml:space="preserve"> ADDIN ZOTERO_ITEM CSL_CITATION {"citationID":"zPDk3hX0","properties":{"formattedCitation":"\\super 69,75\\nosupersub{}","plainCitation":"69,75","noteIndex":0},"citationItems":[{"id":1521,"uris":["http://zotero.org/users/3599437/items/JECLV44P"],"itemData":{"id":1521,"type":"article-journal","abstract":"The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9562A6" w:rsidRPr="009562A6">
        <w:rPr>
          <w:vertAlign w:val="superscript"/>
          <w:lang w:val="en-US"/>
        </w:rPr>
        <w:t>69,75</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Pr>
          <w:lang w:val="en-US"/>
        </w:rPr>
        <w:t>lended compensation packages that coincided with high participant satisfaction in supplemental files as a resource</w:t>
      </w:r>
      <w:r w:rsidR="009D4689">
        <w:rPr>
          <w:lang w:val="en-US"/>
        </w:rPr>
        <w:t xml:space="preserve"> (</w:t>
      </w:r>
      <w:r w:rsidR="00DC3B55">
        <w:rPr>
          <w:lang w:val="en-US"/>
        </w:rPr>
        <w:t>s</w:t>
      </w:r>
      <w:r w:rsidR="00034A6D">
        <w:rPr>
          <w:lang w:val="en-US"/>
        </w:rPr>
        <w:t>upplemental file</w:t>
      </w:r>
      <w:r w:rsidR="009D4689">
        <w:rPr>
          <w:lang w:val="en-US"/>
        </w:rPr>
        <w:t>)</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0FA25080"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 Building on recommendations from </w:t>
      </w:r>
      <w:r w:rsidR="009D4689">
        <w:rPr>
          <w:lang w:val="en-US"/>
        </w:rPr>
        <w:t>various sources</w:t>
      </w:r>
      <w:r w:rsidR="00DC3B55">
        <w:rPr>
          <w:lang w:val="en-US"/>
        </w:rPr>
        <w:fldChar w:fldCharType="begin"/>
      </w:r>
      <w:r w:rsidR="00DC3B55">
        <w:rPr>
          <w:lang w:val="en-US"/>
        </w:rPr>
        <w:instrText xml:space="preserve"> ADDIN ZOTERO_ITEM CSL_CITATION {"citationID":"eXEvyUlC","properties":{"formattedCitation":"\\super 11,15,76\\nosupersub{}","plainCitation":"11,15,76","noteIndex":0},"citationItems":[{"id":1026,"uris":["http://zotero.org/users/3599437/items/4IAWCQ7E"],"itemData":{"id":1026,"type":"article-journal","abstract":"Scholar-activism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Jahi"}],"issued":{"date-parts":[["2021",2,11]]}}},{"id":1466,"uris":["http://zotero.org/users/3599437/items/3664CACM"],"itemData":{"id":1466,"type":"book","ISBN":"978-0-262-54718-5","language":"en","note":"Google-Books-ID: rHOdEAAAQBAJ","number-of-pages":"328","publisher":"MIT Press","source":"Google Books","title":"Data Feminism","author":[{"family":"D'Ignazio","given":"Catherine"},{"family":"Klein","given":"Lauren F."}],"issued":{"date-parts":[["2020"]]}}},{"id":1526,"uris":["http://zotero.org/users/3599437/items/MNRQYPNB"],"itemData":{"id":1526,"type":"book","language":"en-gb","publisher":"Utah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DC3B55" w:rsidRPr="00DC3B55">
        <w:rPr>
          <w:vertAlign w:val="superscript"/>
          <w:lang w:val="en-US"/>
        </w:rPr>
        <w:t>11,15,76</w:t>
      </w:r>
      <w:r w:rsidR="00DC3B55">
        <w:rPr>
          <w:lang w:val="en-US"/>
        </w:rPr>
        <w:fldChar w:fldCharType="end"/>
      </w:r>
      <w:r w:rsidR="00D50F2E">
        <w:rPr>
          <w:lang w:val="en-US"/>
        </w:rPr>
        <w:t>,</w:t>
      </w:r>
      <w:r w:rsidR="009D4689">
        <w:rPr>
          <w:lang w:val="en-US"/>
        </w:rPr>
        <w:t xml:space="preserve"> </w:t>
      </w:r>
      <w:r w:rsidR="00D50F2E">
        <w:rPr>
          <w:lang w:val="en-US"/>
        </w:rPr>
        <w:t xml:space="preserve">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lastRenderedPageBreak/>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 xml:space="preserve">both entities transformed </w:t>
      </w:r>
      <w:proofErr w:type="gramStart"/>
      <w:r w:rsidR="00D50F2E">
        <w:rPr>
          <w:lang w:val="en-US"/>
        </w:rPr>
        <w:t>as a result of</w:t>
      </w:r>
      <w:proofErr w:type="gramEnd"/>
      <w:r w:rsidR="00D50F2E">
        <w:rPr>
          <w:lang w:val="en-US"/>
        </w:rPr>
        <w:t xml:space="preserve"> the collaboration?</w:t>
      </w:r>
    </w:p>
    <w:p w14:paraId="035F7928" w14:textId="44139161"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r w:rsidR="00270076">
        <w:rPr>
          <w:lang w:val="en-US"/>
        </w:rPr>
        <w:t xml:space="preserve">The success of this type of model can </w:t>
      </w:r>
      <w:r w:rsidR="00FE1B8B">
        <w:rPr>
          <w:lang w:val="en-US"/>
        </w:rPr>
        <w:t xml:space="preserve">again </w:t>
      </w:r>
      <w:r w:rsidR="00270076">
        <w:rPr>
          <w:lang w:val="en-US"/>
        </w:rPr>
        <w:t>be demonstrated by the longevity of the Practical Farmers of Iowa (hereafter shortened to Practical Farmers) on-farm research program, which has been in place since 19</w:t>
      </w:r>
      <w:r w:rsidR="00F014B5">
        <w:rPr>
          <w:lang w:val="en-US"/>
        </w:rPr>
        <w:t>87</w:t>
      </w:r>
      <w:r w:rsidR="00270076">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xml:space="preserve">, and </w:t>
      </w:r>
      <w:r w:rsidR="009147B2">
        <w:rPr>
          <w:lang w:val="en-US"/>
        </w:rPr>
        <w:t xml:space="preserve">the current form </w:t>
      </w:r>
      <w:r w:rsidR="005370FC">
        <w:rPr>
          <w:lang w:val="en-US"/>
        </w:rPr>
        <w:t>quantifies outcomes in</w:t>
      </w:r>
      <w:r w:rsidR="005B6AC3">
        <w:rPr>
          <w:lang w:val="en-US"/>
        </w:rPr>
        <w:t xml:space="preserve"> the four metrics</w:t>
      </w:r>
      <w:r w:rsidR="009D4689">
        <w:rPr>
          <w:lang w:val="en-US"/>
        </w:rPr>
        <w:t xml:space="preserve"> (see </w:t>
      </w:r>
      <w:r w:rsidR="00DC3B55">
        <w:rPr>
          <w:lang w:val="en-US"/>
        </w:rPr>
        <w:t>supplemental file</w:t>
      </w:r>
      <w:r w:rsidR="009D4689">
        <w:rPr>
          <w:lang w:val="en-US"/>
        </w:rPr>
        <w:t>)</w:t>
      </w:r>
      <w:r w:rsidR="005B6AC3">
        <w:rPr>
          <w:lang w:val="en-US"/>
        </w:rPr>
        <w:t>. As these questions have become metrics for success, Practical Farmers has designed their program to support these metrics, resulting in highly satisfied participants</w:t>
      </w:r>
      <w:r w:rsidR="003C7FBF">
        <w:rPr>
          <w:lang w:val="en-US"/>
        </w:rPr>
        <w:fldChar w:fldCharType="begin"/>
      </w:r>
      <w:r w:rsidR="003C7FBF">
        <w:rPr>
          <w:lang w:val="en-US"/>
        </w:rPr>
        <w:instrText xml:space="preserve"> ADDIN ZOTERO_ITEM CSL_CITATION {"citationID":"z25qU6D7","properties":{"formattedCitation":"\\super 77\\nosupersub{}","plainCitation":"77","noteIndex":0},"citationItems":[{"id":1530,"uris":["http://zotero.org/users/3599437/items/QNQ3FDN4"],"itemData":{"id":1530,"type":"webpage","container-title":"Practical Farmers of Iowa","language":"en-US","title":"Home page","URL":"https://practicalfarmers.org/","accessed":{"date-parts":[["2024",6,6]]}}}],"schema":"https://github.com/citation-style-language/schema/raw/master/csl-citation.json"} </w:instrText>
      </w:r>
      <w:r w:rsidR="003C7FBF">
        <w:rPr>
          <w:lang w:val="en-US"/>
        </w:rPr>
        <w:fldChar w:fldCharType="separate"/>
      </w:r>
      <w:r w:rsidR="003C7FBF" w:rsidRPr="003C7FBF">
        <w:rPr>
          <w:vertAlign w:val="superscript"/>
          <w:lang w:val="en-US"/>
        </w:rPr>
        <w:t>77</w:t>
      </w:r>
      <w:r w:rsidR="003C7FBF">
        <w:rPr>
          <w:lang w:val="en-US"/>
        </w:rPr>
        <w:fldChar w:fldCharType="end"/>
      </w:r>
      <w:r w:rsidR="009147B2">
        <w:rPr>
          <w:lang w:val="en-US"/>
        </w:rPr>
        <w:t xml:space="preserve">, translating </w:t>
      </w:r>
      <w:r w:rsidR="005B6AC3">
        <w:rPr>
          <w:lang w:val="en-US"/>
        </w:rPr>
        <w:t>to more consistent funding.</w:t>
      </w:r>
      <w:r w:rsidR="00270076">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w:t>
      </w:r>
      <w:r w:rsidR="00270076">
        <w:rPr>
          <w:lang w:val="en-US"/>
        </w:rPr>
        <w:t xml:space="preserve">  </w:t>
      </w:r>
    </w:p>
    <w:p w14:paraId="0099F0BD" w14:textId="0D766EA1" w:rsidR="00CC38CF" w:rsidRDefault="00900F87" w:rsidP="00B76E57">
      <w:pPr>
        <w:pStyle w:val="Heading1"/>
        <w:rPr>
          <w:lang w:val="en-US"/>
        </w:rPr>
      </w:pPr>
      <w:r>
        <w:rPr>
          <w:lang w:val="en-US"/>
        </w:rPr>
        <w:t xml:space="preserve">All research is </w:t>
      </w:r>
      <w:r w:rsidR="00C7679D">
        <w:rPr>
          <w:lang w:val="en-US"/>
        </w:rPr>
        <w:t>values-</w:t>
      </w:r>
      <w:proofErr w:type="gramStart"/>
      <w:r w:rsidR="00C7679D">
        <w:rPr>
          <w:lang w:val="en-US"/>
        </w:rPr>
        <w:t>informed</w:t>
      </w:r>
      <w:proofErr w:type="gramEnd"/>
    </w:p>
    <w:p w14:paraId="2F8A5137" w14:textId="48DBB384"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BC34A4">
        <w:rPr>
          <w:lang w:val="en-US"/>
        </w:rPr>
        <w:t xml:space="preserve">its role in </w:t>
      </w:r>
      <w:r>
        <w:rPr>
          <w:lang w:val="en-US"/>
        </w:rPr>
        <w:t>colonialism, racism, and other forms of oppression</w:t>
      </w:r>
      <w:r w:rsidR="00561BF2">
        <w:rPr>
          <w:lang w:val="en-US"/>
        </w:rPr>
        <w:fldChar w:fldCharType="begin"/>
      </w:r>
      <w:r w:rsidR="00561BF2">
        <w:rPr>
          <w:lang w:val="en-US"/>
        </w:rPr>
        <w:instrText xml:space="preserve"> ADDIN ZOTERO_ITEM CSL_CITATION {"citationID":"8Tz7TQER","properties":{"formattedCitation":"\\super 78,79\\nosupersub{}","plainCitation":"78,79","noteIndex":0},"citationItems":[{"id":1390,"uris":["http://zotero.org/users/3599437/items/IT7TT7RX"],"itemData":{"id":1390,"type":"chapter","container-title":"Anti-Colonialism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1388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561BF2" w:rsidRPr="00B0328D">
        <w:rPr>
          <w:vertAlign w:val="superscript"/>
          <w:lang w:val="en-US"/>
        </w:rPr>
        <w:t>78,79</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 xml:space="preserve">nherent in the pursuit of knowledge, while still valuing the foundations of empirical evidence and systematic investigation.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In a Data Feminism framework, this is </w:t>
      </w:r>
      <w:r w:rsidR="000D16E3">
        <w:rPr>
          <w:lang w:val="en-US"/>
        </w:rPr>
        <w:t xml:space="preserve">desirable. </w:t>
      </w:r>
    </w:p>
    <w:p w14:paraId="37748B00" w14:textId="77777777" w:rsidR="000D16E3" w:rsidRDefault="000D16E3" w:rsidP="000D16E3">
      <w:pPr>
        <w:pStyle w:val="Heading2"/>
        <w:rPr>
          <w:lang w:val="en-US"/>
        </w:rPr>
      </w:pPr>
      <w:r>
        <w:rPr>
          <w:lang w:val="en-US"/>
        </w:rPr>
        <w:t>Coexistance of multiple truths</w:t>
      </w:r>
    </w:p>
    <w:p w14:paraId="1A554658" w14:textId="25FEBE63"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561BF2">
        <w:rPr>
          <w:lang w:val="en-US"/>
        </w:rPr>
        <w:fldChar w:fldCharType="begin"/>
      </w:r>
      <w:r w:rsidR="00561BF2">
        <w:rPr>
          <w:lang w:val="en-US"/>
        </w:rPr>
        <w:instrText xml:space="preserve"> ADDIN ZOTERO_ITEM CSL_CITATION {"citationID":"oWr4lSPJ","properties":{"formattedCitation":"\\super 80\\nosupersub{}","plainCitation":"80","noteIndex":0},"citationItems":[{"id":1532,"uris":["http://zotero.org/users/3599437/items/JBKSTQ7W"],"itemData":{"id":1532,"type":"book","event-place":"New York","ISBN":"978-0-345-80284-2","language":"en-US","publisher":"Vintage","publisher-place":"New York","title":"The Wizard and the Prophet","URL":"https://www.penguinrandomhouse.com/books/220698/the-wizard-and-the-prophet-by-charles-c-mann/","author":[{"family":"Mann","given":"Charles"}],"accessed":{"date-parts":[["2024",6,6]]},"issued":{"date-parts":[["2019"]]}}}],"schema":"https://github.com/citation-style-language/schema/raw/master/csl-citation.json"} </w:instrText>
      </w:r>
      <w:r w:rsidR="00561BF2">
        <w:rPr>
          <w:lang w:val="en-US"/>
        </w:rPr>
        <w:fldChar w:fldCharType="separate"/>
      </w:r>
      <w:r w:rsidR="00561BF2" w:rsidRPr="00561BF2">
        <w:rPr>
          <w:vertAlign w:val="superscript"/>
          <w:lang w:val="en-US"/>
        </w:rPr>
        <w:t>80</w:t>
      </w:r>
      <w:r w:rsidR="00561BF2">
        <w:rPr>
          <w:lang w:val="en-US"/>
        </w:rPr>
        <w:fldChar w:fldCharType="end"/>
      </w:r>
      <w:r>
        <w:rPr>
          <w:lang w:val="en-US"/>
        </w:rPr>
        <w:t xml:space="preserve">. </w:t>
      </w:r>
      <w:r w:rsidRPr="00561BF2">
        <w:rPr>
          <w:i/>
          <w:iCs/>
          <w:lang w:val="en-US"/>
        </w:rPr>
        <w:t>The Wizard and the Prophet</w:t>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the rural transformation </w:t>
      </w:r>
      <w:r w:rsidR="004B79B8">
        <w:rPr>
          <w:lang w:val="en-US"/>
        </w:rPr>
        <w:t>that grew 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an effort that contributed to a larger collection of innovations referred to as ‘The Green Revolution’ and for which Borlaug won a Nobel Peace Prize</w:t>
      </w:r>
      <w:r w:rsidR="00561BF2">
        <w:rPr>
          <w:lang w:val="en-US"/>
        </w:rPr>
        <w:fldChar w:fldCharType="begin"/>
      </w:r>
      <w:r w:rsidR="00561BF2">
        <w:rPr>
          <w:lang w:val="en-US"/>
        </w:rPr>
        <w:instrText xml:space="preserve"> ADDIN ZOTERO_ITEM CSL_CITATION {"citationID":"MLdD23Sz","properties":{"formattedCitation":"\\super 81\\nosupersub{}","plainCitation":"81","noteIndex":0},"citationItems":[{"id":1534,"uris":["http://zotero.org/users/3599437/items/WRCXHW7P"],"itemData":{"id":1534,"type":"article-journal","abstract":"(1971).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561BF2" w:rsidRPr="00561BF2">
        <w:rPr>
          <w:vertAlign w:val="superscript"/>
          <w:lang w:val="en-US"/>
        </w:rPr>
        <w:t>81</w:t>
      </w:r>
      <w:r w:rsidR="00561BF2">
        <w:rPr>
          <w:lang w:val="en-US"/>
        </w:rPr>
        <w:fldChar w:fldCharType="end"/>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D65312">
        <w:rPr>
          <w:lang w:val="en-US"/>
        </w:rPr>
        <w:t xml:space="preserve"> and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561BF2">
        <w:rPr>
          <w:lang w:val="en-US"/>
        </w:rPr>
        <w:instrText xml:space="preserve"> ADDIN ZOTERO_ITEM CSL_CITATION {"citationID":"uDS1IynQ","properties":{"formattedCitation":"\\super 82\\nosupersub{}","plainCitation":"82","noteIndex":0},"citationItems":[{"id":1536,"uris":["http://zotero.org/users/3599437/items/XCZ98J57"],"itemData":{"id":1536,"type":"article-journal","abstract":"The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561BF2" w:rsidRPr="00561BF2">
        <w:rPr>
          <w:vertAlign w:val="superscript"/>
          <w:lang w:val="en-US"/>
        </w:rPr>
        <w:t>82</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6D51A62F" w:rsidR="000D16E3" w:rsidRDefault="00D65312" w:rsidP="000D16E3">
      <w:pPr>
        <w:pStyle w:val="Heading2"/>
        <w:rPr>
          <w:lang w:val="en-US"/>
        </w:rPr>
      </w:pPr>
      <w:r>
        <w:rPr>
          <w:lang w:val="en-US"/>
        </w:rPr>
        <w:t>D</w:t>
      </w:r>
      <w:r w:rsidR="000D16E3">
        <w:rPr>
          <w:lang w:val="en-US"/>
        </w:rPr>
        <w:t>iverse framings a</w:t>
      </w:r>
      <w:r>
        <w:rPr>
          <w:lang w:val="en-US"/>
        </w:rPr>
        <w:t>s</w:t>
      </w:r>
      <w:r w:rsidR="000D16E3">
        <w:rPr>
          <w:lang w:val="en-US"/>
        </w:rPr>
        <w:t xml:space="preserve"> a strength</w:t>
      </w:r>
    </w:p>
    <w:p w14:paraId="79FB1BAA" w14:textId="6E96A53B" w:rsidR="002D5221" w:rsidRDefault="009A141C" w:rsidP="002D5221">
      <w:pPr>
        <w:rPr>
          <w:lang w:val="en-US"/>
        </w:rPr>
      </w:pPr>
      <w:r>
        <w:rPr>
          <w:lang w:val="en-US"/>
        </w:rPr>
        <w:t xml:space="preserve">In the context of policy making, the acknowledgement of </w:t>
      </w:r>
      <w:r w:rsidR="009859E5">
        <w:rPr>
          <w:lang w:val="en-US"/>
        </w:rPr>
        <w:t xml:space="preserve">multiple truths, </w:t>
      </w:r>
      <w:r>
        <w:rPr>
          <w:lang w:val="en-US"/>
        </w:rPr>
        <w:t xml:space="preserve">such as the coexistence of abundance and starvation, is understood </w:t>
      </w:r>
      <w:r w:rsidR="00197361">
        <w:rPr>
          <w:lang w:val="en-US"/>
        </w:rPr>
        <w:t xml:space="preserve">as an inherent complexity in </w:t>
      </w:r>
      <w:r>
        <w:rPr>
          <w:lang w:val="en-US"/>
        </w:rPr>
        <w:t>addressing multi-faceted issues</w:t>
      </w:r>
      <w:r w:rsidR="001A43DA">
        <w:rPr>
          <w:lang w:val="en-US"/>
        </w:rPr>
        <w:fldChar w:fldCharType="begin"/>
      </w:r>
      <w:r w:rsidR="001A43DA">
        <w:rPr>
          <w:lang w:val="en-US"/>
        </w:rPr>
        <w:instrText xml:space="preserve"> ADDIN ZOTERO_ITEM CSL_CITATION {"citationID":"ZlejrkSf","properties":{"formattedCitation":"\\super 83\\nosupersub{}","plainCitation":"83","noteIndex":0},"citationItems":[{"id":1538,"uris":["http://zotero.org/users/3599437/items/KUGLLCNC"],"itemData":{"id":1538,"type":"article-journal","container-title":"Policy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1A43DA">
        <w:rPr>
          <w:lang w:val="en-US"/>
        </w:rPr>
        <w:fldChar w:fldCharType="separate"/>
      </w:r>
      <w:r w:rsidR="001A43DA" w:rsidRPr="001A43DA">
        <w:rPr>
          <w:vertAlign w:val="superscript"/>
          <w:lang w:val="en-US"/>
        </w:rPr>
        <w:t>83</w:t>
      </w:r>
      <w:r w:rsidR="001A43DA">
        <w:rPr>
          <w:lang w:val="en-US"/>
        </w:rPr>
        <w:fldChar w:fldCharType="end"/>
      </w:r>
      <w:r>
        <w:rPr>
          <w:lang w:val="en-US"/>
        </w:rPr>
        <w:t xml:space="preserve">.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w:t>
      </w:r>
      <w:r w:rsidR="00411E3A">
        <w:rPr>
          <w:lang w:val="en-US"/>
        </w:rPr>
        <w:t xml:space="preserve">Scientists who acknowledge and navigate the existence of multiple truths are better equipped to provide </w:t>
      </w:r>
      <w:r w:rsidR="00411E3A">
        <w:rPr>
          <w:lang w:val="en-US"/>
        </w:rPr>
        <w:lastRenderedPageBreak/>
        <w:t>solutions that do not preferentially disadvantage vulnerable groups</w:t>
      </w:r>
      <w:r w:rsidR="001A43DA">
        <w:rPr>
          <w:lang w:val="en-US"/>
        </w:rPr>
        <w:fldChar w:fldCharType="begin"/>
      </w:r>
      <w:r w:rsidR="001A43DA">
        <w:rPr>
          <w:lang w:val="en-US"/>
        </w:rPr>
        <w:instrText xml:space="preserve"> ADDIN ZOTERO_ITEM CSL_CITATION {"citationID":"dnyeDnrP","properties":{"formattedCitation":"\\super 84\\nosupersub{}","plainCitation":"84","noteIndex":0},"citationItems":[{"id":1171,"uris":["http://zotero.org/users/3599437/items/FM9JJN8X"],"itemData":{"id":1171,"type":"article-journal","abstract":"Agriculture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1A43DA">
        <w:rPr>
          <w:lang w:val="en-US"/>
        </w:rPr>
        <w:fldChar w:fldCharType="separate"/>
      </w:r>
      <w:r w:rsidR="001A43DA" w:rsidRPr="00B0328D">
        <w:rPr>
          <w:vertAlign w:val="superscript"/>
          <w:lang w:val="en-US"/>
        </w:rPr>
        <w:t>84</w:t>
      </w:r>
      <w:r w:rsidR="001A43DA">
        <w:rPr>
          <w:lang w:val="en-US"/>
        </w:rPr>
        <w:fldChar w:fldCharType="end"/>
      </w:r>
      <w:r w:rsidR="00411E3A">
        <w:rPr>
          <w:lang w:val="en-US"/>
        </w:rPr>
        <w:t>.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very little </w:t>
      </w:r>
      <w:r w:rsidR="004B79B8">
        <w:rPr>
          <w:lang w:val="en-US"/>
        </w:rPr>
        <w:t>regarding</w:t>
      </w:r>
      <w:r w:rsidR="00FB3F65">
        <w:rPr>
          <w:lang w:val="en-US"/>
        </w:rPr>
        <w:t xml:space="preserve"> value systems, and lends us to imagine the insight that would be gained from adding more framings. </w:t>
      </w:r>
      <w:r w:rsidR="009A0D1A">
        <w:rPr>
          <w:lang w:val="en-US"/>
        </w:rPr>
        <w:t>Today, an increasing availability of diversely framed reflections concerning the Green Revolution have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1A43DA">
        <w:rPr>
          <w:lang w:val="en-US"/>
        </w:rPr>
        <w:instrText xml:space="preserve"> ADDIN ZOTERO_ITEM CSL_CITATION {"citationID":"Cf0uvXAz","properties":{"formattedCitation":"\\super 85\\nosupersub{}","plainCitation":"85","noteIndex":0},"citationItems":[{"id":1540,"uris":["http://zotero.org/users/3599437/items/JKGQM9CH"],"itemData":{"id":1540,"type":"webpage","abstract":"The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1A43DA" w:rsidRPr="001A43DA">
        <w:rPr>
          <w:vertAlign w:val="superscript"/>
          <w:lang w:val="en-US"/>
        </w:rPr>
        <w:t>85</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is a prerequisite for success.</w:t>
      </w:r>
    </w:p>
    <w:p w14:paraId="258909FC" w14:textId="70BF71CE" w:rsidR="008A169F" w:rsidRDefault="008A169F" w:rsidP="004B79B8">
      <w:pPr>
        <w:pStyle w:val="Heading1"/>
        <w:rPr>
          <w:lang w:val="en-US"/>
        </w:rPr>
      </w:pPr>
      <w:r>
        <w:rPr>
          <w:lang w:val="en-US"/>
        </w:rPr>
        <w:t>Conclusions</w:t>
      </w:r>
    </w:p>
    <w:p w14:paraId="04309505" w14:textId="68F6431D" w:rsidR="00124EC3"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p>
    <w:p w14:paraId="502A1BB3" w14:textId="180980B0" w:rsidR="004918CE" w:rsidRDefault="004918CE" w:rsidP="008A169F">
      <w:pPr>
        <w:rPr>
          <w:lang w:val="en-US"/>
        </w:rPr>
      </w:pPr>
    </w:p>
    <w:p w14:paraId="38CD6FE7" w14:textId="77777777" w:rsidR="00F74EB8" w:rsidRDefault="00F74EB8" w:rsidP="008A169F">
      <w:pPr>
        <w:rPr>
          <w:lang w:val="en-US"/>
        </w:rPr>
      </w:pPr>
    </w:p>
    <w:p w14:paraId="29C90698" w14:textId="77777777" w:rsidR="005E13CB" w:rsidRDefault="005E13CB" w:rsidP="008A169F">
      <w:pPr>
        <w:rPr>
          <w:lang w:val="en-US"/>
        </w:rPr>
      </w:pP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5D08"/>
    <w:rsid w:val="0008605E"/>
    <w:rsid w:val="00086D8C"/>
    <w:rsid w:val="000923F7"/>
    <w:rsid w:val="00093453"/>
    <w:rsid w:val="000949BF"/>
    <w:rsid w:val="0009558F"/>
    <w:rsid w:val="000A15F4"/>
    <w:rsid w:val="000A1EBD"/>
    <w:rsid w:val="000A4743"/>
    <w:rsid w:val="000A4D89"/>
    <w:rsid w:val="000C7806"/>
    <w:rsid w:val="000D16E3"/>
    <w:rsid w:val="000D284F"/>
    <w:rsid w:val="000D30DE"/>
    <w:rsid w:val="000E1579"/>
    <w:rsid w:val="000E7DB5"/>
    <w:rsid w:val="000F1805"/>
    <w:rsid w:val="000F4919"/>
    <w:rsid w:val="000F6AB9"/>
    <w:rsid w:val="00101CF6"/>
    <w:rsid w:val="00121249"/>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1594"/>
    <w:rsid w:val="003F22D7"/>
    <w:rsid w:val="003F2AD7"/>
    <w:rsid w:val="003F2EAF"/>
    <w:rsid w:val="00400119"/>
    <w:rsid w:val="00410950"/>
    <w:rsid w:val="00411E3A"/>
    <w:rsid w:val="00414ABC"/>
    <w:rsid w:val="00424324"/>
    <w:rsid w:val="004260D3"/>
    <w:rsid w:val="00445D45"/>
    <w:rsid w:val="00447075"/>
    <w:rsid w:val="00464BD1"/>
    <w:rsid w:val="00474EA2"/>
    <w:rsid w:val="0047685D"/>
    <w:rsid w:val="00476B73"/>
    <w:rsid w:val="00480DEA"/>
    <w:rsid w:val="00481653"/>
    <w:rsid w:val="0049009F"/>
    <w:rsid w:val="004918CE"/>
    <w:rsid w:val="00492609"/>
    <w:rsid w:val="00493163"/>
    <w:rsid w:val="004A02F2"/>
    <w:rsid w:val="004A756B"/>
    <w:rsid w:val="004B186E"/>
    <w:rsid w:val="004B2CA9"/>
    <w:rsid w:val="004B348C"/>
    <w:rsid w:val="004B3A0C"/>
    <w:rsid w:val="004B48DF"/>
    <w:rsid w:val="004B79B8"/>
    <w:rsid w:val="004D3EAD"/>
    <w:rsid w:val="004D5302"/>
    <w:rsid w:val="004E2394"/>
    <w:rsid w:val="004E2C6B"/>
    <w:rsid w:val="004E66BE"/>
    <w:rsid w:val="004F5CC1"/>
    <w:rsid w:val="004F74BE"/>
    <w:rsid w:val="004F7CEA"/>
    <w:rsid w:val="005005CA"/>
    <w:rsid w:val="00500890"/>
    <w:rsid w:val="00502975"/>
    <w:rsid w:val="00511C53"/>
    <w:rsid w:val="00520667"/>
    <w:rsid w:val="005218F8"/>
    <w:rsid w:val="00526DFC"/>
    <w:rsid w:val="0052735F"/>
    <w:rsid w:val="005303F9"/>
    <w:rsid w:val="005370FC"/>
    <w:rsid w:val="00537C38"/>
    <w:rsid w:val="00542928"/>
    <w:rsid w:val="00546CC0"/>
    <w:rsid w:val="00546D13"/>
    <w:rsid w:val="00551E8C"/>
    <w:rsid w:val="005522EC"/>
    <w:rsid w:val="00555110"/>
    <w:rsid w:val="005553D6"/>
    <w:rsid w:val="00555F99"/>
    <w:rsid w:val="005578A7"/>
    <w:rsid w:val="00561BF2"/>
    <w:rsid w:val="005622C2"/>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3AF0"/>
    <w:rsid w:val="0072260F"/>
    <w:rsid w:val="0072381E"/>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69AB"/>
    <w:rsid w:val="00B008D2"/>
    <w:rsid w:val="00B0328D"/>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C79"/>
    <w:rsid w:val="00D90450"/>
    <w:rsid w:val="00DB466D"/>
    <w:rsid w:val="00DC3B55"/>
    <w:rsid w:val="00DC4F67"/>
    <w:rsid w:val="00DC5CEF"/>
    <w:rsid w:val="00DC6E86"/>
    <w:rsid w:val="00DE285C"/>
    <w:rsid w:val="00DE355E"/>
    <w:rsid w:val="00DF1F38"/>
    <w:rsid w:val="00DF6316"/>
    <w:rsid w:val="00E000F5"/>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58C6"/>
    <w:rsid w:val="00F367C5"/>
    <w:rsid w:val="00F36EEC"/>
    <w:rsid w:val="00F45E9F"/>
    <w:rsid w:val="00F46535"/>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26017</Words>
  <Characters>148302</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173972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5</cp:revision>
  <dcterms:created xsi:type="dcterms:W3CDTF">2024-06-06T14:18:00Z</dcterms:created>
  <dcterms:modified xsi:type="dcterms:W3CDTF">2024-06-06T18:34:00Z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id="4B8oAsc6"/&gt;&lt;style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