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2D949707" w:rsidR="0012423C" w:rsidRDefault="00F67DEF" w:rsidP="006E637E">
      <w:pPr>
        <w:pStyle w:val="Title"/>
        <w:rPr>
          <w:lang w:val="en-US"/>
        </w:rPr>
      </w:pPr>
      <w:r>
        <w:rPr>
          <w:lang w:val="en-US"/>
        </w:rPr>
        <w:t xml:space="preserve">Applying </w:t>
      </w:r>
      <w:r w:rsidR="00F74EB8">
        <w:rPr>
          <w:lang w:val="en-US"/>
        </w:rPr>
        <w:t xml:space="preserve">the </w:t>
      </w:r>
      <w:r>
        <w:rPr>
          <w:lang w:val="en-US"/>
        </w:rPr>
        <w:t>principles of d</w:t>
      </w:r>
      <w:r w:rsidR="006E637E">
        <w:rPr>
          <w:lang w:val="en-US"/>
        </w:rPr>
        <w:t xml:space="preserve">ata feminism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2BAD7F4" w:rsidR="009C7EA9" w:rsidRDefault="009C7EA9" w:rsidP="009C7EA9">
      <w:pPr>
        <w:pStyle w:val="Heading1"/>
        <w:rPr>
          <w:lang w:val="en-US"/>
        </w:rPr>
      </w:pPr>
      <w:r>
        <w:rPr>
          <w:lang w:val="en-US"/>
        </w:rPr>
        <w:t>Abstract</w:t>
      </w:r>
      <w:r w:rsidR="00F74EB8">
        <w:rPr>
          <w:lang w:val="en-US"/>
        </w:rPr>
        <w:t xml:space="preserve"> (70 words, at </w:t>
      </w:r>
      <w:r w:rsidR="005E13CB">
        <w:rPr>
          <w:lang w:val="en-US"/>
        </w:rPr>
        <w:t>78</w:t>
      </w:r>
      <w:r w:rsidR="00F74EB8">
        <w:rPr>
          <w:lang w:val="en-US"/>
        </w:rPr>
        <w:t>)</w:t>
      </w:r>
    </w:p>
    <w:p w14:paraId="7E487EAE" w14:textId="77777777" w:rsidR="000E7DB5" w:rsidRDefault="000E7DB5" w:rsidP="009C7EA9">
      <w:pPr>
        <w:rPr>
          <w:lang w:val="en-US"/>
        </w:rPr>
      </w:pPr>
    </w:p>
    <w:p w14:paraId="072F2354" w14:textId="7DDBB536" w:rsidR="007F57C7" w:rsidRDefault="007F10CD" w:rsidP="000E7DB5">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Pr>
          <w:color w:val="20124D"/>
          <w:shd w:val="clear" w:color="auto" w:fill="FFFFFF"/>
        </w:rPr>
        <w:t xml:space="preserve">ata </w:t>
      </w:r>
      <w:r w:rsidR="008A4A87">
        <w:rPr>
          <w:color w:val="20124D"/>
          <w:shd w:val="clear" w:color="auto" w:fill="FFFFFF"/>
        </w:rPr>
        <w:t>F</w:t>
      </w:r>
      <w:r>
        <w:rPr>
          <w:color w:val="20124D"/>
          <w:shd w:val="clear" w:color="auto" w:fill="FFFFFF"/>
        </w:rPr>
        <w:t xml:space="preserve">eminism </w:t>
      </w:r>
      <w:r w:rsidR="00EE392E">
        <w:rPr>
          <w:color w:val="20124D"/>
          <w:shd w:val="clear" w:color="auto" w:fill="FFFFFF"/>
        </w:rPr>
        <w:t xml:space="preserve">framework </w:t>
      </w:r>
      <w:r w:rsidR="00605270">
        <w:rPr>
          <w:color w:val="20124D"/>
          <w:shd w:val="clear" w:color="auto" w:fill="FFFFFF"/>
        </w:rPr>
        <w:t>was</w:t>
      </w:r>
      <w:r>
        <w:rPr>
          <w:color w:val="20124D"/>
          <w:shd w:val="clear" w:color="auto" w:fill="FFFFFF"/>
        </w:rPr>
        <w:t xml:space="preserve"> developed to aid scientists in understanding and addressing power imbalances inherent in their work. </w:t>
      </w:r>
      <w:r w:rsidR="007F57C7" w:rsidRPr="0029011A">
        <w:rPr>
          <w:color w:val="20124D"/>
          <w:shd w:val="clear" w:color="auto" w:fill="FFFFFF"/>
          <w:lang w:val="en-US"/>
        </w:rPr>
        <w:t xml:space="preserve">We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5E13CB">
        <w:rPr>
          <w:color w:val="20124D"/>
          <w:shd w:val="clear" w:color="auto" w:fill="FFFFFF"/>
          <w:lang w:val="en-US"/>
        </w:rPr>
        <w:t xml:space="preserve">its application in agricultural research </w:t>
      </w:r>
      <w:r w:rsidR="007F57C7" w:rsidRPr="0029011A">
        <w:rPr>
          <w:color w:val="20124D"/>
          <w:shd w:val="clear" w:color="auto" w:fill="FFFFFF"/>
          <w:lang w:val="en-US"/>
        </w:rPr>
        <w:t>concomitantly fosters creativity</w:t>
      </w:r>
      <w:r w:rsidR="007F57C7">
        <w:rPr>
          <w:color w:val="20124D"/>
          <w:shd w:val="clear" w:color="auto" w:fill="FFFFFF"/>
          <w:lang w:val="en-US"/>
        </w:rPr>
        <w:t xml:space="preserve"> and</w:t>
      </w:r>
      <w:r w:rsidR="007F57C7" w:rsidRPr="0029011A">
        <w:rPr>
          <w:color w:val="20124D"/>
          <w:shd w:val="clear" w:color="auto" w:fill="FFFFFF"/>
          <w:lang w:val="en-US"/>
        </w:rPr>
        <w:t xml:space="preserve"> lead</w:t>
      </w:r>
      <w:r w:rsidR="007F57C7">
        <w:rPr>
          <w:color w:val="20124D"/>
          <w:shd w:val="clear" w:color="auto" w:fill="FFFFFF"/>
          <w:lang w:val="en-US"/>
        </w:rPr>
        <w:t>s</w:t>
      </w:r>
      <w:r w:rsidR="007F57C7" w:rsidRPr="0029011A">
        <w:rPr>
          <w:color w:val="20124D"/>
          <w:shd w:val="clear" w:color="auto" w:fill="FFFFFF"/>
          <w:lang w:val="en-US"/>
        </w:rPr>
        <w:t xml:space="preserve"> to more transformative outcomes.</w:t>
      </w:r>
      <w:r w:rsidR="00AF2F84" w:rsidRPr="00AF2F84">
        <w:rPr>
          <w:color w:val="20124D"/>
          <w:shd w:val="clear" w:color="auto" w:fill="FFFFFF"/>
          <w:lang w:val="en-US"/>
        </w:rPr>
        <w:t xml:space="preserve"> </w:t>
      </w:r>
      <w:r w:rsidR="00AF2F84">
        <w:rPr>
          <w:color w:val="20124D"/>
          <w:shd w:val="clear" w:color="auto" w:fill="FFFFFF"/>
          <w:lang w:val="en-US"/>
        </w:rPr>
        <w:t>Many researchers already practice data feminism</w:t>
      </w:r>
      <w:r w:rsidR="005E13CB">
        <w:rPr>
          <w:color w:val="20124D"/>
          <w:shd w:val="clear" w:color="auto" w:fill="FFFFFF"/>
          <w:lang w:val="en-US"/>
        </w:rPr>
        <w:t xml:space="preserve">; formalizing those </w:t>
      </w:r>
      <w:r w:rsidR="00AF2F84">
        <w:rPr>
          <w:color w:val="20124D"/>
          <w:shd w:val="clear" w:color="auto" w:fill="FFFFFF"/>
          <w:lang w:val="en-US"/>
        </w:rPr>
        <w:t>efforts</w:t>
      </w:r>
      <w:r w:rsidR="005E13CB">
        <w:rPr>
          <w:color w:val="20124D"/>
          <w:shd w:val="clear" w:color="auto" w:fill="FFFFFF"/>
          <w:lang w:val="en-US"/>
        </w:rPr>
        <w:t xml:space="preserve"> will make</w:t>
      </w:r>
      <w:r w:rsidR="00AF2F84" w:rsidRPr="0029011A">
        <w:rPr>
          <w:color w:val="20124D"/>
          <w:shd w:val="clear" w:color="auto" w:fill="FFFFFF"/>
          <w:lang w:val="en-US"/>
        </w:rPr>
        <w:t xml:space="preserve"> th</w:t>
      </w:r>
      <w:r w:rsidR="005E13CB">
        <w:rPr>
          <w:color w:val="20124D"/>
          <w:shd w:val="clear" w:color="auto" w:fill="FFFFFF"/>
          <w:lang w:val="en-US"/>
        </w:rPr>
        <w:t>e</w:t>
      </w:r>
      <w:r w:rsidR="00AF2F84" w:rsidRPr="0029011A">
        <w:rPr>
          <w:color w:val="20124D"/>
          <w:shd w:val="clear" w:color="auto" w:fill="FFFFFF"/>
          <w:lang w:val="en-US"/>
        </w:rPr>
        <w:t xml:space="preserve"> work more intentional, visible, and </w:t>
      </w:r>
      <w:r w:rsidR="00AF2F84">
        <w:rPr>
          <w:color w:val="20124D"/>
          <w:shd w:val="clear" w:color="auto" w:fill="FFFFFF"/>
          <w:lang w:val="en-US"/>
        </w:rPr>
        <w:t>in time,</w:t>
      </w:r>
      <w:r w:rsidR="00AF2F84" w:rsidRPr="0029011A">
        <w:rPr>
          <w:color w:val="20124D"/>
          <w:shd w:val="clear" w:color="auto" w:fill="FFFFFF"/>
          <w:lang w:val="en-US"/>
        </w:rPr>
        <w:t xml:space="preserve"> ubiquitous.</w:t>
      </w:r>
    </w:p>
    <w:p w14:paraId="4091956C" w14:textId="77777777" w:rsidR="00AF2F84" w:rsidRDefault="00AF2F84" w:rsidP="000E7DB5">
      <w:pPr>
        <w:rPr>
          <w:lang w:val="en-US"/>
        </w:rPr>
      </w:pPr>
    </w:p>
    <w:p w14:paraId="4F9A83ED" w14:textId="4B5D5FFC" w:rsidR="0009558F" w:rsidRDefault="0009558F" w:rsidP="000E7DB5">
      <w:pPr>
        <w:rPr>
          <w:lang w:val="en-US"/>
        </w:rPr>
      </w:pPr>
      <w:r>
        <w:rPr>
          <w:lang w:val="en-US"/>
        </w:rPr>
        <w:t>THE WORD RELATABLE?</w:t>
      </w:r>
    </w:p>
    <w:p w14:paraId="59F76605" w14:textId="6569F261" w:rsidR="008D2ECE" w:rsidRPr="00D16F57" w:rsidRDefault="008D2ECE" w:rsidP="00EB106A">
      <w:pPr>
        <w:pStyle w:val="Heading1"/>
        <w:rPr>
          <w:lang w:val="en-US"/>
        </w:rPr>
      </w:pPr>
      <w:r w:rsidRPr="00D16F57">
        <w:rPr>
          <w:lang w:val="en-US"/>
        </w:rPr>
        <w:t>Introduction</w:t>
      </w:r>
    </w:p>
    <w:p w14:paraId="0E43A3F0" w14:textId="77777777" w:rsidR="00EE392E" w:rsidRDefault="00EE392E" w:rsidP="00FC41A2">
      <w:pPr>
        <w:rPr>
          <w:color w:val="20124D"/>
          <w:shd w:val="clear" w:color="auto" w:fill="FFFFFF"/>
        </w:rPr>
      </w:pPr>
    </w:p>
    <w:p w14:paraId="41ED715A" w14:textId="3D0791AB" w:rsidR="001D6797" w:rsidRDefault="00EC204E" w:rsidP="00926CF0">
      <w:pPr>
        <w:rPr>
          <w:lang w:val="en-US"/>
        </w:rPr>
      </w:pPr>
      <w:r>
        <w:rPr>
          <w:lang w:val="en-US"/>
        </w:rPr>
        <w:t xml:space="preserve">Power </w:t>
      </w:r>
      <w:r>
        <w:rPr>
          <w:lang w:val="en-US"/>
        </w:rPr>
        <w:t>may be</w:t>
      </w:r>
      <w:r>
        <w:rPr>
          <w:lang w:val="en-US"/>
        </w:rPr>
        <w:t xml:space="preserve"> defined as a relationship through which one can obtain one’s will even in the face of resistance from </w:t>
      </w:r>
      <w:proofErr w:type="gramStart"/>
      <w:r>
        <w:rPr>
          <w:lang w:val="en-US"/>
        </w:rPr>
        <w:t>others(</w:t>
      </w:r>
      <w:proofErr w:type="gramEnd"/>
      <w:r>
        <w:rPr>
          <w:lang w:val="en-US"/>
        </w:rPr>
        <w:t xml:space="preserve">CITE). </w:t>
      </w:r>
      <w:r>
        <w:rPr>
          <w:lang w:val="en-US"/>
        </w:rPr>
        <w:t>Fundamentally,</w:t>
      </w:r>
      <w:r w:rsidR="00864973">
        <w:rPr>
          <w:lang w:val="en-US"/>
        </w:rPr>
        <w:t xml:space="preserve"> agriculture</w:t>
      </w:r>
      <w:r w:rsidR="00864973" w:rsidRPr="00F83DA2">
        <w:rPr>
          <w:lang w:val="en-US"/>
        </w:rPr>
        <w:t xml:space="preserve"> involves the cultivation of land to produce food</w:t>
      </w:r>
      <w:r>
        <w:rPr>
          <w:lang w:val="en-US"/>
        </w:rPr>
        <w:t xml:space="preserve">; as the former becomes </w:t>
      </w:r>
      <w:r w:rsidR="00864973">
        <w:rPr>
          <w:lang w:val="en-US"/>
        </w:rPr>
        <w:t>a prerequisite for the latter</w:t>
      </w:r>
      <w:r>
        <w:rPr>
          <w:lang w:val="en-US"/>
        </w:rPr>
        <w:t xml:space="preserve">, power dynamics emerge. </w:t>
      </w:r>
      <w:r w:rsidR="00864973">
        <w:rPr>
          <w:lang w:val="en-US"/>
        </w:rPr>
        <w:t xml:space="preserve">Indeed, over thousands of years and across civilizations, agriculture has </w:t>
      </w:r>
      <w:r>
        <w:rPr>
          <w:lang w:val="en-US"/>
        </w:rPr>
        <w:t xml:space="preserve">enabled, </w:t>
      </w:r>
      <w:r w:rsidR="00864973">
        <w:rPr>
          <w:lang w:val="en-US"/>
        </w:rPr>
        <w:t xml:space="preserve">fomented, and reflected power </w:t>
      </w:r>
      <w:proofErr w:type="gramStart"/>
      <w:r w:rsidR="00864973">
        <w:rPr>
          <w:lang w:val="en-US"/>
        </w:rPr>
        <w:t>hierarchies(</w:t>
      </w:r>
      <w:proofErr w:type="gramEnd"/>
      <w:r w:rsidR="00864973">
        <w:rPr>
          <w:lang w:val="en-US"/>
        </w:rPr>
        <w:t xml:space="preserve">CITE).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potentially profound ethical and social consequences. This is not unique to agricultural research</w:t>
      </w:r>
      <w:r>
        <w:rPr>
          <w:lang w:val="en-US"/>
        </w:rPr>
        <w:t xml:space="preserve">; global </w:t>
      </w:r>
      <w:r w:rsidR="00C55944">
        <w:rPr>
          <w:lang w:val="en-US"/>
        </w:rPr>
        <w:t xml:space="preserve">recognition </w:t>
      </w:r>
      <w:r>
        <w:rPr>
          <w:lang w:val="en-US"/>
        </w:rPr>
        <w:t xml:space="preserve">of the need to </w:t>
      </w:r>
      <w:r w:rsidR="00C55944">
        <w:rPr>
          <w:lang w:val="en-US"/>
        </w:rPr>
        <w:t>intentional</w:t>
      </w:r>
      <w:r>
        <w:rPr>
          <w:lang w:val="en-US"/>
        </w:rPr>
        <w:t>ly</w:t>
      </w:r>
      <w:r w:rsidR="00C55944">
        <w:rPr>
          <w:lang w:val="en-US"/>
        </w:rPr>
        <w:t xml:space="preserve"> examin</w:t>
      </w:r>
      <w:r>
        <w:rPr>
          <w:lang w:val="en-US"/>
        </w:rPr>
        <w:t>e how power interacts with science</w:t>
      </w:r>
      <w:r w:rsidR="00C55944">
        <w:rPr>
          <w:lang w:val="en-US"/>
        </w:rPr>
        <w:t xml:space="preserve"> has spurred the creation of new academic </w:t>
      </w:r>
      <w:proofErr w:type="gramStart"/>
      <w:r w:rsidR="00C55944">
        <w:rPr>
          <w:lang w:val="en-US"/>
        </w:rPr>
        <w:t>fields(</w:t>
      </w:r>
      <w:proofErr w:type="gramEnd"/>
      <w:r w:rsidR="00C55944">
        <w:rPr>
          <w:lang w:val="en-US"/>
        </w:rPr>
        <w:t>CITE)</w:t>
      </w:r>
      <w:r>
        <w:rPr>
          <w:lang w:val="en-US"/>
        </w:rPr>
        <w:t xml:space="preserve">. While </w:t>
      </w:r>
      <w:r w:rsidR="00C55944">
        <w:rPr>
          <w:lang w:val="en-US"/>
        </w:rPr>
        <w:t>social scientists have long recognized the</w:t>
      </w:r>
      <w:r w:rsidR="0014002B">
        <w:rPr>
          <w:lang w:val="en-US"/>
        </w:rPr>
        <w:t xml:space="preserve">se </w:t>
      </w:r>
      <w:proofErr w:type="gramStart"/>
      <w:r>
        <w:rPr>
          <w:lang w:val="en-US"/>
        </w:rPr>
        <w:t>interactions</w:t>
      </w:r>
      <w:r w:rsidR="00926CF0">
        <w:rPr>
          <w:lang w:val="en-US"/>
        </w:rPr>
        <w:t>(</w:t>
      </w:r>
      <w:proofErr w:type="spellStart"/>
      <w:proofErr w:type="gramEnd"/>
      <w:r w:rsidR="00926CF0">
        <w:rPr>
          <w:lang w:val="en-US"/>
        </w:rPr>
        <w:t>Allen</w:t>
      </w:r>
      <w:r w:rsidR="004918CE">
        <w:rPr>
          <w:lang w:val="en-US"/>
        </w:rPr>
        <w:t>S</w:t>
      </w:r>
      <w:r w:rsidR="00926CF0">
        <w:rPr>
          <w:lang w:val="en-US"/>
        </w:rPr>
        <w:t>achs</w:t>
      </w:r>
      <w:proofErr w:type="spellEnd"/>
      <w:r w:rsidR="00926CF0">
        <w:rPr>
          <w:lang w:val="en-US"/>
        </w:rPr>
        <w:t>)</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Pr>
          <w:lang w:val="en-US"/>
        </w:rPr>
        <w:t>There have been c</w:t>
      </w:r>
      <w:r w:rsidR="00520667">
        <w:rPr>
          <w:lang w:val="en-US"/>
        </w:rPr>
        <w:t>alls for</w:t>
      </w:r>
      <w:r>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proofErr w:type="spellStart"/>
      <w:r w:rsidR="001D6797">
        <w:rPr>
          <w:lang w:val="en-US"/>
        </w:rPr>
        <w:t>agroecologyCITE</w:t>
      </w:r>
      <w:r w:rsidR="00520667">
        <w:rPr>
          <w:lang w:val="en-US"/>
        </w:rPr>
        <w:t>agroecologythingsdeWitNickLiebmanpaper</w:t>
      </w:r>
      <w:proofErr w:type="spellEnd"/>
      <w:r w:rsidR="00520667">
        <w:rPr>
          <w:lang w:val="en-US"/>
        </w:rPr>
        <w:t>, but it remains a formidable task</w:t>
      </w:r>
      <w:r>
        <w:rPr>
          <w:lang w:val="en-US"/>
        </w:rPr>
        <w:t xml:space="preserve"> in agriculture</w:t>
      </w:r>
      <w:r w:rsidR="001D6797">
        <w:rPr>
          <w:lang w:val="en-US"/>
        </w:rPr>
        <w:t xml:space="preserve">. </w:t>
      </w:r>
    </w:p>
    <w:p w14:paraId="3CBB9726" w14:textId="77777777" w:rsidR="001D6797" w:rsidRDefault="001D6797" w:rsidP="00926CF0">
      <w:pPr>
        <w:rPr>
          <w:lang w:val="en-US"/>
        </w:rPr>
      </w:pPr>
    </w:p>
    <w:p w14:paraId="6547DBE0" w14:textId="666C2ADB" w:rsidR="00926CF0" w:rsidRPr="00172B03" w:rsidRDefault="00926CF0" w:rsidP="00926CF0">
      <w:pPr>
        <w:rPr>
          <w:lang w:val="en-US"/>
        </w:rPr>
      </w:pPr>
      <w:r>
        <w:rPr>
          <w:lang w:val="en-US"/>
        </w:rPr>
        <w:t xml:space="preserve">We believe the recently developed </w:t>
      </w:r>
      <w:r w:rsidR="008A4A87">
        <w:rPr>
          <w:lang w:val="en-US"/>
        </w:rPr>
        <w:t>D</w:t>
      </w:r>
      <w:r>
        <w:rPr>
          <w:lang w:val="en-US"/>
        </w:rPr>
        <w:t xml:space="preserve">ata </w:t>
      </w:r>
      <w:r w:rsidR="008A4A87">
        <w:rPr>
          <w:lang w:val="en-US"/>
        </w:rPr>
        <w:t>F</w:t>
      </w:r>
      <w:r>
        <w:rPr>
          <w:lang w:val="en-US"/>
        </w:rPr>
        <w:t xml:space="preserve">eminism </w:t>
      </w:r>
      <w:proofErr w:type="spellStart"/>
      <w:r>
        <w:rPr>
          <w:lang w:val="en-US"/>
        </w:rPr>
        <w:t>frameworkCITE</w:t>
      </w:r>
      <w:proofErr w:type="spellEnd"/>
      <w:r w:rsidR="008A4A87">
        <w:rPr>
          <w:lang w:val="en-US"/>
        </w:rPr>
        <w:t xml:space="preserve">, which </w:t>
      </w:r>
      <w:r w:rsidR="006A3F10">
        <w:rPr>
          <w:lang w:val="en-US"/>
        </w:rPr>
        <w:t xml:space="preserve">targets </w:t>
      </w:r>
      <w:r w:rsidR="008A4A87">
        <w:rPr>
          <w:lang w:val="en-US"/>
        </w:rPr>
        <w:t>technical scientists,</w:t>
      </w:r>
      <w:r>
        <w:rPr>
          <w:lang w:val="en-US"/>
        </w:rPr>
        <w:t xml:space="preserve"> is particularly well-suited to support agricultural researchers in this pursuit. The framework</w:t>
      </w:r>
      <w:r w:rsidR="008A4A87">
        <w:rPr>
          <w:lang w:val="en-US"/>
        </w:rPr>
        <w:t xml:space="preserve"> is</w:t>
      </w:r>
      <w:r>
        <w:rPr>
          <w:lang w:val="en-US"/>
        </w:rPr>
        <w:t xml:space="preserve"> rooted in empirical stud</w:t>
      </w:r>
      <w:r w:rsidR="008A4A87">
        <w:rPr>
          <w:lang w:val="en-US"/>
        </w:rPr>
        <w:t>ies</w:t>
      </w:r>
      <w:r>
        <w:rPr>
          <w:lang w:val="en-US"/>
        </w:rPr>
        <w:t xml:space="preserve"> of power and emphasizes intersectionality, or the inability to study dimensions of power in isolation (XX). </w:t>
      </w:r>
      <w:r w:rsidR="006A3F10">
        <w:rPr>
          <w:lang w:val="en-US"/>
        </w:rPr>
        <w:t xml:space="preserve">It is </w:t>
      </w:r>
      <w:r>
        <w:rPr>
          <w:lang w:val="en-US"/>
        </w:rPr>
        <w:t xml:space="preserve">action-oriented and </w:t>
      </w:r>
      <w:r w:rsidRPr="00172B03">
        <w:rPr>
          <w:lang w:val="en-US"/>
        </w:rPr>
        <w:t xml:space="preserve">domain-agnostic, and </w:t>
      </w:r>
      <w:proofErr w:type="spellStart"/>
      <w:r>
        <w:rPr>
          <w:lang w:val="en-US"/>
        </w:rPr>
        <w:t>D’Ignazio</w:t>
      </w:r>
      <w:proofErr w:type="spellEnd"/>
      <w:r>
        <w:rPr>
          <w:lang w:val="en-US"/>
        </w:rPr>
        <w:t xml:space="preserve"> and Klein’s (2020) work h</w:t>
      </w:r>
      <w:r w:rsidRPr="00172B03">
        <w:rPr>
          <w:lang w:val="en-US"/>
        </w:rPr>
        <w:t xml:space="preserve">as been highly cited </w:t>
      </w:r>
      <w:r w:rsidR="008A4A87">
        <w:rPr>
          <w:lang w:val="en-US"/>
        </w:rPr>
        <w:t>in</w:t>
      </w:r>
      <w:r w:rsidRPr="00172B03">
        <w:rPr>
          <w:lang w:val="en-US"/>
        </w:rPr>
        <w:t xml:space="preserve"> </w:t>
      </w:r>
      <w:r>
        <w:rPr>
          <w:lang w:val="en-US"/>
        </w:rPr>
        <w:t xml:space="preserve">numerous </w:t>
      </w:r>
      <w:r w:rsidRPr="00172B03">
        <w:rPr>
          <w:lang w:val="en-US"/>
        </w:rPr>
        <w:t>disciplinary contexts.</w:t>
      </w:r>
      <w:r>
        <w:rPr>
          <w:lang w:val="en-US"/>
        </w:rPr>
        <w:t xml:space="preserve"> To our knowledge, </w:t>
      </w:r>
      <w:r w:rsidRPr="00172B03">
        <w:rPr>
          <w:lang w:val="en-US"/>
        </w:rPr>
        <w:t>it has had limited interpretation in the context of agriculture</w:t>
      </w:r>
      <w:r>
        <w:rPr>
          <w:lang w:val="en-US"/>
        </w:rPr>
        <w:t>, though a recent study</w:t>
      </w:r>
      <w:r w:rsidRPr="00172B03">
        <w:rPr>
          <w:lang w:val="en-US"/>
        </w:rPr>
        <w:t xml:space="preserve"> evaluated the National Agricultural Statistics Service </w:t>
      </w:r>
      <w:r>
        <w:rPr>
          <w:lang w:val="en-US"/>
        </w:rPr>
        <w:t xml:space="preserve">(NASS) agency of the </w:t>
      </w:r>
      <w:r w:rsidRPr="00172B03">
        <w:rPr>
          <w:lang w:val="en-US"/>
        </w:rPr>
        <w:t xml:space="preserve">United States Department of Agriculture </w:t>
      </w:r>
      <w:r>
        <w:rPr>
          <w:lang w:val="en-US"/>
        </w:rPr>
        <w:t xml:space="preserve">(USDA) on their </w:t>
      </w:r>
      <w:r w:rsidRPr="00172B03">
        <w:rPr>
          <w:lang w:val="en-US"/>
        </w:rPr>
        <w:t xml:space="preserve">data reporting practices through the lens of </w:t>
      </w:r>
      <w:r w:rsidR="008A4A87">
        <w:rPr>
          <w:lang w:val="en-US"/>
        </w:rPr>
        <w:t>D</w:t>
      </w:r>
      <w:r w:rsidRPr="00172B03">
        <w:rPr>
          <w:lang w:val="en-US"/>
        </w:rPr>
        <w:t xml:space="preserve">ata </w:t>
      </w:r>
      <w:proofErr w:type="gramStart"/>
      <w:r w:rsidR="008A4A87">
        <w:rPr>
          <w:lang w:val="en-US"/>
        </w:rPr>
        <w:t>F</w:t>
      </w:r>
      <w:r w:rsidRPr="00172B03">
        <w:rPr>
          <w:lang w:val="en-US"/>
        </w:rPr>
        <w:t>eminism</w:t>
      </w:r>
      <w:r>
        <w:rPr>
          <w:lang w:val="en-US"/>
        </w:rPr>
        <w:t>(</w:t>
      </w:r>
      <w:proofErr w:type="gramEnd"/>
      <w:r>
        <w:rPr>
          <w:lang w:val="en-US"/>
        </w:rPr>
        <w:t>CITERISSING)</w:t>
      </w:r>
      <w:r w:rsidRPr="00172B03">
        <w:rPr>
          <w:lang w:val="en-US"/>
        </w:rPr>
        <w:t xml:space="preserve">. </w:t>
      </w:r>
    </w:p>
    <w:p w14:paraId="65F9240A" w14:textId="10CB1D0F" w:rsidR="00926CF0" w:rsidRDefault="00926CF0" w:rsidP="00926CF0">
      <w:pPr>
        <w:rPr>
          <w:lang w:val="en-US"/>
        </w:rPr>
      </w:pPr>
    </w:p>
    <w:p w14:paraId="55FDDA41" w14:textId="41B3A873"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data feminism framework </w:t>
      </w:r>
      <w:r>
        <w:rPr>
          <w:lang w:val="en-US"/>
        </w:rPr>
        <w:t xml:space="preserve">would </w:t>
      </w:r>
      <w:r w:rsidR="001D6797">
        <w:rPr>
          <w:lang w:val="en-US"/>
        </w:rPr>
        <w:t xml:space="preserve">positively contribute to </w:t>
      </w:r>
      <w:r w:rsidR="001D6797">
        <w:rPr>
          <w:color w:val="20124D"/>
          <w:shd w:val="clear" w:color="auto" w:fill="FFFFFF"/>
        </w:rPr>
        <w:t>research creativity, stakeholder participation, and agricultural sustainability writ large. </w:t>
      </w:r>
      <w:r>
        <w:rPr>
          <w:color w:val="20124D"/>
          <w:shd w:val="clear" w:color="auto" w:fill="FFFFFF"/>
        </w:rPr>
        <w:t xml:space="preserve">To support </w:t>
      </w:r>
      <w:r>
        <w:rPr>
          <w:color w:val="20124D"/>
          <w:shd w:val="clear" w:color="auto" w:fill="FFFFFF"/>
        </w:rPr>
        <w:lastRenderedPageBreak/>
        <w:t>this, w</w:t>
      </w:r>
      <w:r w:rsidR="001D6797">
        <w:rPr>
          <w:color w:val="20124D"/>
          <w:shd w:val="clear" w:color="auto" w:fill="FFFFFF"/>
        </w:rPr>
        <w:t>e discuss the application of data feminism theme</w:t>
      </w:r>
      <w:r w:rsidR="0009558F">
        <w:rPr>
          <w:color w:val="20124D"/>
          <w:shd w:val="clear" w:color="auto" w:fill="FFFFFF"/>
        </w:rPr>
        <w:t>s (power, reciprocity, and framing)</w:t>
      </w:r>
      <w:r w:rsidR="001D6797">
        <w:rPr>
          <w:color w:val="20124D"/>
          <w:shd w:val="clear" w:color="auto" w:fill="FFFFFF"/>
        </w:rPr>
        <w:t xml:space="preserve"> </w:t>
      </w:r>
      <w:r w:rsidR="0009558F">
        <w:rPr>
          <w:color w:val="20124D"/>
          <w:shd w:val="clear" w:color="auto" w:fill="FFFFFF"/>
        </w:rPr>
        <w:t xml:space="preserve">in </w:t>
      </w:r>
      <w:r>
        <w:rPr>
          <w:color w:val="20124D"/>
          <w:shd w:val="clear" w:color="auto" w:fill="FFFFFF"/>
        </w:rPr>
        <w:t xml:space="preserve">the research process with accompanying </w:t>
      </w:r>
      <w:r w:rsidR="0009558F">
        <w:rPr>
          <w:color w:val="20124D"/>
          <w:shd w:val="clear" w:color="auto" w:fill="FFFFFF"/>
        </w:rPr>
        <w:t>activities</w:t>
      </w:r>
      <w:r w:rsidR="006A3F10">
        <w:rPr>
          <w:color w:val="20124D"/>
          <w:shd w:val="clear" w:color="auto" w:fill="FFFFFF"/>
        </w:rPr>
        <w:t xml:space="preserve"> </w:t>
      </w:r>
      <w:r>
        <w:rPr>
          <w:color w:val="20124D"/>
          <w:shd w:val="clear" w:color="auto" w:fill="FFFFFF"/>
        </w:rPr>
        <w:t xml:space="preserve">with demonstrably positive outcomes </w:t>
      </w:r>
      <w:r w:rsidR="001D6797">
        <w:rPr>
          <w:color w:val="20124D"/>
          <w:shd w:val="clear" w:color="auto" w:fill="FFFFFF"/>
        </w:rPr>
        <w:t>(Table 1).</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3E4EFC11"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ata feminism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14:paraId="3C38AFF8" w14:textId="77777777" w:rsidTr="00EC204E">
        <w:tc>
          <w:tcPr>
            <w:tcW w:w="2388" w:type="dxa"/>
          </w:tcPr>
          <w:p w14:paraId="48C9AA01" w14:textId="3BEC8DC4" w:rsidR="00EC204E" w:rsidRDefault="00EC204E" w:rsidP="00EC204E">
            <w:pPr>
              <w:rPr>
                <w:color w:val="20124D"/>
                <w:shd w:val="clear" w:color="auto" w:fill="FFFFFF"/>
              </w:rPr>
            </w:pPr>
            <w:r>
              <w:rPr>
                <w:color w:val="20124D"/>
                <w:shd w:val="clear" w:color="auto" w:fill="FFFFFF"/>
              </w:rPr>
              <w:t>Research for the public good should seek to equalize power</w:t>
            </w:r>
          </w:p>
        </w:tc>
        <w:tc>
          <w:tcPr>
            <w:tcW w:w="2101" w:type="dxa"/>
          </w:tcPr>
          <w:p w14:paraId="5AF982D4" w14:textId="5630A871" w:rsidR="00EC204E" w:rsidRDefault="00EC204E" w:rsidP="00EC204E">
            <w:pPr>
              <w:rPr>
                <w:color w:val="20124D"/>
                <w:shd w:val="clear" w:color="auto" w:fill="FFFFFF"/>
              </w:rPr>
            </w:pPr>
            <w:r>
              <w:rPr>
                <w:color w:val="20124D"/>
                <w:shd w:val="clear" w:color="auto" w:fill="FFFFFF"/>
              </w:rPr>
              <w:t>Hypothesis generation and study design</w:t>
            </w:r>
          </w:p>
        </w:tc>
        <w:tc>
          <w:tcPr>
            <w:tcW w:w="2656" w:type="dxa"/>
          </w:tcPr>
          <w:p w14:paraId="7B8BC605" w14:textId="4F39F8FC" w:rsidR="00EC204E" w:rsidRDefault="00EC204E" w:rsidP="00EC204E">
            <w:pPr>
              <w:rPr>
                <w:color w:val="20124D"/>
                <w:shd w:val="clear" w:color="auto" w:fill="FFFFFF"/>
              </w:rPr>
            </w:pPr>
            <w:r>
              <w:rPr>
                <w:color w:val="20124D"/>
                <w:shd w:val="clear" w:color="auto" w:fill="FFFFFF"/>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Default="00EC204E" w:rsidP="00EC204E">
            <w:pPr>
              <w:rPr>
                <w:color w:val="20124D"/>
                <w:shd w:val="clear" w:color="auto" w:fill="FFFFFF"/>
              </w:rPr>
            </w:pPr>
            <w:r>
              <w:rPr>
                <w:color w:val="20124D"/>
                <w:shd w:val="clear" w:color="auto" w:fill="FFFFFF"/>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14:paraId="7FC0713B" w14:textId="77777777" w:rsidTr="00EC204E">
        <w:tc>
          <w:tcPr>
            <w:tcW w:w="2388" w:type="dxa"/>
          </w:tcPr>
          <w:p w14:paraId="47DADDA8" w14:textId="77777777" w:rsidR="00EC204E" w:rsidRDefault="00EC204E" w:rsidP="00EC204E">
            <w:pPr>
              <w:rPr>
                <w:color w:val="20124D"/>
                <w:shd w:val="clear" w:color="auto" w:fill="FFFFFF"/>
              </w:rPr>
            </w:pPr>
            <w:r>
              <w:rPr>
                <w:color w:val="20124D"/>
                <w:shd w:val="clear" w:color="auto" w:fill="FFFFFF"/>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1286FA68" w:rsidR="00EC204E" w:rsidRDefault="00EC204E" w:rsidP="00EC204E">
            <w:pPr>
              <w:rPr>
                <w:color w:val="20124D"/>
                <w:shd w:val="clear" w:color="auto" w:fill="FFFFFF"/>
              </w:rPr>
            </w:pPr>
            <w:r>
              <w:rPr>
                <w:color w:val="20124D"/>
                <w:shd w:val="clear" w:color="auto" w:fill="FFFFFF"/>
              </w:rPr>
              <w:t>Diverse framing as a strength, co-existance of multiple truths</w:t>
            </w:r>
          </w:p>
        </w:tc>
      </w:tr>
    </w:tbl>
    <w:p w14:paraId="11F45CA2" w14:textId="77777777" w:rsidR="001D6797" w:rsidRPr="0029011A" w:rsidRDefault="001D6797" w:rsidP="001D6797">
      <w:pPr>
        <w:rPr>
          <w:lang w:val="en-US"/>
        </w:rPr>
      </w:pPr>
    </w:p>
    <w:p w14:paraId="04E66756" w14:textId="495F60D2" w:rsidR="005F7F3F" w:rsidRDefault="00EC204E" w:rsidP="005F7F3F">
      <w:pPr>
        <w:rPr>
          <w:lang w:val="en-US"/>
        </w:rPr>
      </w:pPr>
      <w:r>
        <w:rPr>
          <w:lang w:val="en-US"/>
        </w:rPr>
        <w:t>The goal of this paper is to</w:t>
      </w:r>
      <w:r w:rsidR="004918CE">
        <w:rPr>
          <w:lang w:val="en-US"/>
        </w:rPr>
        <w:t xml:space="preserve"> interpret the Data Feminism framework in an agricultural setting, demonstrate its utility, and serve as a resource for more intentional work in this area. </w:t>
      </w:r>
      <w:r w:rsidR="005E13CB">
        <w:rPr>
          <w:lang w:val="en-US"/>
        </w:rPr>
        <w:t>Our perspectives are strongly framed by our collective experiences in the agricultural systems of the United States (US), and specifically of those in the maize-producing areas of the Midwest. However, while the specifics of a given system vary, 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w:t>
      </w:r>
      <w:r w:rsidR="005F7F3F">
        <w:rPr>
          <w:lang w:val="en-US"/>
        </w:rPr>
        <w:t>perspective</w:t>
      </w:r>
      <w:r w:rsidR="005F7F3F">
        <w:rPr>
          <w:lang w:val="en-US"/>
        </w:rPr>
        <w:t xml:space="preserve"> supports technically trained agricultural scientists in connecting their work to its broader societal implications and in sculpting that work to contribute to a more equitable society. </w:t>
      </w:r>
    </w:p>
    <w:p w14:paraId="4922E2F8" w14:textId="161700C0" w:rsidR="005E13CB" w:rsidRDefault="005E13CB" w:rsidP="004918CE">
      <w:pPr>
        <w:rPr>
          <w:lang w:val="en-US"/>
        </w:rPr>
      </w:pPr>
    </w:p>
    <w:p w14:paraId="1EFB6400" w14:textId="77777777" w:rsidR="005E13CB" w:rsidRDefault="005E13CB" w:rsidP="00FC41A2">
      <w:pPr>
        <w:rPr>
          <w:color w:val="20124D"/>
          <w:shd w:val="clear" w:color="auto" w:fill="FFFFFF"/>
        </w:rPr>
      </w:pPr>
    </w:p>
    <w:p w14:paraId="10500F18" w14:textId="57F0CC5E" w:rsidR="00B15954" w:rsidRDefault="0009558F" w:rsidP="00B15954">
      <w:pPr>
        <w:pStyle w:val="Heading1"/>
        <w:rPr>
          <w:lang w:val="en-US"/>
        </w:rPr>
      </w:pPr>
      <w:r>
        <w:rPr>
          <w:lang w:val="en-US"/>
        </w:rPr>
        <w:t>Research for the p</w:t>
      </w:r>
      <w:r w:rsidR="00EE392E">
        <w:rPr>
          <w:lang w:val="en-US"/>
        </w:rPr>
        <w:t xml:space="preserve">ublic </w:t>
      </w:r>
      <w:r>
        <w:rPr>
          <w:lang w:val="en-US"/>
        </w:rPr>
        <w:t xml:space="preserve">good </w:t>
      </w:r>
      <w:r w:rsidR="00EE392E">
        <w:rPr>
          <w:lang w:val="en-US"/>
        </w:rPr>
        <w:t xml:space="preserve">should seek to equalize </w:t>
      </w:r>
      <w:proofErr w:type="gramStart"/>
      <w:r w:rsidR="00EE392E">
        <w:rPr>
          <w:lang w:val="en-US"/>
        </w:rPr>
        <w:t>power</w:t>
      </w:r>
      <w:proofErr w:type="gramEnd"/>
    </w:p>
    <w:p w14:paraId="50F09C51" w14:textId="77777777" w:rsidR="00520667" w:rsidRDefault="00520667" w:rsidP="005E13CB">
      <w:pPr>
        <w:rPr>
          <w:i/>
          <w:iCs/>
          <w:color w:val="20124D"/>
          <w:shd w:val="clear" w:color="auto" w:fill="FFFFFF"/>
        </w:rPr>
      </w:pPr>
    </w:p>
    <w:p w14:paraId="4B2A2C23" w14:textId="1406AB84" w:rsidR="008834DD" w:rsidRDefault="00B51666" w:rsidP="00B51666">
      <w:pPr>
        <w:rPr>
          <w:lang w:val="en-US"/>
        </w:rPr>
      </w:pPr>
      <w:r w:rsidRPr="00B51666">
        <w:rPr>
          <w:color w:val="20124D"/>
          <w:shd w:val="clear" w:color="auto" w:fill="FFFFFF"/>
        </w:rPr>
        <w:t>The fact</w:t>
      </w:r>
      <w:r w:rsidR="004918CE">
        <w:rPr>
          <w:color w:val="20124D"/>
          <w:shd w:val="clear" w:color="auto" w:fill="FFFFFF"/>
        </w:rPr>
        <w:t>s</w:t>
      </w:r>
      <w:r w:rsidRPr="00B51666">
        <w:rPr>
          <w:color w:val="20124D"/>
          <w:shd w:val="clear" w:color="auto" w:fill="FFFFFF"/>
        </w:rPr>
        <w:t xml:space="preserve"> that power is unevenly distributed and experienced in this world</w:t>
      </w:r>
      <w:r w:rsidR="004918CE">
        <w:rPr>
          <w:color w:val="20124D"/>
          <w:shd w:val="clear" w:color="auto" w:fill="FFFFFF"/>
        </w:rPr>
        <w:t xml:space="preserve">, and that without intentional examination and intervention power disparities will be exacerbated are both </w:t>
      </w:r>
      <w:r w:rsidRPr="00B51666">
        <w:rPr>
          <w:color w:val="20124D"/>
          <w:shd w:val="clear" w:color="auto" w:fill="FFFFFF"/>
        </w:rPr>
        <w:t>central to data feminism</w:t>
      </w:r>
      <w:r w:rsidR="004918CE">
        <w:rPr>
          <w:color w:val="20124D"/>
          <w:shd w:val="clear" w:color="auto" w:fill="FFFFFF"/>
        </w:rPr>
        <w:t>CITE</w:t>
      </w:r>
      <w:r w:rsidRPr="00B51666">
        <w:rPr>
          <w:color w:val="20124D"/>
          <w:shd w:val="clear" w:color="auto" w:fill="FFFFFF"/>
        </w:rPr>
        <w:t>.</w:t>
      </w:r>
      <w:r w:rsidRPr="00C7679D">
        <w:rPr>
          <w:i/>
          <w:iCs/>
          <w:color w:val="20124D"/>
          <w:shd w:val="clear" w:color="auto" w:fill="FFFFFF"/>
        </w:rPr>
        <w:t xml:space="preserve"> </w:t>
      </w:r>
      <w:r w:rsidR="008834DD">
        <w:rPr>
          <w:color w:val="20124D"/>
          <w:shd w:val="clear" w:color="auto" w:fill="FFFFFF"/>
        </w:rPr>
        <w:t xml:space="preserve">This </w:t>
      </w:r>
      <w:r w:rsidR="004918CE">
        <w:rPr>
          <w:color w:val="20124D"/>
          <w:shd w:val="clear" w:color="auto" w:fill="FFFFFF"/>
        </w:rPr>
        <w:t>foundation</w:t>
      </w:r>
      <w:r w:rsidR="008A4A87">
        <w:rPr>
          <w:color w:val="20124D"/>
          <w:shd w:val="clear" w:color="auto" w:fill="FFFFFF"/>
        </w:rPr>
        <w:t xml:space="preserve"> </w:t>
      </w:r>
      <w:r w:rsidR="008834DD">
        <w:rPr>
          <w:color w:val="20124D"/>
          <w:shd w:val="clear" w:color="auto" w:fill="FFFFFF"/>
        </w:rPr>
        <w:t xml:space="preserve">is particularly </w:t>
      </w:r>
      <w:r w:rsidR="004918CE">
        <w:rPr>
          <w:color w:val="20124D"/>
          <w:shd w:val="clear" w:color="auto" w:fill="FFFFFF"/>
        </w:rPr>
        <w:t>relevant</w:t>
      </w:r>
      <w:r w:rsidR="008A4A87">
        <w:rPr>
          <w:color w:val="20124D"/>
          <w:shd w:val="clear" w:color="auto" w:fill="FFFFFF"/>
        </w:rPr>
        <w:t xml:space="preserve"> </w:t>
      </w:r>
      <w:r w:rsidR="008834DD">
        <w:rPr>
          <w:color w:val="20124D"/>
          <w:shd w:val="clear" w:color="auto" w:fill="FFFFFF"/>
        </w:rPr>
        <w:t xml:space="preserve">in agriculture; </w:t>
      </w:r>
      <w:r w:rsidR="004918CE">
        <w:rPr>
          <w:color w:val="20124D"/>
          <w:shd w:val="clear" w:color="auto" w:fill="FFFFFF"/>
        </w:rPr>
        <w:t xml:space="preserve">overarching features such as </w:t>
      </w:r>
      <w:r>
        <w:rPr>
          <w:color w:val="20124D"/>
          <w:shd w:val="clear" w:color="auto" w:fill="FFFFFF"/>
        </w:rPr>
        <w:t>l</w:t>
      </w:r>
      <w:proofErr w:type="spellStart"/>
      <w:r>
        <w:rPr>
          <w:lang w:val="en-US"/>
        </w:rPr>
        <w:t>abor</w:t>
      </w:r>
      <w:proofErr w:type="spellEnd"/>
      <w:r>
        <w:rPr>
          <w:lang w:val="en-US"/>
        </w:rPr>
        <w:t xml:space="preserve"> exploitation(</w:t>
      </w:r>
      <w:r w:rsidR="008834DD">
        <w:rPr>
          <w:lang w:val="en-US"/>
        </w:rPr>
        <w:t xml:space="preserve">both </w:t>
      </w:r>
      <w:proofErr w:type="spellStart"/>
      <w:r w:rsidR="008834DD">
        <w:rPr>
          <w:lang w:val="en-US"/>
        </w:rPr>
        <w:t>historicalCITE</w:t>
      </w:r>
      <w:proofErr w:type="spellEnd"/>
      <w:r w:rsidR="008834DD">
        <w:rPr>
          <w:lang w:val="en-US"/>
        </w:rPr>
        <w:t xml:space="preserve"> and </w:t>
      </w:r>
      <w:proofErr w:type="spellStart"/>
      <w:r w:rsidR="008834DD">
        <w:rPr>
          <w:lang w:val="en-US"/>
        </w:rPr>
        <w:t>modern</w:t>
      </w:r>
      <w:r>
        <w:rPr>
          <w:lang w:val="en-US"/>
        </w:rPr>
        <w:t>CITE</w:t>
      </w:r>
      <w:proofErr w:type="spellEnd"/>
      <w:r>
        <w:rPr>
          <w:lang w:val="en-US"/>
        </w:rPr>
        <w:t>)</w:t>
      </w:r>
      <w:r w:rsidR="004918CE">
        <w:rPr>
          <w:lang w:val="en-US"/>
        </w:rPr>
        <w:t xml:space="preserve">, </w:t>
      </w:r>
      <w:r>
        <w:rPr>
          <w:lang w:val="en-US"/>
        </w:rPr>
        <w:t>Native land dispossession(CITE)</w:t>
      </w:r>
      <w:r w:rsidR="004918CE">
        <w:rPr>
          <w:lang w:val="en-US"/>
        </w:rPr>
        <w:t xml:space="preserve">, and land ownership </w:t>
      </w:r>
      <w:proofErr w:type="spellStart"/>
      <w:r w:rsidR="004918CE">
        <w:rPr>
          <w:lang w:val="en-US"/>
        </w:rPr>
        <w:t>criteriaCITE</w:t>
      </w:r>
      <w:proofErr w:type="spellEnd"/>
      <w:r>
        <w:rPr>
          <w:lang w:val="en-US"/>
        </w:rPr>
        <w:t xml:space="preserve"> </w:t>
      </w:r>
      <w:r w:rsidR="008834DD">
        <w:rPr>
          <w:lang w:val="en-US"/>
        </w:rPr>
        <w:t xml:space="preserve">render power </w:t>
      </w:r>
      <w:r w:rsidR="008A4A87">
        <w:rPr>
          <w:lang w:val="en-US"/>
        </w:rPr>
        <w:t>inequities</w:t>
      </w:r>
      <w:r w:rsidR="008834DD">
        <w:rPr>
          <w:lang w:val="en-US"/>
        </w:rPr>
        <w:t xml:space="preserve"> deeply embedded. </w:t>
      </w:r>
      <w:r>
        <w:rPr>
          <w:lang w:val="en-US"/>
        </w:rPr>
        <w:t xml:space="preserve">Research seeking to support public good requires an understanding of how that research </w:t>
      </w:r>
      <w:r w:rsidRPr="00F83DA2">
        <w:rPr>
          <w:lang w:val="en-US"/>
        </w:rPr>
        <w:t>legitimize</w:t>
      </w:r>
      <w:r>
        <w:rPr>
          <w:lang w:val="en-US"/>
        </w:rPr>
        <w:t>s</w:t>
      </w:r>
      <w:r w:rsidRPr="00F83DA2">
        <w:rPr>
          <w:lang w:val="en-US"/>
        </w:rPr>
        <w:t xml:space="preserve"> or challenge</w:t>
      </w:r>
      <w:r>
        <w:rPr>
          <w:lang w:val="en-US"/>
        </w:rPr>
        <w:t>s</w:t>
      </w:r>
      <w:r w:rsidRPr="00F83DA2">
        <w:rPr>
          <w:lang w:val="en-US"/>
        </w:rPr>
        <w:t xml:space="preserve"> power artifacts</w:t>
      </w:r>
      <w:r>
        <w:rPr>
          <w:lang w:val="en-US"/>
        </w:rPr>
        <w:t>. However,</w:t>
      </w:r>
      <w:r w:rsidRPr="00F83DA2">
        <w:rPr>
          <w:lang w:val="en-US"/>
        </w:rPr>
        <w:t xml:space="preserv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and </w:t>
      </w:r>
      <w:r w:rsidRPr="00F83DA2">
        <w:rPr>
          <w:lang w:val="en-US"/>
        </w:rPr>
        <w:t>it is not reasonable to expect agricultural scientist</w:t>
      </w:r>
      <w:r w:rsidR="008A4A87">
        <w:rPr>
          <w:lang w:val="en-US"/>
        </w:rPr>
        <w:t>s</w:t>
      </w:r>
      <w:r w:rsidRPr="00F83DA2">
        <w:rPr>
          <w:lang w:val="en-US"/>
        </w:rPr>
        <w:t xml:space="preserve"> to be expert</w:t>
      </w:r>
      <w:r w:rsidR="008A4A87">
        <w:rPr>
          <w:lang w:val="en-US"/>
        </w:rPr>
        <w:t>s</w:t>
      </w:r>
      <w:r w:rsidRPr="00F83DA2">
        <w:rPr>
          <w:lang w:val="en-US"/>
        </w:rPr>
        <w:t xml:space="preserve">. </w:t>
      </w:r>
    </w:p>
    <w:p w14:paraId="1CB1E82E" w14:textId="77777777" w:rsidR="008834DD" w:rsidRDefault="008834DD" w:rsidP="00B51666">
      <w:pPr>
        <w:rPr>
          <w:lang w:val="en-US"/>
        </w:rPr>
      </w:pPr>
    </w:p>
    <w:p w14:paraId="61600001" w14:textId="36DC65B7" w:rsidR="00B51666" w:rsidRDefault="00B51666" w:rsidP="00B51666">
      <w:pPr>
        <w:rPr>
          <w:lang w:val="en-US"/>
        </w:rPr>
      </w:pPr>
      <w:r>
        <w:rPr>
          <w:lang w:val="en-US"/>
        </w:rPr>
        <w:t xml:space="preserve">To aid non-experts in contextualizing their work, </w:t>
      </w:r>
      <w:r w:rsidR="008A4A87">
        <w:rPr>
          <w:lang w:val="en-US"/>
        </w:rPr>
        <w:t>D</w:t>
      </w:r>
      <w:r>
        <w:rPr>
          <w:lang w:val="en-US"/>
        </w:rPr>
        <w:t xml:space="preserve">ata </w:t>
      </w:r>
      <w:r w:rsidR="008A4A87">
        <w:rPr>
          <w:lang w:val="en-US"/>
        </w:rPr>
        <w:t>F</w:t>
      </w:r>
      <w:r>
        <w:rPr>
          <w:lang w:val="en-US"/>
        </w:rPr>
        <w:t xml:space="preserve">eminism applies Collins’ (1990) matrix of domination to elucidate where and how power inequities may manifest, and therefore clarify how they may be challenged. To demonstrate the relevance of this tool for agricultural scientists, Table </w:t>
      </w:r>
      <w:r w:rsidR="008834DD">
        <w:rPr>
          <w:lang w:val="en-US"/>
        </w:rPr>
        <w:t>2</w:t>
      </w:r>
      <w:r>
        <w:rPr>
          <w:lang w:val="en-US"/>
        </w:rPr>
        <w:t xml:space="preserve"> presents an adaptation of the matrix with select examples from modern US agricultural systems. The examples are not meant to be an exhaustive accounting of power in US agriculture - they were chosen to help agricultural scientists understand that power</w:t>
      </w:r>
      <w:r w:rsidR="008834DD">
        <w:rPr>
          <w:lang w:val="en-US"/>
        </w:rPr>
        <w:t xml:space="preserve"> differentials are </w:t>
      </w:r>
      <w:r>
        <w:rPr>
          <w:lang w:val="en-US"/>
        </w:rPr>
        <w:t>real and quantifiable.</w:t>
      </w:r>
    </w:p>
    <w:p w14:paraId="49E2D991" w14:textId="77777777" w:rsidR="0009558F" w:rsidRDefault="0009558F" w:rsidP="00B51666">
      <w:pPr>
        <w:rPr>
          <w:lang w:val="en-US"/>
        </w:rPr>
      </w:pPr>
    </w:p>
    <w:p w14:paraId="7C41C6E6" w14:textId="77777777" w:rsidR="0009558F" w:rsidRDefault="0009558F" w:rsidP="00B51666">
      <w:pPr>
        <w:rPr>
          <w:lang w:val="en-US"/>
        </w:rPr>
      </w:pPr>
    </w:p>
    <w:p w14:paraId="1B964B0E" w14:textId="77777777" w:rsidR="00B15954" w:rsidRPr="00B15954" w:rsidRDefault="00B15954" w:rsidP="00B15954">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8D5296"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8D5296"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0E1FE912" w14:textId="77777777"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 xml:space="preserve"> (C</w:t>
            </w:r>
            <w:r w:rsidRPr="0029011A">
              <w:rPr>
                <w:lang w:val="en-US"/>
              </w:rPr>
              <w:t xml:space="preserve">roft 2019; </w:t>
            </w:r>
            <w:r>
              <w:rPr>
                <w:lang w:val="en-US"/>
              </w:rPr>
              <w:t>Sharp 2004</w:t>
            </w:r>
            <w:r w:rsidRPr="00FF043E">
              <w:rPr>
                <w:lang w:val="en-US"/>
              </w:rPr>
              <w:t>,</w:t>
            </w:r>
            <w:r>
              <w:rPr>
                <w:lang w:val="en-US"/>
              </w:rPr>
              <w:t xml:space="preserve"> Martin 2018)</w:t>
            </w:r>
          </w:p>
          <w:p w14:paraId="793D2144" w14:textId="77777777" w:rsidR="005E13CB" w:rsidRDefault="005E13CB" w:rsidP="00792C60">
            <w:pPr>
              <w:rPr>
                <w:lang w:val="en-US"/>
              </w:rPr>
            </w:pPr>
            <w:r>
              <w:rPr>
                <w:lang w:val="en-US"/>
              </w:rPr>
              <w:t>Discriminatory design of US land heirship laws (Deaton 2007; Baily and Thomson 2022)</w:t>
            </w:r>
          </w:p>
          <w:p w14:paraId="393223B7" w14:textId="77777777" w:rsidR="005E13CB" w:rsidRDefault="005E13CB" w:rsidP="00792C60">
            <w:pPr>
              <w:rPr>
                <w:lang w:val="en-US"/>
              </w:rPr>
            </w:pPr>
            <w:r>
              <w:rPr>
                <w:lang w:val="en-US"/>
              </w:rPr>
              <w:t xml:space="preserve">Discretionary implementation of eminent domain laws (Fraley) </w:t>
            </w:r>
          </w:p>
        </w:tc>
      </w:tr>
      <w:tr w:rsidR="005E13CB" w:rsidRPr="008D5296"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719E0732" w14:textId="77777777" w:rsidR="005E13CB" w:rsidRDefault="005E13CB" w:rsidP="00792C60">
            <w:pPr>
              <w:rPr>
                <w:lang w:val="en-US"/>
              </w:rPr>
            </w:pPr>
            <w:r>
              <w:rPr>
                <w:lang w:val="en-US"/>
              </w:rPr>
              <w:t>USDA credit granting discrimination based on race and gender (Carpenter 2012)</w:t>
            </w:r>
          </w:p>
          <w:p w14:paraId="568700C0" w14:textId="77777777" w:rsidR="005E13CB" w:rsidRDefault="005E13CB" w:rsidP="00792C60">
            <w:pPr>
              <w:rPr>
                <w:lang w:val="en-US"/>
              </w:rPr>
            </w:pPr>
            <w:r>
              <w:rPr>
                <w:lang w:val="en-US"/>
              </w:rPr>
              <w:t xml:space="preserve">Systematic exclusion </w:t>
            </w:r>
            <w:r w:rsidRPr="0029011A">
              <w:rPr>
                <w:lang w:val="en-US"/>
              </w:rPr>
              <w:t>of groups</w:t>
            </w:r>
            <w:r>
              <w:rPr>
                <w:lang w:val="en-US"/>
              </w:rPr>
              <w:t xml:space="preserve"> via USDA NASS</w:t>
            </w:r>
            <w:r w:rsidRPr="00AF69AB">
              <w:rPr>
                <w:vertAlign w:val="superscript"/>
                <w:lang w:val="en-US"/>
              </w:rPr>
              <w:t>2</w:t>
            </w:r>
            <w:r>
              <w:rPr>
                <w:lang w:val="en-US"/>
              </w:rPr>
              <w:t xml:space="preserve"> census collection formats (</w:t>
            </w:r>
            <w:proofErr w:type="spellStart"/>
            <w:r>
              <w:rPr>
                <w:lang w:val="en-US"/>
              </w:rPr>
              <w:t>Pilgeram</w:t>
            </w:r>
            <w:proofErr w:type="spellEnd"/>
            <w:r>
              <w:rPr>
                <w:lang w:val="en-US"/>
              </w:rPr>
              <w:t xml:space="preserve"> et al. 2020; </w:t>
            </w:r>
            <w:proofErr w:type="spellStart"/>
            <w:r>
              <w:rPr>
                <w:lang w:val="en-US"/>
              </w:rPr>
              <w:t>Dentzman</w:t>
            </w:r>
            <w:proofErr w:type="spellEnd"/>
            <w:r>
              <w:rPr>
                <w:lang w:val="en-US"/>
              </w:rPr>
              <w:t xml:space="preserve"> et al. 2020) </w:t>
            </w:r>
          </w:p>
          <w:p w14:paraId="14349BB2" w14:textId="77777777" w:rsidR="005E13CB" w:rsidRDefault="005E13CB" w:rsidP="00792C60">
            <w:pPr>
              <w:rPr>
                <w:lang w:val="en-US"/>
              </w:rPr>
            </w:pPr>
            <w:r>
              <w:rPr>
                <w:lang w:val="en-US"/>
              </w:rPr>
              <w:t>Barriers to participation of American Indian lands in NRCS</w:t>
            </w:r>
            <w:r w:rsidRPr="00AF69AB">
              <w:rPr>
                <w:vertAlign w:val="superscript"/>
                <w:lang w:val="en-US"/>
              </w:rPr>
              <w:t>3</w:t>
            </w:r>
            <w:r>
              <w:rPr>
                <w:lang w:val="en-US"/>
              </w:rPr>
              <w:t xml:space="preserve"> programs (Johnson 2019)</w:t>
            </w:r>
          </w:p>
        </w:tc>
      </w:tr>
      <w:tr w:rsidR="005E13CB" w:rsidRPr="008D5296"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59349AC9" w14:textId="77777777" w:rsidR="005E13CB" w:rsidRPr="00BC2FCD" w:rsidRDefault="005E13CB" w:rsidP="00792C60">
            <w:pPr>
              <w:rPr>
                <w:color w:val="FF0000"/>
                <w:lang w:val="en-US"/>
              </w:rPr>
            </w:pPr>
            <w:r w:rsidRPr="00BC2FCD">
              <w:rPr>
                <w:color w:val="FF0000"/>
                <w:lang w:val="en-US"/>
              </w:rPr>
              <w:t>Cultural things about how should own land…</w:t>
            </w:r>
          </w:p>
          <w:p w14:paraId="522300A9" w14:textId="77777777" w:rsidR="005E13CB" w:rsidRDefault="005E13CB" w:rsidP="00792C60">
            <w:pPr>
              <w:rPr>
                <w:lang w:val="en-US"/>
              </w:rPr>
            </w:pPr>
            <w:r>
              <w:rPr>
                <w:lang w:val="en-US"/>
              </w:rPr>
              <w:t>Public extension and conservation programs focused on top-down, technical solutions (Belshaw 1979; Johnson et al. 2021)</w:t>
            </w:r>
          </w:p>
          <w:p w14:paraId="23DD45F6" w14:textId="77777777" w:rsidR="005E13CB" w:rsidRDefault="005E13CB" w:rsidP="00792C60">
            <w:pPr>
              <w:rPr>
                <w:lang w:val="en-US"/>
              </w:rPr>
            </w:pPr>
            <w:r>
              <w:rPr>
                <w:lang w:val="en-US"/>
              </w:rPr>
              <w:t>Focus on Western science in agricultural curriculums (Snively and X 2001)</w:t>
            </w:r>
          </w:p>
        </w:tc>
      </w:tr>
      <w:tr w:rsidR="005E13CB" w:rsidRPr="008D5296"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561FF635" w:rsidR="005E13CB" w:rsidRDefault="005E13CB" w:rsidP="00792C60">
            <w:pPr>
              <w:rPr>
                <w:lang w:val="en-US"/>
              </w:rPr>
            </w:pPr>
            <w:r>
              <w:rPr>
                <w:lang w:val="en-US"/>
              </w:rPr>
              <w:t>In- and out-group mentalities in agricultural practitioners (Kniss XXXX), gendered experiences of fieldwork and farmer interactions (Chiswell and Wheeler 2016</w:t>
            </w:r>
            <w:r w:rsidR="00BC2FCD">
              <w:rPr>
                <w:lang w:val="en-US"/>
              </w:rPr>
              <w:t>, the trans one?)</w:t>
            </w:r>
            <w:r>
              <w:rPr>
                <w:lang w:val="en-US"/>
              </w:rPr>
              <w:t xml:space="preserve">; </w:t>
            </w:r>
            <w:r w:rsidR="00BC2FCD">
              <w:rPr>
                <w:lang w:val="en-US"/>
              </w:rPr>
              <w:t>g</w:t>
            </w:r>
            <w:r>
              <w:rPr>
                <w:lang w:val="en-US"/>
              </w:rPr>
              <w:t>ender biases in agricultural students (Basche and Carter 2020)</w:t>
            </w:r>
          </w:p>
          <w:p w14:paraId="5D653647" w14:textId="77777777" w:rsidR="005E13CB" w:rsidRDefault="005E13CB" w:rsidP="00792C60">
            <w:pPr>
              <w:rPr>
                <w:lang w:val="en-US"/>
              </w:rPr>
            </w:pPr>
          </w:p>
        </w:tc>
      </w:tr>
      <w:tr w:rsidR="005E13CB" w:rsidRPr="008D5296" w14:paraId="3F8D4763" w14:textId="77777777" w:rsidTr="00792C60">
        <w:tc>
          <w:tcPr>
            <w:tcW w:w="8725" w:type="dxa"/>
            <w:gridSpan w:val="3"/>
          </w:tcPr>
          <w:p w14:paraId="48515359" w14:textId="77777777" w:rsidR="005E13CB" w:rsidRPr="002E15CC" w:rsidRDefault="005E13CB" w:rsidP="00792C60">
            <w:pPr>
              <w:rPr>
                <w:sz w:val="16"/>
                <w:szCs w:val="16"/>
                <w:lang w:val="en-US"/>
              </w:rPr>
            </w:pPr>
            <w:r w:rsidRPr="002E15CC">
              <w:rPr>
                <w:sz w:val="16"/>
                <w:szCs w:val="16"/>
                <w:vertAlign w:val="superscript"/>
                <w:lang w:val="en-US"/>
              </w:rPr>
              <w:t>1</w:t>
            </w:r>
            <w:r w:rsidRPr="002E15CC">
              <w:rPr>
                <w:sz w:val="16"/>
                <w:szCs w:val="16"/>
                <w:lang w:val="en-US"/>
              </w:rPr>
              <w:t>United States Department of Agriculture</w:t>
            </w:r>
          </w:p>
          <w:p w14:paraId="72F76003" w14:textId="77777777" w:rsidR="005E13CB" w:rsidRPr="002E15CC" w:rsidRDefault="005E13CB" w:rsidP="00792C60">
            <w:pPr>
              <w:rPr>
                <w:sz w:val="16"/>
                <w:szCs w:val="16"/>
                <w:lang w:val="en-US"/>
              </w:rPr>
            </w:pPr>
            <w:r w:rsidRPr="002E15CC">
              <w:rPr>
                <w:sz w:val="16"/>
                <w:szCs w:val="16"/>
                <w:vertAlign w:val="superscript"/>
                <w:lang w:val="en-US"/>
              </w:rPr>
              <w:t>2</w:t>
            </w:r>
            <w:r w:rsidRPr="002E15CC">
              <w:rPr>
                <w:sz w:val="16"/>
                <w:szCs w:val="16"/>
                <w:lang w:val="en-US"/>
              </w:rPr>
              <w:t xml:space="preserve">National Agricultural Statistics Service, an agency responsible for collecting and reporting information related to agricultural production within the </w:t>
            </w:r>
            <w:proofErr w:type="gramStart"/>
            <w:r w:rsidRPr="002E15CC">
              <w:rPr>
                <w:sz w:val="16"/>
                <w:szCs w:val="16"/>
                <w:lang w:val="en-US"/>
              </w:rPr>
              <w:t>USDA</w:t>
            </w:r>
            <w:proofErr w:type="gramEnd"/>
          </w:p>
          <w:p w14:paraId="172B3566" w14:textId="77777777" w:rsidR="005E13CB" w:rsidRPr="002E15CC" w:rsidRDefault="005E13CB" w:rsidP="00792C60">
            <w:pPr>
              <w:rPr>
                <w:sz w:val="16"/>
                <w:szCs w:val="16"/>
                <w:lang w:val="en-US"/>
              </w:rPr>
            </w:pPr>
            <w:r w:rsidRPr="002E15CC">
              <w:rPr>
                <w:sz w:val="16"/>
                <w:szCs w:val="16"/>
                <w:vertAlign w:val="superscript"/>
                <w:lang w:val="en-US"/>
              </w:rPr>
              <w:t>3</w:t>
            </w:r>
            <w:r w:rsidRPr="002E15CC">
              <w:rPr>
                <w:sz w:val="16"/>
                <w:szCs w:val="16"/>
                <w:lang w:val="en-US"/>
              </w:rPr>
              <w:t xml:space="preserve">Natural Resource Conservation Service, </w:t>
            </w:r>
            <w:r>
              <w:rPr>
                <w:sz w:val="16"/>
                <w:szCs w:val="16"/>
                <w:lang w:val="en-US"/>
              </w:rPr>
              <w:t xml:space="preserve">an agency that provides technical and financial </w:t>
            </w:r>
            <w:proofErr w:type="gramStart"/>
            <w:r>
              <w:rPr>
                <w:sz w:val="16"/>
                <w:szCs w:val="16"/>
                <w:lang w:val="en-US"/>
              </w:rPr>
              <w:t>assistance  to</w:t>
            </w:r>
            <w:proofErr w:type="gramEnd"/>
            <w:r>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23F0694"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thematic opportunities with </w:t>
      </w:r>
      <w:r w:rsidR="00BC2FCD">
        <w:rPr>
          <w:lang w:val="en-US"/>
        </w:rPr>
        <w:t>positive experiences of their application</w:t>
      </w:r>
      <w:r>
        <w:rPr>
          <w:lang w:val="en-US"/>
        </w:rPr>
        <w:t>.</w:t>
      </w:r>
    </w:p>
    <w:p w14:paraId="40AA282C" w14:textId="77777777" w:rsidR="00BC2FCD" w:rsidRDefault="00BC2FCD" w:rsidP="005E13CB">
      <w:pPr>
        <w:rPr>
          <w:rStyle w:val="Heading3Char"/>
          <w:lang w:val="en-US"/>
        </w:rPr>
      </w:pPr>
    </w:p>
    <w:p w14:paraId="7EE862E3" w14:textId="3FF760F9" w:rsidR="0019711C" w:rsidRPr="0029011A" w:rsidRDefault="0019711C" w:rsidP="008A4A87">
      <w:pPr>
        <w:pStyle w:val="Heading2"/>
        <w:rPr>
          <w:rStyle w:val="Heading3Char"/>
          <w:lang w:val="en-US"/>
        </w:rPr>
      </w:pPr>
      <w:r w:rsidRPr="0029011A">
        <w:rPr>
          <w:rStyle w:val="Heading3Char"/>
          <w:lang w:val="en-US"/>
        </w:rPr>
        <w:t>Technical audits</w:t>
      </w:r>
    </w:p>
    <w:p w14:paraId="06B3E639" w14:textId="73006544"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w:t>
      </w:r>
      <w:r w:rsidR="00BC2FCD">
        <w:rPr>
          <w:lang w:val="en-US"/>
        </w:rPr>
        <w:t>the four</w:t>
      </w:r>
      <w:r w:rsidR="00D21E13">
        <w:rPr>
          <w:lang w:val="en-US"/>
        </w:rPr>
        <w:t xml:space="preserve"> </w:t>
      </w:r>
      <w:r w:rsidR="00F251AD">
        <w:rPr>
          <w:lang w:val="en-US"/>
        </w:rPr>
        <w:t xml:space="preserve">power </w:t>
      </w:r>
      <w:r w:rsidR="00D21E13">
        <w:rPr>
          <w:lang w:val="en-US"/>
        </w:rPr>
        <w:t>domains</w:t>
      </w:r>
      <w:r w:rsidR="00F251AD">
        <w:rPr>
          <w:lang w:val="en-US"/>
        </w:rPr>
        <w:t xml:space="preserve"> (Table </w:t>
      </w:r>
      <w:r w:rsidR="00BC2FCD">
        <w:rPr>
          <w:lang w:val="en-US"/>
        </w:rPr>
        <w:t>2</w:t>
      </w:r>
      <w:r w:rsidR="00F251AD">
        <w:rPr>
          <w:lang w:val="en-US"/>
        </w:rPr>
        <w:t>)</w:t>
      </w:r>
      <w:r w:rsidR="00D21E13">
        <w:rPr>
          <w:lang w:val="en-US"/>
        </w:rPr>
        <w:t>.</w:t>
      </w:r>
      <w:r>
        <w:rPr>
          <w:lang w:val="en-US"/>
        </w:rPr>
        <w:t xml:space="preserve"> </w:t>
      </w:r>
      <w:r w:rsidR="00F251AD">
        <w:rPr>
          <w:lang w:val="en-US"/>
        </w:rPr>
        <w:t xml:space="preserve">In an example of rebalancing power in the structural domain, a </w:t>
      </w:r>
      <w:r w:rsidR="005D0548" w:rsidRPr="0029011A">
        <w:rPr>
          <w:lang w:val="en-US"/>
        </w:rPr>
        <w:t>series of studies</w:t>
      </w:r>
      <w:r>
        <w:rPr>
          <w:lang w:val="en-US"/>
        </w:rPr>
        <w:t xml:space="preserve"> documented significant soil degradation and crop yield losses following the remediation efforts accompanying underground pipeline installation (</w:t>
      </w:r>
      <w:r w:rsidR="00856997" w:rsidRPr="0029011A">
        <w:rPr>
          <w:lang w:val="en-US"/>
        </w:rPr>
        <w:t xml:space="preserve">Brehm and </w:t>
      </w:r>
      <w:proofErr w:type="spellStart"/>
      <w:r w:rsidR="00856997" w:rsidRPr="0029011A">
        <w:rPr>
          <w:lang w:val="en-US"/>
        </w:rPr>
        <w:lastRenderedPageBreak/>
        <w:t>Culman</w:t>
      </w:r>
      <w:proofErr w:type="spellEnd"/>
      <w:r w:rsidR="00856997" w:rsidRPr="0029011A">
        <w:rPr>
          <w:lang w:val="en-US"/>
        </w:rPr>
        <w:t xml:space="preserve"> 2022a; Brehm and </w:t>
      </w:r>
      <w:proofErr w:type="spellStart"/>
      <w:r w:rsidR="00856997" w:rsidRPr="0029011A">
        <w:rPr>
          <w:lang w:val="en-US"/>
        </w:rPr>
        <w:t>Culman</w:t>
      </w:r>
      <w:proofErr w:type="spellEnd"/>
      <w:r w:rsidR="00856997" w:rsidRPr="0029011A">
        <w:rPr>
          <w:lang w:val="en-US"/>
        </w:rPr>
        <w:t xml:space="preserve"> 2022b</w:t>
      </w:r>
      <w:r w:rsidR="00E719B5">
        <w:rPr>
          <w:lang w:val="en-US"/>
        </w:rPr>
        <w:t>; Ebrahimi et al. 2022a; Ebrahimi et al. 2022b</w:t>
      </w:r>
      <w:r w:rsidR="00856997" w:rsidRPr="0029011A">
        <w:rPr>
          <w:lang w:val="en-US"/>
        </w:rPr>
        <w:t>)</w:t>
      </w:r>
      <w:r w:rsidR="00216162" w:rsidRPr="0029011A">
        <w:rPr>
          <w:lang w:val="en-US"/>
        </w:rPr>
        <w:t xml:space="preserve">. </w:t>
      </w:r>
      <w:r>
        <w:rPr>
          <w:lang w:val="en-US"/>
        </w:rPr>
        <w:t>This research document</w:t>
      </w:r>
      <w:r w:rsidR="002827E9">
        <w:rPr>
          <w:lang w:val="en-US"/>
        </w:rPr>
        <w:t>ed</w:t>
      </w:r>
      <w:r>
        <w:rPr>
          <w:lang w:val="en-US"/>
        </w:rPr>
        <w:t xml:space="preserve"> </w:t>
      </w:r>
      <w:r w:rsidR="00975CB0">
        <w:rPr>
          <w:lang w:val="en-US"/>
        </w:rPr>
        <w:t>the</w:t>
      </w:r>
      <w:r w:rsidR="00F251AD">
        <w:rPr>
          <w:lang w:val="en-US"/>
        </w:rPr>
        <w:t xml:space="preserve"> previously unquantified</w:t>
      </w:r>
      <w:r>
        <w:rPr>
          <w:lang w:val="en-US"/>
        </w:rPr>
        <w:t xml:space="preserve"> long-term impacts pipeline installations have on productive agricultural land</w:t>
      </w:r>
      <w:r w:rsidR="00975CB0">
        <w:rPr>
          <w:lang w:val="en-US"/>
        </w:rPr>
        <w:t xml:space="preserve"> (a globally limited resource)</w:t>
      </w:r>
      <w:r>
        <w:rPr>
          <w:lang w:val="en-US"/>
        </w:rPr>
        <w:t xml:space="preserve"> and challenges the </w:t>
      </w:r>
      <w:r w:rsidR="002827E9">
        <w:rPr>
          <w:lang w:val="en-US"/>
        </w:rPr>
        <w:t xml:space="preserve">laws </w:t>
      </w:r>
      <w:r w:rsidR="00F251AD">
        <w:rPr>
          <w:lang w:val="en-US"/>
        </w:rPr>
        <w:t xml:space="preserve">that allow </w:t>
      </w:r>
      <w:r>
        <w:rPr>
          <w:lang w:val="en-US"/>
        </w:rPr>
        <w:t xml:space="preserve">pipeline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BC2FCD">
        <w:rPr>
          <w:lang w:val="en-US"/>
        </w:rPr>
        <w:t>In the</w:t>
      </w:r>
      <w:r w:rsidR="00A40128">
        <w:rPr>
          <w:lang w:val="en-US"/>
        </w:rPr>
        <w:t xml:space="preserve"> hegemonic </w:t>
      </w:r>
      <w:r w:rsidR="00BC2FCD">
        <w:rPr>
          <w:lang w:val="en-US"/>
        </w:rPr>
        <w:t>domain</w:t>
      </w:r>
      <w:r w:rsidR="00A40128">
        <w:rPr>
          <w:lang w:val="en-US"/>
        </w:rPr>
        <w:t>, u</w:t>
      </w:r>
      <w:r w:rsidR="00A1659B">
        <w:rPr>
          <w:lang w:val="en-US"/>
        </w:rPr>
        <w:t xml:space="preserve">niversity nutrient application recommendations have traditionally been generated </w:t>
      </w:r>
      <w:r w:rsidR="00A40128">
        <w:rPr>
          <w:lang w:val="en-US"/>
        </w:rPr>
        <w:t>u</w:t>
      </w:r>
      <w:r w:rsidR="00A1659B">
        <w:rPr>
          <w:lang w:val="en-US"/>
        </w:rPr>
        <w:t>sing top-down, siloed</w:t>
      </w:r>
      <w:r w:rsidR="0039604B">
        <w:rPr>
          <w:lang w:val="en-US"/>
        </w:rPr>
        <w:t xml:space="preserve"> experiments</w:t>
      </w:r>
      <w:r w:rsidR="00BC2FCD">
        <w:rPr>
          <w:lang w:val="en-US"/>
        </w:rPr>
        <w:t xml:space="preserve"> with little transparency or opportunity for the public, farmers, or even other scientists to provide input. </w:t>
      </w:r>
      <w:r w:rsidR="00A1659B">
        <w:rPr>
          <w:lang w:val="en-US"/>
        </w:rPr>
        <w:t xml:space="preserve">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750AC7">
        <w:rPr>
          <w:lang w:val="en-US"/>
        </w:rPr>
        <w:t xml:space="preserve"> </w:t>
      </w:r>
      <w:r w:rsidR="007A5B68">
        <w:rPr>
          <w:lang w:val="en-US"/>
        </w:rPr>
        <w:t>(Miguez and Poffenbarger 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accountability with regards to </w:t>
      </w:r>
      <w:r w:rsidR="002827E9">
        <w:rPr>
          <w:lang w:val="en-US"/>
        </w:rPr>
        <w:t xml:space="preserve">agricultural </w:t>
      </w:r>
      <w:r w:rsidR="002C20E9">
        <w:rPr>
          <w:lang w:val="en-US"/>
        </w:rPr>
        <w:t>nutrient management</w:t>
      </w:r>
      <w:r w:rsidR="0039604B">
        <w:rPr>
          <w:lang w:val="en-US"/>
        </w:rPr>
        <w:t xml:space="preserve"> (CITE?)</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 xml:space="preserve"> (</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w:t>
      </w:r>
      <w:r w:rsidR="002C20E9">
        <w:rPr>
          <w:lang w:val="en-US"/>
        </w:rPr>
        <w:t xml:space="preserve">to </w:t>
      </w:r>
      <w:r w:rsidR="002C20E9" w:rsidRPr="0029011A">
        <w:rPr>
          <w:lang w:val="en-US"/>
        </w:rPr>
        <w:t xml:space="preserve">support public model development. </w:t>
      </w:r>
      <w:r w:rsidR="002C20E9" w:rsidRPr="0039604B">
        <w:rPr>
          <w:color w:val="FF0000"/>
          <w:lang w:val="en-US"/>
        </w:rPr>
        <w:t>Similarly, in 2022 a grassroots farmer organization, Practical Farmers of Iowa, launched a regional program paying farmers</w:t>
      </w:r>
      <w:r w:rsidR="007A5B68" w:rsidRPr="0039604B">
        <w:rPr>
          <w:color w:val="FF0000"/>
          <w:lang w:val="en-US"/>
        </w:rPr>
        <w:t xml:space="preserve"> (see Reciprocity section)</w:t>
      </w:r>
      <w:r w:rsidR="002C20E9" w:rsidRPr="0039604B">
        <w:rPr>
          <w:color w:val="FF0000"/>
          <w:lang w:val="en-US"/>
        </w:rPr>
        <w:t xml:space="preserve"> to test nitrogen rates of their choice using replicated trials and sharing their individual and pooled results with the public (CITE).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A26087">
        <w:rPr>
          <w:lang w:val="en-US"/>
        </w:rPr>
        <w:t>.</w:t>
      </w:r>
      <w:r w:rsidR="00A1659B">
        <w:rPr>
          <w:lang w:val="en-US"/>
        </w:rPr>
        <w:t xml:space="preserve"> </w:t>
      </w:r>
    </w:p>
    <w:p w14:paraId="5450A633" w14:textId="27ADA508" w:rsidR="00750AC7" w:rsidRDefault="00750AC7" w:rsidP="006C190F">
      <w:pPr>
        <w:rPr>
          <w:lang w:val="en-US"/>
        </w:rPr>
      </w:pPr>
    </w:p>
    <w:p w14:paraId="4CF2DB32" w14:textId="7BC55510" w:rsidR="00C83D16" w:rsidRDefault="00C83D16" w:rsidP="008A4A87">
      <w:pPr>
        <w:pStyle w:val="Heading2"/>
        <w:rPr>
          <w:lang w:val="en-US"/>
        </w:rPr>
      </w:pPr>
      <w:r>
        <w:rPr>
          <w:lang w:val="en-US"/>
        </w:rPr>
        <w:t>Listening</w:t>
      </w:r>
      <w:r w:rsidR="00BE2EB1">
        <w:rPr>
          <w:lang w:val="en-US"/>
        </w:rPr>
        <w:t xml:space="preserve"> to and serving the margins</w:t>
      </w:r>
    </w:p>
    <w:p w14:paraId="2C1575E8" w14:textId="419FBE07"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A26087">
        <w:rPr>
          <w:lang w:val="en-US"/>
        </w:rPr>
        <w:t>hegemonic and interpersonal</w:t>
      </w:r>
      <w:r>
        <w:rPr>
          <w:lang w:val="en-US"/>
        </w:rPr>
        <w:t xml:space="preserve"> power structures</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sidRPr="002C5D33">
        <w:rPr>
          <w:lang w:val="en-US"/>
        </w:rPr>
        <w:t xml:space="preserve"> </w:t>
      </w:r>
      <w:r w:rsidR="002C5D33">
        <w:rPr>
          <w:lang w:val="en-US"/>
        </w:rPr>
        <w:t xml:space="preserve">(Leslie et al. 2019; Carter 2019; </w:t>
      </w:r>
      <w:proofErr w:type="spellStart"/>
      <w:r w:rsidR="002C5D33">
        <w:rPr>
          <w:lang w:val="en-US"/>
        </w:rPr>
        <w:t>Pilgerum</w:t>
      </w:r>
      <w:proofErr w:type="spellEnd"/>
      <w:r w:rsidR="002C5D33">
        <w:rPr>
          <w:lang w:val="en-US"/>
        </w:rPr>
        <w:t xml:space="preserve"> et al. 2022; </w:t>
      </w:r>
      <w:proofErr w:type="spellStart"/>
      <w:r w:rsidR="002C5D33">
        <w:rPr>
          <w:lang w:val="en-US"/>
        </w:rPr>
        <w:t>Pfammatter</w:t>
      </w:r>
      <w:proofErr w:type="spellEnd"/>
      <w:r w:rsidR="002C5D33">
        <w:rPr>
          <w:lang w:val="en-US"/>
        </w:rPr>
        <w:t xml:space="preserve"> and </w:t>
      </w:r>
      <w:proofErr w:type="spellStart"/>
      <w:r w:rsidR="002C5D33">
        <w:rPr>
          <w:lang w:val="en-US"/>
        </w:rPr>
        <w:t>Jorgenden</w:t>
      </w:r>
      <w:proofErr w:type="spellEnd"/>
      <w:r w:rsidR="002C5D33">
        <w:rPr>
          <w:lang w:val="en-US"/>
        </w:rPr>
        <w:t xml:space="preserve"> 2023; Shih and Fan 2009)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w:t>
      </w:r>
      <w:r w:rsidR="002C5D33">
        <w:rPr>
          <w:lang w:val="en-US"/>
        </w:rPr>
        <w:t xml:space="preserve">utilized </w:t>
      </w:r>
      <w:r w:rsidR="004A02F2">
        <w:rPr>
          <w:lang w:val="en-US"/>
        </w:rPr>
        <w:t>market</w:t>
      </w:r>
      <w:r w:rsidR="002C5D33">
        <w:rPr>
          <w:lang w:val="en-US"/>
        </w:rPr>
        <w:t xml:space="preserve">s, </w:t>
      </w:r>
      <w:r w:rsidR="00CF0BBF">
        <w:rPr>
          <w:lang w:val="en-US"/>
        </w:rPr>
        <w:t xml:space="preserve">long-term ambitions </w:t>
      </w:r>
      <w:r w:rsidR="00205B7A">
        <w:rPr>
          <w:lang w:val="en-US"/>
        </w:rPr>
        <w:t>for the farm</w:t>
      </w:r>
      <w:r w:rsidR="002C5D33">
        <w:rPr>
          <w:lang w:val="en-US"/>
        </w:rPr>
        <w:t>)</w:t>
      </w:r>
      <w:r w:rsidR="00205B7A">
        <w:rPr>
          <w:lang w:val="en-US"/>
        </w:rPr>
        <w:t>(</w:t>
      </w:r>
      <w:r w:rsidR="009E5B92">
        <w:rPr>
          <w:lang w:val="en-US"/>
        </w:rPr>
        <w:t xml:space="preserve">Wheeler 2008; </w:t>
      </w:r>
      <w:r w:rsidR="00AF4925">
        <w:rPr>
          <w:lang w:val="en-US"/>
        </w:rPr>
        <w:t>Belshaw 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activities. </w:t>
      </w:r>
      <w:r w:rsidR="006C190F">
        <w:rPr>
          <w:lang w:val="en-US"/>
        </w:rPr>
        <w:t xml:space="preserve">This </w:t>
      </w:r>
      <w:r w:rsidR="002C5D33">
        <w:rPr>
          <w:lang w:val="en-US"/>
        </w:rPr>
        <w:t xml:space="preserve">is a serious issue that can not only hinder </w:t>
      </w:r>
      <w:r w:rsidR="00E119AA">
        <w:rPr>
          <w:lang w:val="en-US"/>
        </w:rPr>
        <w:t xml:space="preserve">more equitable </w:t>
      </w:r>
      <w:proofErr w:type="spellStart"/>
      <w:r w:rsidR="00E119AA">
        <w:rPr>
          <w:lang w:val="en-US"/>
        </w:rPr>
        <w:t>agriulcutral</w:t>
      </w:r>
      <w:proofErr w:type="spellEnd"/>
      <w:r w:rsidR="00E119AA">
        <w:rPr>
          <w:lang w:val="en-US"/>
        </w:rPr>
        <w:t xml:space="preserve"> systems, but </w:t>
      </w:r>
      <w:r w:rsidR="002C5D33">
        <w:rPr>
          <w:lang w:val="en-US"/>
        </w:rPr>
        <w:t xml:space="preserve">also deprive the greater public from benefiting from needed knowledge. </w:t>
      </w:r>
      <w:r w:rsidR="0039604B">
        <w:rPr>
          <w:lang w:val="en-US"/>
        </w:rPr>
        <w:t xml:space="preserve">There are significant opportunities for improving agricultural conservation outcomes by supporting peer-to-peer learning amongst institutionally excluded groups (Mahajan 2019; </w:t>
      </w:r>
      <w:proofErr w:type="spellStart"/>
      <w:r w:rsidR="0039604B">
        <w:rPr>
          <w:lang w:val="en-US"/>
        </w:rPr>
        <w:t>Diiro</w:t>
      </w:r>
      <w:proofErr w:type="spellEnd"/>
      <w:r w:rsidR="0039604B">
        <w:rPr>
          <w:lang w:val="en-US"/>
        </w:rPr>
        <w:t xml:space="preserve"> et al. 2018; Wells and Eells 2011; Carter and </w:t>
      </w:r>
      <w:proofErr w:type="spellStart"/>
      <w:r w:rsidR="0039604B">
        <w:rPr>
          <w:lang w:val="en-US"/>
        </w:rPr>
        <w:t>chrisoffel</w:t>
      </w:r>
      <w:proofErr w:type="spellEnd"/>
      <w:r w:rsidR="0039604B">
        <w:rPr>
          <w:lang w:val="en-US"/>
        </w:rPr>
        <w:t xml:space="preserve"> 2022). </w:t>
      </w:r>
      <w:r w:rsidR="002C5D33">
        <w:rPr>
          <w:lang w:val="en-US"/>
        </w:rPr>
        <w:t xml:space="preserve">For example, </w:t>
      </w:r>
      <w:r w:rsidR="0039604B">
        <w:rPr>
          <w:lang w:val="en-US"/>
        </w:rPr>
        <w:t>a group of farmers formed Practical Farmers of Iowa in 198</w:t>
      </w:r>
      <w:r w:rsidR="009D4689">
        <w:rPr>
          <w:lang w:val="en-US"/>
        </w:rPr>
        <w:t>7</w:t>
      </w:r>
      <w:r w:rsidR="0039604B">
        <w:rPr>
          <w:lang w:val="en-US"/>
        </w:rPr>
        <w:t xml:space="preserve"> partially in response to feeling neglected by the Land Grant institutions (CITE). One of those farmers’ low-input system inspired </w:t>
      </w:r>
      <w:r w:rsidR="002C5D33">
        <w:rPr>
          <w:lang w:val="en-US"/>
        </w:rPr>
        <w:t xml:space="preserve">one of the most scientifically productive </w:t>
      </w:r>
      <w:r w:rsidR="0039604B">
        <w:rPr>
          <w:lang w:val="en-US"/>
        </w:rPr>
        <w:t xml:space="preserve">crop </w:t>
      </w:r>
      <w:r w:rsidR="002C5D33">
        <w:rPr>
          <w:lang w:val="en-US"/>
        </w:rPr>
        <w:t>diversification experiments in the US (PFI something; Davis et al 2012;</w:t>
      </w:r>
      <w:r w:rsidR="0039604B">
        <w:rPr>
          <w:lang w:val="en-US"/>
        </w:rPr>
        <w:t xml:space="preserve"> Hunt XX</w:t>
      </w:r>
      <w:r w:rsidR="002C5D33">
        <w:rPr>
          <w:lang w:val="en-US"/>
        </w:rPr>
        <w:t xml:space="preserve">). </w:t>
      </w:r>
      <w:r w:rsidR="00A26087">
        <w:rPr>
          <w:lang w:val="en-US"/>
        </w:rPr>
        <w:t xml:space="preserve">Similarly, Latino farmers have had little </w:t>
      </w:r>
      <w:r w:rsidR="00E119AA">
        <w:rPr>
          <w:lang w:val="en-US"/>
        </w:rPr>
        <w:t>institutional support</w:t>
      </w:r>
      <w:r w:rsidR="00A26087">
        <w:rPr>
          <w:lang w:val="en-US"/>
        </w:rPr>
        <w:t xml:space="preserve">, and </w:t>
      </w:r>
      <w:r w:rsidR="00967FC4">
        <w:rPr>
          <w:lang w:val="en-US"/>
        </w:rPr>
        <w:t xml:space="preserve">in response </w:t>
      </w:r>
      <w:r w:rsidR="00A26087">
        <w:rPr>
          <w:lang w:val="en-US"/>
        </w:rPr>
        <w:t>Practical Farmers of Iowa recently launched a Latino Engagement program (</w:t>
      </w:r>
      <w:hyperlink r:id="rId6" w:history="1">
        <w:r w:rsidR="00A26087">
          <w:rPr>
            <w:rStyle w:val="cf01"/>
            <w:color w:val="0000FF"/>
            <w:u w:val="single"/>
          </w:rPr>
          <w:t>https://practicalfarmers.org/programs/agricultores-latinos/</w:t>
        </w:r>
      </w:hyperlink>
      <w:r w:rsidR="00A26087">
        <w:rPr>
          <w:lang w:val="en-US"/>
        </w:rPr>
        <w:t>)</w:t>
      </w:r>
      <w:r w:rsidR="00671B76">
        <w:rPr>
          <w:lang w:val="en-US"/>
        </w:rPr>
        <w:t xml:space="preserve">. </w:t>
      </w:r>
      <w:r w:rsidR="00ED49D1">
        <w:rPr>
          <w:lang w:val="en-US"/>
        </w:rPr>
        <w:t>Serving the margins is a way for agricultural researchers to leverage their privilege to help build legitimacy within the margins (</w:t>
      </w:r>
      <w:commentRangeStart w:id="0"/>
      <w:r w:rsidR="00ED49D1">
        <w:rPr>
          <w:lang w:val="en-US"/>
        </w:rPr>
        <w:t>de Wit and Alastair I think</w:t>
      </w:r>
      <w:commentRangeEnd w:id="0"/>
      <w:r w:rsidR="00ED49D1">
        <w:rPr>
          <w:rStyle w:val="CommentReference"/>
        </w:rPr>
        <w:commentReference w:id="0"/>
      </w:r>
      <w:r w:rsidR="00ED49D1">
        <w:rPr>
          <w:lang w:val="en-US"/>
        </w:rPr>
        <w:t>)</w:t>
      </w:r>
      <w:r w:rsidR="00671B76">
        <w:rPr>
          <w:lang w:val="en-US"/>
        </w:rPr>
        <w:t>, reducing the hegemonic and interpersonal power</w:t>
      </w:r>
      <w:r w:rsidR="00546CC0">
        <w:rPr>
          <w:lang w:val="en-US"/>
        </w:rPr>
        <w:t>s of exclusion</w:t>
      </w:r>
      <w:r w:rsidR="00671B76">
        <w:rPr>
          <w:lang w:val="en-US"/>
        </w:rPr>
        <w:t>.</w:t>
      </w:r>
    </w:p>
    <w:p w14:paraId="46A6FAFB" w14:textId="77777777" w:rsidR="002554C6" w:rsidRDefault="002554C6" w:rsidP="00390894">
      <w:pPr>
        <w:rPr>
          <w:lang w:val="en-US"/>
        </w:rPr>
      </w:pPr>
    </w:p>
    <w:p w14:paraId="7D5DAF8C" w14:textId="2F44EA7A" w:rsidR="00C83D16" w:rsidRDefault="00C83D16" w:rsidP="008A4A87">
      <w:pPr>
        <w:pStyle w:val="Heading2"/>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58D4C8BE" w:rsidR="00766CF5" w:rsidRDefault="00A42909" w:rsidP="00C83D16">
      <w:pPr>
        <w:rPr>
          <w:lang w:val="en-US"/>
        </w:rPr>
      </w:pPr>
      <w:r w:rsidRPr="00A15848">
        <w:rPr>
          <w:lang w:val="en-US"/>
        </w:rPr>
        <w:t>The idea that there are ’multiple ways of knowing’ origina</w:t>
      </w:r>
      <w:r w:rsidR="00546CC0">
        <w:rPr>
          <w:lang w:val="en-US"/>
        </w:rPr>
        <w:t>tes in Indigenous</w:t>
      </w:r>
      <w:r w:rsidRPr="00A15848">
        <w:rPr>
          <w:lang w:val="en-US"/>
        </w:rPr>
        <w:t xml:space="preserve"> </w:t>
      </w:r>
      <w:r w:rsidR="00A86F8F" w:rsidRPr="00A15848">
        <w:rPr>
          <w:lang w:val="en-US"/>
        </w:rPr>
        <w:t>epistemolog</w:t>
      </w:r>
      <w:r w:rsidR="00546CC0">
        <w:rPr>
          <w:lang w:val="en-US"/>
        </w:rPr>
        <w:t>ies</w:t>
      </w:r>
      <w:r w:rsidRPr="00A15848">
        <w:rPr>
          <w:lang w:val="en-US"/>
        </w:rPr>
        <w:t xml:space="preserve"> but has migrated into common vernacular</w:t>
      </w:r>
      <w:r w:rsidR="00650D5D">
        <w:rPr>
          <w:lang w:val="en-US"/>
        </w:rPr>
        <w:t>.</w:t>
      </w:r>
      <w:r w:rsidRPr="00A15848">
        <w:rPr>
          <w:lang w:val="en-US"/>
        </w:rPr>
        <w:t xml:space="preserve"> At its most basic level, it recognizes the diverse means through which individuals and groups understand the world around them</w:t>
      </w:r>
      <w:r w:rsidR="00546CC0">
        <w:rPr>
          <w:lang w:val="en-US"/>
        </w:rPr>
        <w:t xml:space="preserve">, including </w:t>
      </w:r>
      <w:r w:rsidRPr="00A15848">
        <w:rPr>
          <w:lang w:val="en-US"/>
        </w:rPr>
        <w:t xml:space="preserve">empirical observation and logical reasoning, but also intuition, personal experience, cultural traditions, </w:t>
      </w:r>
      <w:r w:rsidR="00A86F8F">
        <w:rPr>
          <w:lang w:val="en-US"/>
        </w:rPr>
        <w:t xml:space="preserve">and </w:t>
      </w:r>
      <w:r w:rsidRPr="00A15848">
        <w:rPr>
          <w:lang w:val="en-US"/>
        </w:rPr>
        <w:t xml:space="preserve">spiritual </w:t>
      </w:r>
      <w:r w:rsidRPr="00A15848">
        <w:rPr>
          <w:lang w:val="en-US"/>
        </w:rPr>
        <w:lastRenderedPageBreak/>
        <w:t xml:space="preserve">insights, among others. </w:t>
      </w:r>
      <w:r w:rsidR="00546CC0">
        <w:rPr>
          <w:lang w:val="en-US"/>
        </w:rPr>
        <w:t xml:space="preserve">In dismissing knowledge originating outside of </w:t>
      </w:r>
      <w:r w:rsidR="00A4510A">
        <w:rPr>
          <w:lang w:val="en-US"/>
        </w:rPr>
        <w:t>traditional scientific methods</w:t>
      </w:r>
      <w:r w:rsidR="00546CC0">
        <w:rPr>
          <w:lang w:val="en-US"/>
        </w:rPr>
        <w:t>, scientists wield power by reinforcing the dominance of a single scientific paradi</w:t>
      </w:r>
      <w:r w:rsidR="006A3F10">
        <w:rPr>
          <w:lang w:val="en-US"/>
        </w:rPr>
        <w:t>g</w:t>
      </w:r>
      <w:r w:rsidR="00546CC0">
        <w:rPr>
          <w:lang w:val="en-US"/>
        </w:rPr>
        <w:t xml:space="preserve">m and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 (Peltier 2018)</w:t>
      </w:r>
      <w:r w:rsidR="00A4510A">
        <w:rPr>
          <w:lang w:val="en-US"/>
        </w:rPr>
        <w:t>.</w:t>
      </w:r>
      <w:r w:rsidR="00546CC0">
        <w:rPr>
          <w:lang w:val="en-US"/>
        </w:rPr>
        <w:t xml:space="preserve"> It follows that u</w:t>
      </w:r>
      <w:r>
        <w:rPr>
          <w:lang w:val="en-US"/>
        </w:rPr>
        <w:t>tilizing non-traditional measurements</w:t>
      </w:r>
      <w:r w:rsidR="00A86F8F">
        <w:rPr>
          <w:lang w:val="en-US"/>
        </w:rPr>
        <w:t xml:space="preserve"> </w:t>
      </w:r>
      <w:r>
        <w:rPr>
          <w:lang w:val="en-US"/>
        </w:rPr>
        <w:t xml:space="preserve">is </w:t>
      </w:r>
      <w:proofErr w:type="gramStart"/>
      <w:r>
        <w:rPr>
          <w:lang w:val="en-US"/>
        </w:rPr>
        <w:t>one way</w:t>
      </w:r>
      <w:proofErr w:type="gramEnd"/>
      <w:r>
        <w:rPr>
          <w:lang w:val="en-US"/>
        </w:rPr>
        <w:t xml:space="preserve">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While it is based on scientific principles relating to soil </w:t>
      </w:r>
      <w:r w:rsidR="00CB44D5">
        <w:rPr>
          <w:lang w:val="en-US"/>
        </w:rPr>
        <w:t>moisture</w:t>
      </w:r>
      <w:r w:rsidR="000732A5">
        <w:rPr>
          <w:lang w:val="en-US"/>
        </w:rPr>
        <w:t xml:space="preserve"> </w:t>
      </w:r>
      <w:r w:rsidR="00CB44D5">
        <w:rPr>
          <w:lang w:val="en-US"/>
        </w:rPr>
        <w:t xml:space="preserve">(Earl 1997), it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 (Huber et al. 2023)</w:t>
      </w:r>
      <w:r w:rsidR="00CB44D5">
        <w:rPr>
          <w:lang w:val="en-US"/>
        </w:rPr>
        <w:t xml:space="preserve">. Perhaps </w:t>
      </w:r>
      <w:r w:rsidR="00766CF5">
        <w:rPr>
          <w:lang w:val="en-US"/>
        </w:rPr>
        <w:t xml:space="preserve">because of the </w:t>
      </w:r>
      <w:r w:rsidR="00A86F8F">
        <w:rPr>
          <w:lang w:val="en-US"/>
        </w:rPr>
        <w:t>connection to</w:t>
      </w:r>
      <w:r w:rsidR="00766CF5">
        <w:rPr>
          <w:lang w:val="en-US"/>
        </w:rPr>
        <w:t xml:space="preserve"> personal experience,</w:t>
      </w:r>
      <w:r w:rsidR="00CB44D5">
        <w:rPr>
          <w:lang w:val="en-US"/>
        </w:rPr>
        <w:t xml:space="preserve"> </w:t>
      </w:r>
      <w:r w:rsidR="00766CF5">
        <w:rPr>
          <w:lang w:val="en-US"/>
        </w:rPr>
        <w:t>survey data on workable field days</w:t>
      </w:r>
      <w:r w:rsidR="00CB44D5">
        <w:rPr>
          <w:lang w:val="en-US"/>
        </w:rPr>
        <w:t xml:space="preserve"> is often used in extension settings</w:t>
      </w:r>
      <w:r w:rsidR="00766CF5">
        <w:rPr>
          <w:lang w:val="en-US"/>
        </w:rPr>
        <w:t xml:space="preserve">, but to our knowledge has not been extensively used within scientific frameworks. In an example of </w:t>
      </w:r>
      <w:r w:rsidR="00546CC0">
        <w:rPr>
          <w:lang w:val="en-US"/>
        </w:rPr>
        <w:t xml:space="preserve">challenging the hegemonic </w:t>
      </w:r>
      <w:r w:rsidR="00167D8E">
        <w:rPr>
          <w:lang w:val="en-US"/>
        </w:rPr>
        <w:t xml:space="preserve">power concerning knowledge generation, </w:t>
      </w:r>
      <w:r w:rsidR="00766CF5">
        <w:rPr>
          <w:lang w:val="en-US"/>
        </w:rPr>
        <w:t xml:space="preserve">Practical Farmers of Iowa has launched 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Pr>
            <w:rStyle w:val="cf01"/>
            <w:color w:val="0000FF"/>
            <w:u w:val="single"/>
          </w:rPr>
          <w:t>https://practicalfarmers.org/2024/04/putting-soil-to-the-test/</w:t>
        </w:r>
      </w:hyperlink>
      <w:r w:rsidR="00766CF5">
        <w:rPr>
          <w:lang w:val="en-US"/>
        </w:rPr>
        <w:t xml:space="preserve">CITE). This effort does not detract from nor undermine the numerous scientific publications relating cover cropping to changes in soil-water </w:t>
      </w:r>
      <w:r w:rsidR="006D11F1">
        <w:rPr>
          <w:lang w:val="en-US"/>
        </w:rPr>
        <w:t>dynamics</w:t>
      </w:r>
      <w:r w:rsidR="00167D8E">
        <w:rPr>
          <w:lang w:val="en-US"/>
        </w:rPr>
        <w:t xml:space="preserve"> – rather, it will enrich it by </w:t>
      </w:r>
      <w:r w:rsidR="00A86F8F">
        <w:rPr>
          <w:lang w:val="en-US"/>
        </w:rPr>
        <w:t>produc</w:t>
      </w:r>
      <w:r w:rsidR="00167D8E">
        <w:rPr>
          <w:lang w:val="en-US"/>
        </w:rPr>
        <w:t>ing</w:t>
      </w:r>
      <w:r w:rsidR="00A86F8F">
        <w:rPr>
          <w:lang w:val="en-US"/>
        </w:rPr>
        <w:t xml:space="preserve"> results that are based on </w:t>
      </w:r>
      <w:r w:rsidR="00766CF5">
        <w:rPr>
          <w:lang w:val="en-US"/>
        </w:rPr>
        <w:t>other</w:t>
      </w:r>
      <w:r w:rsidR="006A3F10">
        <w:rPr>
          <w:lang w:val="en-US"/>
        </w:rPr>
        <w:t>, meaningful</w:t>
      </w:r>
      <w:r w:rsidR="00766CF5">
        <w:rPr>
          <w:lang w:val="en-US"/>
        </w:rPr>
        <w:t xml:space="preserve"> ways of knowing (Robertson et al. 2001). </w:t>
      </w:r>
      <w:r w:rsidR="00967FC4">
        <w:rPr>
          <w:lang w:val="en-US"/>
        </w:rPr>
        <w:t xml:space="preserve">Similar efforts to incorporate alternative knowledge bases are being explored in relation to complex topics such as soil </w:t>
      </w:r>
      <w:r w:rsidR="0093395F">
        <w:rPr>
          <w:lang w:val="en-US"/>
        </w:rPr>
        <w:t xml:space="preserve">and agricultural system </w:t>
      </w:r>
      <w:r w:rsidR="00967FC4">
        <w:rPr>
          <w:lang w:val="en-US"/>
        </w:rPr>
        <w:t>health</w:t>
      </w:r>
      <w:r w:rsidR="006D11F1">
        <w:rPr>
          <w:lang w:val="en-US"/>
        </w:rPr>
        <w:t xml:space="preserve"> (Gage2015 book</w:t>
      </w:r>
      <w:r w:rsidR="0093543C">
        <w:rPr>
          <w:lang w:val="en-US"/>
        </w:rPr>
        <w:t>; Maeder; Freidrichson2021</w:t>
      </w:r>
      <w:r w:rsidR="006D11F1">
        <w:rPr>
          <w:lang w:val="en-US"/>
        </w:rPr>
        <w:t>)</w:t>
      </w:r>
      <w:r w:rsidR="0093395F">
        <w:rPr>
          <w:lang w:val="en-US"/>
        </w:rPr>
        <w:t xml:space="preserve">. </w:t>
      </w:r>
    </w:p>
    <w:p w14:paraId="237F8432" w14:textId="535C04FC" w:rsidR="00A42909" w:rsidRDefault="00CB44D5" w:rsidP="00C83D16">
      <w:pPr>
        <w:rPr>
          <w:lang w:val="en-US"/>
        </w:rPr>
      </w:pPr>
      <w:r>
        <w:rPr>
          <w:lang w:val="en-US"/>
        </w:rPr>
        <w:t xml:space="preserve">   </w:t>
      </w:r>
    </w:p>
    <w:p w14:paraId="6C1F8FD3" w14:textId="22ECDCCB" w:rsidR="002C7496" w:rsidRDefault="00EE392E" w:rsidP="00B76E57">
      <w:pPr>
        <w:pStyle w:val="Heading1"/>
        <w:rPr>
          <w:lang w:val="en-US"/>
        </w:rPr>
      </w:pPr>
      <w:r>
        <w:rPr>
          <w:lang w:val="en-US"/>
        </w:rPr>
        <w:t xml:space="preserve">Farmer-researcher relations should be </w:t>
      </w:r>
      <w:proofErr w:type="gramStart"/>
      <w:r>
        <w:rPr>
          <w:lang w:val="en-US"/>
        </w:rPr>
        <w:t>reciprocal</w:t>
      </w:r>
      <w:proofErr w:type="gramEnd"/>
      <w:r>
        <w:rPr>
          <w:lang w:val="en-US"/>
        </w:rPr>
        <w:t xml:space="preserve"> </w:t>
      </w:r>
    </w:p>
    <w:p w14:paraId="4B3B3851" w14:textId="410B2A9B" w:rsidR="001F647D" w:rsidRPr="004B348C" w:rsidRDefault="0093543C" w:rsidP="003B21F9">
      <w:pPr>
        <w:rPr>
          <w:lang w:val="en-US"/>
        </w:rPr>
      </w:pPr>
      <w:r>
        <w:rPr>
          <w:lang w:val="en-US"/>
        </w:rPr>
        <w:t>In addition to what research is done, t</w:t>
      </w:r>
      <w:r w:rsidR="00967FC4">
        <w:rPr>
          <w:lang w:val="en-US"/>
        </w:rPr>
        <w:t xml:space="preserve">he </w:t>
      </w:r>
      <w:r w:rsidR="00967FC4" w:rsidRPr="0093543C">
        <w:rPr>
          <w:lang w:val="en-US"/>
        </w:rPr>
        <w:t>way</w:t>
      </w:r>
      <w:r w:rsidR="00967FC4">
        <w:rPr>
          <w:lang w:val="en-US"/>
        </w:rPr>
        <w:t xml:space="preserve"> </w:t>
      </w:r>
      <w:r>
        <w:rPr>
          <w:lang w:val="en-US"/>
        </w:rPr>
        <w:t>it is done</w:t>
      </w:r>
      <w:r w:rsidR="00967FC4">
        <w:rPr>
          <w:lang w:val="en-US"/>
        </w:rPr>
        <w:t xml:space="preserve"> </w:t>
      </w:r>
      <w:r>
        <w:rPr>
          <w:lang w:val="en-US"/>
        </w:rPr>
        <w:t xml:space="preserve">presents </w:t>
      </w:r>
      <w:r w:rsidR="00967FC4">
        <w:rPr>
          <w:lang w:val="en-US"/>
        </w:rPr>
        <w:t>opportunit</w:t>
      </w:r>
      <w:r>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there are exciting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proofErr w:type="spellStart"/>
      <w:r w:rsidR="00E000F5" w:rsidRPr="004B348C">
        <w:rPr>
          <w:lang w:val="en-US"/>
        </w:rPr>
        <w:t>igancio’s</w:t>
      </w:r>
      <w:proofErr w:type="spellEnd"/>
      <w:r w:rsidR="00E000F5" w:rsidRPr="004B348C">
        <w:rPr>
          <w:lang w:val="en-US"/>
        </w:rPr>
        <w:t xml:space="preserve"> paper, </w:t>
      </w:r>
      <w:proofErr w:type="spellStart"/>
      <w:r w:rsidR="00E000F5" w:rsidRPr="004B348C">
        <w:rPr>
          <w:lang w:val="en-US"/>
        </w:rPr>
        <w:t>laila’s</w:t>
      </w:r>
      <w:proofErr w:type="spellEnd"/>
      <w:r w:rsidR="00E000F5" w:rsidRPr="004B348C">
        <w:rPr>
          <w:lang w:val="en-US"/>
        </w:rPr>
        <w:t>, mother daughter stuff, participatory breeding thing</w:t>
      </w:r>
      <w:r w:rsidR="00E000F5">
        <w:rPr>
          <w:lang w:val="en-US"/>
        </w:rPr>
        <w:t xml:space="preserve">; Stone 2016; </w:t>
      </w:r>
      <w:r w:rsidR="007E0B12">
        <w:rPr>
          <w:lang w:val="en-US"/>
        </w:rPr>
        <w:t xml:space="preserve">Lacoste2021, </w:t>
      </w:r>
      <w:r w:rsidR="00F23D40" w:rsidRPr="00F23D40">
        <w:rPr>
          <w:lang w:val="en-US"/>
        </w:rPr>
        <w:t>Kravchenko2017; Koehler-Cole2023; Laurent2022)</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numerous guides for </w:t>
      </w:r>
      <w:r w:rsidR="00886A8B">
        <w:rPr>
          <w:lang w:val="en-US"/>
        </w:rPr>
        <w:t xml:space="preserve">farmers in </w:t>
      </w:r>
      <w:r w:rsidR="001F647D" w:rsidRPr="004B348C">
        <w:rPr>
          <w:lang w:val="en-US"/>
        </w:rPr>
        <w:t>conducting on-farm research</w:t>
      </w:r>
      <w:r w:rsidR="00886A8B">
        <w:rPr>
          <w:lang w:val="en-US"/>
        </w:rPr>
        <w:t xml:space="preserve"> </w:t>
      </w:r>
      <w:r w:rsidR="00F367C5" w:rsidRPr="004B348C">
        <w:rPr>
          <w:lang w:val="en-US"/>
        </w:rPr>
        <w:t>(</w:t>
      </w:r>
      <w:r w:rsidR="005D0AB4">
        <w:rPr>
          <w:lang w:val="en-US"/>
        </w:rPr>
        <w:t xml:space="preserve">Chaney 2017, </w:t>
      </w:r>
      <w:r w:rsidR="00F367C5" w:rsidRPr="004B348C">
        <w:rPr>
          <w:lang w:val="en-US"/>
        </w:rPr>
        <w:t>Stefan’s list)</w:t>
      </w:r>
      <w:r w:rsidR="00886A8B">
        <w:rPr>
          <w:lang w:val="en-US"/>
        </w:rPr>
        <w:t xml:space="preserve">, </w:t>
      </w:r>
      <w:r w:rsidR="00E000F5">
        <w:rPr>
          <w:lang w:val="en-US"/>
        </w:rPr>
        <w:t xml:space="preserve">but </w:t>
      </w:r>
      <w:r w:rsidR="00886A8B">
        <w:rPr>
          <w:lang w:val="en-US"/>
        </w:rPr>
        <w:t xml:space="preserve">to </w:t>
      </w:r>
      <w:r w:rsidR="001F647D" w:rsidRPr="004B348C">
        <w:rPr>
          <w:lang w:val="en-US"/>
        </w:rPr>
        <w:t>our knowledge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 farmers may be collaborating with</w:t>
      </w:r>
      <w:r w:rsidR="00F367C5" w:rsidRPr="004B348C">
        <w:rPr>
          <w:lang w:val="en-US"/>
        </w:rPr>
        <w:t>.</w:t>
      </w:r>
      <w:r w:rsidR="00D10D16" w:rsidRPr="004B348C">
        <w:rPr>
          <w:lang w:val="en-US"/>
        </w:rPr>
        <w:t xml:space="preserve"> </w:t>
      </w:r>
      <w:r w:rsidR="004B348C">
        <w:rPr>
          <w:lang w:val="en-US"/>
        </w:rPr>
        <w:t xml:space="preserve">The </w:t>
      </w:r>
      <w:r w:rsidR="004B348C" w:rsidRPr="00F8312C">
        <w:rPr>
          <w:lang w:val="en-US"/>
        </w:rPr>
        <w:t>Agroecology Research-Action Collective</w:t>
      </w:r>
      <w:r w:rsidR="004B348C">
        <w:rPr>
          <w:lang w:val="en-US"/>
        </w:rPr>
        <w:t>’s Principles and Protocols provide useful guidance on working with communities and organizations in general (de Wit et al. 202</w:t>
      </w:r>
      <w:r w:rsidR="00A06BCD">
        <w:rPr>
          <w:lang w:val="en-US"/>
        </w:rPr>
        <w:t>2</w:t>
      </w:r>
      <w:r w:rsidR="004B348C">
        <w:rPr>
          <w:lang w:val="en-US"/>
        </w:rPr>
        <w:t>)</w:t>
      </w:r>
      <w:r w:rsidR="005370FC">
        <w:rPr>
          <w:lang w:val="en-US"/>
        </w:rPr>
        <w:t xml:space="preserve">. However, </w:t>
      </w:r>
      <w:r w:rsidR="004B348C">
        <w:rPr>
          <w:lang w:val="en-US"/>
        </w:rPr>
        <w:t>we feel the researcher-farmer collaboration merits explicit attention</w:t>
      </w:r>
      <w:r w:rsidR="00F67DEF">
        <w:rPr>
          <w:lang w:val="en-US"/>
        </w:rPr>
        <w:t xml:space="preserve"> for agricultural scientists</w:t>
      </w:r>
      <w:r w:rsidR="004B348C">
        <w:rPr>
          <w:lang w:val="en-US"/>
        </w:rPr>
        <w:t xml:space="preserve">. </w:t>
      </w:r>
    </w:p>
    <w:p w14:paraId="57C0A40D" w14:textId="7FA9E4A8" w:rsidR="00BF2CA1" w:rsidRPr="00BF2CA1" w:rsidRDefault="00D10D16" w:rsidP="00BF2CA1">
      <w:pPr>
        <w:pStyle w:val="Heading2"/>
        <w:rPr>
          <w:lang w:val="en-US"/>
        </w:rPr>
      </w:pPr>
      <w:r>
        <w:rPr>
          <w:lang w:val="en-US"/>
        </w:rPr>
        <w:t>Compensation</w:t>
      </w:r>
    </w:p>
    <w:p w14:paraId="57D5F7BD" w14:textId="05152C2F"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7E0B12">
        <w:rPr>
          <w:lang w:val="en-US"/>
        </w:rPr>
        <w:t xml:space="preserve"> </w:t>
      </w:r>
      <w:r w:rsidR="00647412">
        <w:rPr>
          <w:lang w:val="en-US"/>
        </w:rPr>
        <w:t>(</w:t>
      </w:r>
      <w:proofErr w:type="spellStart"/>
      <w:r w:rsidR="007E0B12">
        <w:rPr>
          <w:lang w:val="en-US"/>
        </w:rPr>
        <w:t>Toffolini</w:t>
      </w:r>
      <w:proofErr w:type="spellEnd"/>
      <w:r w:rsidR="007E0B12">
        <w:rPr>
          <w:lang w:val="en-US"/>
        </w:rPr>
        <w:t xml:space="preserve"> and </w:t>
      </w:r>
      <w:proofErr w:type="spellStart"/>
      <w:r w:rsidR="007E0B12">
        <w:rPr>
          <w:lang w:val="en-US"/>
        </w:rPr>
        <w:t>Jeuffroy</w:t>
      </w:r>
      <w:proofErr w:type="spellEnd"/>
      <w:r w:rsidR="007E0B12">
        <w:rPr>
          <w:lang w:val="en-US"/>
        </w:rPr>
        <w:t xml:space="preserve"> 2022; </w:t>
      </w:r>
      <w:proofErr w:type="gramStart"/>
      <w:r w:rsidR="00647412">
        <w:rPr>
          <w:lang w:val="en-US"/>
        </w:rPr>
        <w:t>Jackson-Smith</w:t>
      </w:r>
      <w:proofErr w:type="gramEnd"/>
      <w:r w:rsidR="00647412">
        <w:rPr>
          <w:lang w:val="en-US"/>
        </w:rPr>
        <w:t xml:space="preserve"> and Veisi 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dynamics.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6324C67E" w:rsidR="005B1CF4" w:rsidRDefault="00D10D16" w:rsidP="0020694B">
      <w:pPr>
        <w:rPr>
          <w:lang w:val="en-US"/>
        </w:rPr>
      </w:pPr>
      <w:r w:rsidRPr="00A06BCD">
        <w:rPr>
          <w:lang w:val="en-US"/>
        </w:rPr>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w:t>
      </w:r>
      <w:r w:rsidR="005B1CF4">
        <w:rPr>
          <w:lang w:val="en-US"/>
        </w:rPr>
        <w:lastRenderedPageBreak/>
        <w:t xml:space="preserve">individual researchers may be constrained in their access to unrestricted grant money to pay participants, </w:t>
      </w:r>
      <w:r w:rsidR="0020694B">
        <w:rPr>
          <w:lang w:val="en-US"/>
        </w:rPr>
        <w:t>but</w:t>
      </w:r>
      <w:r w:rsidR="00E000F5">
        <w:rPr>
          <w:lang w:val="en-US"/>
        </w:rPr>
        <w:t xml:space="preserve">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monetary compensation, may reasonably</w:t>
      </w:r>
      <w:r w:rsidR="0020694B">
        <w:rPr>
          <w:lang w:val="en-US"/>
        </w:rPr>
        <w:t xml:space="preserve"> intuit a devaluation</w:t>
      </w:r>
      <w:r w:rsidR="00146801">
        <w:rPr>
          <w:lang w:val="en-US"/>
        </w:rPr>
        <w:t xml:space="preserve"> (hegemonic domain)</w:t>
      </w:r>
      <w:r w:rsidR="0020694B">
        <w:rPr>
          <w:lang w:val="en-US"/>
        </w:rPr>
        <w:t>. Moreover, f</w:t>
      </w:r>
      <w:r w:rsidR="0020694B" w:rsidRPr="00A06BCD">
        <w:rPr>
          <w:lang w:val="en-US"/>
        </w:rPr>
        <w:t>ailing to provide compensation further exacerbates historical biases, favoring well-resourced farmers in access to on-farm research activities</w:t>
      </w:r>
      <w:r w:rsidR="00146801">
        <w:rPr>
          <w:lang w:val="en-US"/>
        </w:rPr>
        <w:t xml:space="preserve"> (disciplinary domain)</w:t>
      </w:r>
      <w:r w:rsidR="0020694B" w:rsidRPr="00A06BCD">
        <w:rPr>
          <w:lang w:val="en-US"/>
        </w:rPr>
        <w:t>.</w:t>
      </w:r>
      <w:r w:rsidR="0020694B">
        <w:rPr>
          <w:lang w:val="en-US"/>
        </w:rPr>
        <w:t xml:space="preserve"> </w:t>
      </w:r>
    </w:p>
    <w:p w14:paraId="643FCBBA" w14:textId="77777777" w:rsidR="0020694B" w:rsidRDefault="0020694B" w:rsidP="005B1CF4">
      <w:pPr>
        <w:rPr>
          <w:lang w:val="en-US"/>
        </w:rPr>
      </w:pPr>
    </w:p>
    <w:p w14:paraId="0D68FA4E" w14:textId="467052C6" w:rsidR="003F1594" w:rsidRDefault="00146801" w:rsidP="00BC2BE9">
      <w:pPr>
        <w:rPr>
          <w:lang w:val="en-US"/>
        </w:rPr>
      </w:pPr>
      <w:r>
        <w:rPr>
          <w:lang w:val="en-US"/>
        </w:rPr>
        <w:t xml:space="preserve">Granting agencies clearly have a role to play in supporting fair compensation for farmer participation in research. While some grant funders allow for farmer-participant support </w:t>
      </w:r>
      <w:r w:rsidR="00E000F5">
        <w:rPr>
          <w:lang w:val="en-US"/>
        </w:rPr>
        <w:t xml:space="preserve">(e.g., </w:t>
      </w:r>
      <w:r>
        <w:rPr>
          <w:lang w:val="en-US"/>
        </w:rPr>
        <w:t>stipends</w:t>
      </w:r>
      <w:r w:rsidR="00E000F5">
        <w:rPr>
          <w:lang w:val="en-US"/>
        </w:rPr>
        <w:t xml:space="preserve">, </w:t>
      </w:r>
      <w:r>
        <w:rPr>
          <w:lang w:val="en-US"/>
        </w:rPr>
        <w:t>travel reimbursements</w:t>
      </w:r>
      <w:r w:rsidR="00E000F5">
        <w:rPr>
          <w:lang w:val="en-US"/>
        </w:rPr>
        <w:t>)</w:t>
      </w:r>
      <w:r>
        <w:rPr>
          <w:lang w:val="en-US"/>
        </w:rPr>
        <w:t xml:space="preserve">, to our knowledge none require it. To assist researchers in compensating farmers in ways that equalize opportunities and power distributions, </w:t>
      </w:r>
      <w:r w:rsidRPr="006931DB">
        <w:rPr>
          <w:lang w:val="en-US"/>
        </w:rPr>
        <w:t xml:space="preserve">funding sources should </w:t>
      </w:r>
      <w:r>
        <w:rPr>
          <w:lang w:val="en-US"/>
        </w:rPr>
        <w:t xml:space="preserve">explicitly </w:t>
      </w:r>
      <w:r w:rsidRPr="006931DB">
        <w:rPr>
          <w:lang w:val="en-US"/>
        </w:rPr>
        <w:t xml:space="preserve">require </w:t>
      </w:r>
      <w:r w:rsidR="00E000F5">
        <w:rPr>
          <w:lang w:val="en-US"/>
        </w:rPr>
        <w:t xml:space="preserve">tangible renumeration of </w:t>
      </w:r>
      <w:r>
        <w:rPr>
          <w:lang w:val="en-US"/>
        </w:rPr>
        <w:t>farmers for their par</w:t>
      </w:r>
      <w:r w:rsidRPr="006931DB">
        <w:rPr>
          <w:lang w:val="en-US"/>
        </w:rPr>
        <w:t xml:space="preserve">ticipation in research </w:t>
      </w:r>
      <w:proofErr w:type="gramStart"/>
      <w:r w:rsidRPr="006931DB">
        <w:rPr>
          <w:lang w:val="en-US"/>
        </w:rPr>
        <w:t>projects</w:t>
      </w:r>
      <w:r w:rsidR="00E000F5">
        <w:rPr>
          <w:lang w:val="en-US"/>
        </w:rPr>
        <w:t>,</w:t>
      </w:r>
      <w:r>
        <w:rPr>
          <w:lang w:val="en-US"/>
        </w:rPr>
        <w:t xml:space="preserve"> and</w:t>
      </w:r>
      <w:proofErr w:type="gramEnd"/>
      <w:r>
        <w:rPr>
          <w:lang w:val="en-US"/>
        </w:rPr>
        <w:t xml:space="preserve"> provide associated funding categories to support it. This is in the best interests of everyone involved; f</w:t>
      </w:r>
      <w:r w:rsidR="0020694B" w:rsidRPr="00A06BCD">
        <w:rPr>
          <w:lang w:val="en-US"/>
        </w:rPr>
        <w:t>air re</w:t>
      </w:r>
      <w:r w:rsidR="0020694B">
        <w:rPr>
          <w:lang w:val="en-US"/>
        </w:rPr>
        <w:t>muner</w:t>
      </w:r>
      <w:r w:rsidR="0020694B" w:rsidRPr="00A06BCD">
        <w:rPr>
          <w:lang w:val="en-US"/>
        </w:rPr>
        <w:t xml:space="preserve">ation </w:t>
      </w:r>
      <w:r w:rsidR="0020694B">
        <w:rPr>
          <w:lang w:val="en-US"/>
        </w:rPr>
        <w:t xml:space="preserve">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w:t>
      </w:r>
      <w:r w:rsidR="009D4689">
        <w:rPr>
          <w:lang w:val="en-US"/>
        </w:rPr>
        <w:t xml:space="preserve">robust </w:t>
      </w:r>
      <w:r w:rsidR="001D43ED">
        <w:rPr>
          <w:lang w:val="en-US"/>
        </w:rPr>
        <w:t>farmer cooperator program that is still in operation after more than 30 years, facts attributed in part to their policy of monetarily compensating farmers for their participation in on-farm research (but see Metrics for Success section). The Iowa Nitrogen Initiative</w:t>
      </w:r>
      <w:r w:rsidR="009D4689">
        <w:rPr>
          <w:lang w:val="en-US"/>
        </w:rPr>
        <w:t xml:space="preserve"> (see Technical </w:t>
      </w:r>
      <w:proofErr w:type="gramStart"/>
      <w:r w:rsidR="009D4689">
        <w:rPr>
          <w:lang w:val="en-US"/>
        </w:rPr>
        <w:t>audits</w:t>
      </w:r>
      <w:proofErr w:type="gramEnd"/>
      <w:r w:rsidR="009D4689">
        <w:rPr>
          <w:lang w:val="en-US"/>
        </w:rPr>
        <w:t xml:space="preserve"> Section)</w:t>
      </w:r>
      <w:r w:rsidR="001D43ED">
        <w:rPr>
          <w:lang w:val="en-US"/>
        </w:rPr>
        <w:t xml:space="preser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w:t>
      </w:r>
      <w:proofErr w:type="spellStart"/>
      <w:r w:rsidR="00BC2BE9">
        <w:rPr>
          <w:lang w:val="en-US"/>
        </w:rPr>
        <w:t>Thornely</w:t>
      </w:r>
      <w:proofErr w:type="spellEnd"/>
      <w:r w:rsidR="00BC2BE9">
        <w:rPr>
          <w:lang w:val="en-US"/>
        </w:rPr>
        <w:t xml:space="preserve"> 1990, Liebig 1999, Laila’s paper</w:t>
      </w:r>
      <w:r w:rsidR="0013156B">
        <w:rPr>
          <w:lang w:val="en-US"/>
        </w:rPr>
        <w:t>, Thompson and Thompson 1990, de Wit thing</w:t>
      </w:r>
      <w:r w:rsidR="00BC2BE9">
        <w:rPr>
          <w:lang w:val="en-US"/>
        </w:rPr>
        <w:t xml:space="preserve">), and could be used to </w:t>
      </w:r>
      <w:r w:rsidR="003F1594">
        <w:rPr>
          <w:lang w:val="en-US"/>
        </w:rPr>
        <w:t xml:space="preserve">specifically support </w:t>
      </w:r>
      <w:proofErr w:type="gramStart"/>
      <w:r w:rsidR="003F1594">
        <w:rPr>
          <w:lang w:val="en-US"/>
        </w:rPr>
        <w:t>institutionally-excluded</w:t>
      </w:r>
      <w:proofErr w:type="gramEnd"/>
      <w:r w:rsidR="003F1594">
        <w:rPr>
          <w:lang w:val="en-US"/>
        </w:rPr>
        <w:t xml:space="preserve"> groups</w:t>
      </w:r>
      <w:r w:rsidR="00BC2BE9">
        <w:rPr>
          <w:lang w:val="en-US"/>
        </w:rPr>
        <w:t>’ needs (e.g., childcare</w:t>
      </w:r>
      <w:r w:rsidR="009D4689">
        <w:rPr>
          <w:lang w:val="en-US"/>
        </w:rPr>
        <w:t>, language interpretation</w:t>
      </w:r>
      <w:r w:rsidR="00BC2BE9">
        <w:rPr>
          <w:lang w:val="en-US"/>
        </w:rPr>
        <w:t>)</w:t>
      </w:r>
      <w:r w:rsidR="003F1594">
        <w:rPr>
          <w:lang w:val="en-US"/>
        </w:rPr>
        <w:t xml:space="preserve">. </w:t>
      </w:r>
      <w:r w:rsidR="009D4689">
        <w:rPr>
          <w:lang w:val="en-US"/>
        </w:rPr>
        <w:t xml:space="preserve">Support such as </w:t>
      </w:r>
      <w:r w:rsidR="00BC2BE9">
        <w:rPr>
          <w:lang w:val="en-US"/>
        </w:rPr>
        <w:t xml:space="preserve">conference </w:t>
      </w:r>
      <w:r w:rsidR="009D4689">
        <w:rPr>
          <w:lang w:val="en-US"/>
        </w:rPr>
        <w:t xml:space="preserve">registrations, </w:t>
      </w:r>
      <w:r w:rsidR="00BC2BE9">
        <w:rPr>
          <w:lang w:val="en-US"/>
        </w:rPr>
        <w:t>formal</w:t>
      </w:r>
      <w:r w:rsidR="00BC2BE9" w:rsidRPr="00A06BCD">
        <w:rPr>
          <w:lang w:val="en-US"/>
        </w:rPr>
        <w:t xml:space="preserve"> training opportunities, </w:t>
      </w:r>
      <w:r w:rsidR="001D43ED" w:rsidRPr="00A06BCD">
        <w:rPr>
          <w:lang w:val="en-US"/>
        </w:rPr>
        <w:t>technical assistance, provision of inputs, or in-kind support</w:t>
      </w:r>
      <w:r w:rsidR="00BC2BE9">
        <w:rPr>
          <w:lang w:val="en-US"/>
        </w:rPr>
        <w:t xml:space="preserve"> </w:t>
      </w:r>
      <w:r w:rsidR="009D4689">
        <w:rPr>
          <w:lang w:val="en-US"/>
        </w:rPr>
        <w:t xml:space="preserve">should have </w:t>
      </w:r>
      <w:r w:rsidR="001D43ED" w:rsidRPr="00A06BCD">
        <w:rPr>
          <w:lang w:val="en-US"/>
        </w:rPr>
        <w:t xml:space="preserve">exact dollar values calculated and communicated. </w:t>
      </w:r>
      <w:r w:rsidR="009D4689">
        <w:rPr>
          <w:lang w:val="en-US"/>
        </w:rPr>
        <w:t>The authors provide examples of b</w:t>
      </w:r>
      <w:r>
        <w:rPr>
          <w:lang w:val="en-US"/>
        </w:rPr>
        <w:t>lended compensation packages that coincided with high participant satisfaction in supplemental files as a resource</w:t>
      </w:r>
      <w:r w:rsidR="009D4689">
        <w:rPr>
          <w:lang w:val="en-US"/>
        </w:rPr>
        <w:t xml:space="preserve"> (SFX)</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75C84651"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however </w:t>
      </w:r>
      <w:r w:rsidR="00D50F2E">
        <w:rPr>
          <w:lang w:val="en-US"/>
        </w:rPr>
        <w:t xml:space="preserve">they often lack metrics that help them articulate and measure that success. Building on recommendations from </w:t>
      </w:r>
      <w:r w:rsidR="009D4689">
        <w:rPr>
          <w:lang w:val="en-US"/>
        </w:rPr>
        <w:t>various sources (</w:t>
      </w:r>
      <w:proofErr w:type="spellStart"/>
      <w:r w:rsidR="00FE1B8B">
        <w:rPr>
          <w:lang w:val="en-US"/>
        </w:rPr>
        <w:t>D’Ignazio</w:t>
      </w:r>
      <w:proofErr w:type="spellEnd"/>
      <w:r w:rsidR="00FE1B8B">
        <w:rPr>
          <w:lang w:val="en-US"/>
        </w:rPr>
        <w:t xml:space="preserve"> and Klein XX</w:t>
      </w:r>
      <w:r w:rsidR="009D4689">
        <w:rPr>
          <w:lang w:val="en-US"/>
        </w:rPr>
        <w:t xml:space="preserve">; </w:t>
      </w:r>
      <w:r w:rsidR="00167D8E">
        <w:rPr>
          <w:lang w:val="en-US"/>
        </w:rPr>
        <w:t>Carter Roesch-McNally XX</w:t>
      </w:r>
      <w:r w:rsidR="00146801">
        <w:rPr>
          <w:lang w:val="en-US"/>
        </w:rPr>
        <w:t xml:space="preserve">; </w:t>
      </w:r>
      <w:proofErr w:type="spellStart"/>
      <w:r w:rsidR="00146801">
        <w:rPr>
          <w:lang w:val="en-US"/>
        </w:rPr>
        <w:t>agroecologypaper</w:t>
      </w:r>
      <w:proofErr w:type="spellEnd"/>
      <w:r w:rsidR="00167D8E">
        <w:rPr>
          <w:lang w:val="en-US"/>
        </w:rPr>
        <w:t>)</w:t>
      </w:r>
      <w:r w:rsidR="00D50F2E">
        <w:rPr>
          <w:lang w:val="en-US"/>
        </w:rPr>
        <w:t>,</w:t>
      </w:r>
      <w:r w:rsidR="009D4689">
        <w:rPr>
          <w:lang w:val="en-US"/>
        </w:rPr>
        <w:t xml:space="preserve"> </w:t>
      </w:r>
      <w:r w:rsidR="00D50F2E">
        <w:rPr>
          <w:lang w:val="en-US"/>
        </w:rPr>
        <w:t xml:space="preserve">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 xml:space="preserve">both entities transformed </w:t>
      </w:r>
      <w:proofErr w:type="gramStart"/>
      <w:r w:rsidR="00D50F2E">
        <w:rPr>
          <w:lang w:val="en-US"/>
        </w:rPr>
        <w:t>as a result of</w:t>
      </w:r>
      <w:proofErr w:type="gramEnd"/>
      <w:r w:rsidR="00D50F2E">
        <w:rPr>
          <w:lang w:val="en-US"/>
        </w:rPr>
        <w:t xml:space="preserve"> the collaboration?</w:t>
      </w:r>
    </w:p>
    <w:p w14:paraId="035F7928" w14:textId="5DAA0FC0"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r w:rsidR="00270076">
        <w:rPr>
          <w:lang w:val="en-US"/>
        </w:rPr>
        <w:t xml:space="preserve">The success of this type of model can </w:t>
      </w:r>
      <w:r w:rsidR="00FE1B8B">
        <w:rPr>
          <w:lang w:val="en-US"/>
        </w:rPr>
        <w:t xml:space="preserve">again </w:t>
      </w:r>
      <w:r w:rsidR="00270076">
        <w:rPr>
          <w:lang w:val="en-US"/>
        </w:rPr>
        <w:t>be demonstrated by the longevity of the Practical Farmers of Iowa (hereafter shortened to Practical Farmers) on-farm research program, which has been in place since 19</w:t>
      </w:r>
      <w:r w:rsidR="00F014B5">
        <w:rPr>
          <w:lang w:val="en-US"/>
        </w:rPr>
        <w:t>87</w:t>
      </w:r>
      <w:r w:rsidR="00270076">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and throu</w:t>
      </w:r>
      <w:r w:rsidR="005B6AC3">
        <w:rPr>
          <w:lang w:val="en-US"/>
        </w:rPr>
        <w:t xml:space="preserve">gh deep, critical reflection and constant iteration, their current survey </w:t>
      </w:r>
      <w:r w:rsidR="005370FC">
        <w:rPr>
          <w:lang w:val="en-US"/>
        </w:rPr>
        <w:t>successfully quantifies outcomes in</w:t>
      </w:r>
      <w:r w:rsidR="005B6AC3">
        <w:rPr>
          <w:lang w:val="en-US"/>
        </w:rPr>
        <w:t xml:space="preserve"> the four metrics described above</w:t>
      </w:r>
      <w:r w:rsidR="009D4689">
        <w:rPr>
          <w:lang w:val="en-US"/>
        </w:rPr>
        <w:t xml:space="preserve"> (see SFX)</w:t>
      </w:r>
      <w:r w:rsidR="005B6AC3">
        <w:rPr>
          <w:lang w:val="en-US"/>
        </w:rPr>
        <w:t>. As these questions have become metrics for success, Practical Farmers has designed their program to support these metrics, resulting in highly satisfied participants (</w:t>
      </w:r>
      <w:commentRangeStart w:id="1"/>
      <w:r w:rsidR="005B6AC3">
        <w:rPr>
          <w:lang w:val="en-US"/>
        </w:rPr>
        <w:t xml:space="preserve">Can I </w:t>
      </w:r>
      <w:r w:rsidR="005B6AC3">
        <w:rPr>
          <w:lang w:val="en-US"/>
        </w:rPr>
        <w:lastRenderedPageBreak/>
        <w:t xml:space="preserve">cite something? A PFI report?) </w:t>
      </w:r>
      <w:commentRangeEnd w:id="1"/>
      <w:r w:rsidR="00B2392A">
        <w:rPr>
          <w:rStyle w:val="CommentReference"/>
        </w:rPr>
        <w:commentReference w:id="1"/>
      </w:r>
      <w:r w:rsidR="005B6AC3">
        <w:rPr>
          <w:lang w:val="en-US"/>
        </w:rPr>
        <w:t>which translates to more consistent funding.</w:t>
      </w:r>
      <w:r w:rsidR="00270076">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w:t>
      </w:r>
      <w:commentRangeStart w:id="2"/>
      <w:r w:rsidR="005370FC">
        <w:rPr>
          <w:lang w:val="en-US"/>
        </w:rPr>
        <w:t>file</w:t>
      </w:r>
      <w:commentRangeEnd w:id="2"/>
      <w:r w:rsidR="00C10AAB">
        <w:rPr>
          <w:rStyle w:val="CommentReference"/>
        </w:rPr>
        <w:commentReference w:id="2"/>
      </w:r>
      <w:r w:rsidR="00101CF6">
        <w:rPr>
          <w:lang w:val="en-US"/>
        </w:rPr>
        <w:t xml:space="preserve">). </w:t>
      </w:r>
      <w:r w:rsidR="00270076">
        <w:rPr>
          <w:lang w:val="en-US"/>
        </w:rPr>
        <w:t xml:space="preserve">  </w:t>
      </w:r>
    </w:p>
    <w:p w14:paraId="0099F0BD" w14:textId="0D766EA1" w:rsidR="00CC38CF" w:rsidRDefault="00900F87" w:rsidP="00B76E57">
      <w:pPr>
        <w:pStyle w:val="Heading1"/>
        <w:rPr>
          <w:lang w:val="en-US"/>
        </w:rPr>
      </w:pPr>
      <w:r>
        <w:rPr>
          <w:lang w:val="en-US"/>
        </w:rPr>
        <w:t xml:space="preserve">All research is </w:t>
      </w:r>
      <w:r w:rsidR="00C7679D">
        <w:rPr>
          <w:lang w:val="en-US"/>
        </w:rPr>
        <w:t>values-</w:t>
      </w:r>
      <w:proofErr w:type="gramStart"/>
      <w:r w:rsidR="00C7679D">
        <w:rPr>
          <w:lang w:val="en-US"/>
        </w:rPr>
        <w:t>informed</w:t>
      </w:r>
      <w:proofErr w:type="gramEnd"/>
    </w:p>
    <w:p w14:paraId="2F8A5137" w14:textId="4A5885AC"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BC34A4">
        <w:rPr>
          <w:lang w:val="en-US"/>
        </w:rPr>
        <w:t xml:space="preserve">its role in </w:t>
      </w:r>
      <w:r>
        <w:rPr>
          <w:lang w:val="en-US"/>
        </w:rPr>
        <w:t xml:space="preserve">colonialism, racism, and other forms of oppression (X). </w:t>
      </w:r>
      <w:r w:rsidR="000D16E3">
        <w:rPr>
          <w:lang w:val="en-US"/>
        </w:rPr>
        <w:t xml:space="preserve">Today, many disciplines </w:t>
      </w:r>
      <w:r w:rsidR="00BC34A4">
        <w:rPr>
          <w:lang w:val="en-US"/>
        </w:rPr>
        <w:t xml:space="preserve">embrace </w:t>
      </w:r>
      <w:r>
        <w:rPr>
          <w:lang w:val="en-US"/>
        </w:rPr>
        <w:t xml:space="preserve">interpretation, plurality of methods, critical reflexivity, and fallibilism </w:t>
      </w:r>
      <w:r w:rsidR="00BC34A4">
        <w:rPr>
          <w:lang w:val="en-US"/>
        </w:rPr>
        <w:t>as i</w:t>
      </w:r>
      <w:r>
        <w:rPr>
          <w:lang w:val="en-US"/>
        </w:rPr>
        <w:t xml:space="preserve">nherent in the pursuit of knowledge, while still valuing the foundations of empirical evidence and systematic investigation. </w:t>
      </w:r>
      <w:r w:rsidR="000D16E3">
        <w:rPr>
          <w:lang w:val="en-US"/>
        </w:rPr>
        <w:t xml:space="preserve">Rather than pursuing objectivism (insinuating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In a Data Feminism framework, this is </w:t>
      </w:r>
      <w:r w:rsidR="000D16E3">
        <w:rPr>
          <w:lang w:val="en-US"/>
        </w:rPr>
        <w:t xml:space="preserve">desirable. </w:t>
      </w:r>
      <w:r w:rsidR="00BC34A4">
        <w:rPr>
          <w:lang w:val="en-US"/>
        </w:rPr>
        <w:t xml:space="preserve">This does not mean </w:t>
      </w:r>
      <w:r>
        <w:rPr>
          <w:lang w:val="en-US"/>
        </w:rPr>
        <w:t xml:space="preserve">all perspectives are equally valid, or that there are no objective truths. </w:t>
      </w:r>
      <w:r w:rsidR="00BC34A4">
        <w:rPr>
          <w:lang w:val="en-US"/>
        </w:rPr>
        <w:t xml:space="preserve">Rather, </w:t>
      </w:r>
      <w:r>
        <w:rPr>
          <w:lang w:val="en-US"/>
        </w:rPr>
        <w:t>this mentality opens us up to diverse perspectives and leads to productive conservations</w:t>
      </w:r>
      <w:r w:rsidR="000D16E3">
        <w:rPr>
          <w:lang w:val="en-US"/>
        </w:rPr>
        <w:t>, particularly</w:t>
      </w:r>
      <w:r>
        <w:rPr>
          <w:lang w:val="en-US"/>
        </w:rPr>
        <w:t xml:space="preserve"> in </w:t>
      </w:r>
      <w:r w:rsidR="00BC34A4">
        <w:rPr>
          <w:lang w:val="en-US"/>
        </w:rPr>
        <w:t xml:space="preserve">applied fields such as </w:t>
      </w:r>
      <w:r>
        <w:rPr>
          <w:lang w:val="en-US"/>
        </w:rPr>
        <w:t>agricultur</w:t>
      </w:r>
      <w:r w:rsidR="00BC34A4">
        <w:rPr>
          <w:lang w:val="en-US"/>
        </w:rPr>
        <w:t>al research</w:t>
      </w:r>
      <w:r>
        <w:rPr>
          <w:lang w:val="en-US"/>
        </w:rPr>
        <w:t xml:space="preserve">. </w:t>
      </w:r>
    </w:p>
    <w:p w14:paraId="37748B00" w14:textId="77777777" w:rsidR="000D16E3" w:rsidRDefault="000D16E3" w:rsidP="000D16E3">
      <w:pPr>
        <w:pStyle w:val="Heading2"/>
        <w:rPr>
          <w:lang w:val="en-US"/>
        </w:rPr>
      </w:pPr>
      <w:r>
        <w:rPr>
          <w:lang w:val="en-US"/>
        </w:rPr>
        <w:t>Coexistance of multiple truths</w:t>
      </w:r>
    </w:p>
    <w:p w14:paraId="4DF5373A" w14:textId="410CE722" w:rsidR="000D16E3" w:rsidRDefault="00FF710E" w:rsidP="00FB3F65">
      <w:pPr>
        <w:rPr>
          <w:lang w:val="en-US"/>
        </w:rPr>
      </w:pPr>
      <w:r>
        <w:rPr>
          <w:lang w:val="en-US"/>
        </w:rPr>
        <w:t xml:space="preserve">A book written to illustrate how underlying value systems shape individuals’ perspectives on solutions to complex global challenges unwittingly uses agricultural research as its backdrop. ‘The Wizard and the Prophet’ (CITE)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p>
    <w:p w14:paraId="6C688FE7" w14:textId="77777777" w:rsidR="000D16E3" w:rsidRDefault="000D16E3" w:rsidP="00FB3F65">
      <w:pPr>
        <w:rPr>
          <w:lang w:val="en-US"/>
        </w:rPr>
      </w:pPr>
    </w:p>
    <w:p w14:paraId="1A554658" w14:textId="41414537" w:rsidR="00FB3F65" w:rsidRDefault="009859E5" w:rsidP="00FB3F65">
      <w:pPr>
        <w:rPr>
          <w:lang w:val="en-US"/>
        </w:rPr>
      </w:pPr>
      <w:r>
        <w:rPr>
          <w:lang w:val="en-US"/>
        </w:rPr>
        <w:t xml:space="preserve">Borlaug, raised on a Midwestern US farm, experienced the rural transformation accompanying the introduction of tractors. He is portrayed as the </w:t>
      </w:r>
      <w:r w:rsidR="000816CA" w:rsidRPr="009859E5">
        <w:rPr>
          <w:i/>
          <w:iCs/>
          <w:lang w:val="en-US"/>
        </w:rPr>
        <w:t>wizard</w:t>
      </w:r>
      <w:r w:rsidR="000816CA">
        <w:rPr>
          <w:lang w:val="en-US"/>
        </w:rPr>
        <w:t>, embodying a technocentric worldview th</w:t>
      </w:r>
      <w:r>
        <w:rPr>
          <w:lang w:val="en-US"/>
        </w:rPr>
        <w:t>at</w:t>
      </w:r>
      <w:r w:rsidR="000816CA">
        <w:rPr>
          <w:lang w:val="en-US"/>
        </w:rPr>
        <w:t xml:space="preserve"> prioritizes technological innovation and human ingenuity as the means to address global issues.</w:t>
      </w:r>
      <w:r w:rsidR="00725FDB">
        <w:rPr>
          <w:lang w:val="en-US"/>
        </w:rPr>
        <w:t xml:space="preserve"> Vogt began his life in a rural area surrounded by unbuilt environments, but moved to the city and witnessed the urban development of his place of birth. Vogt is portrayed as a </w:t>
      </w:r>
      <w:r w:rsidR="00725FDB" w:rsidRPr="009859E5">
        <w:rPr>
          <w:i/>
          <w:iCs/>
          <w:lang w:val="en-US"/>
        </w:rPr>
        <w:t>prophet</w:t>
      </w:r>
      <w:r w:rsidR="00725FDB">
        <w:rPr>
          <w:lang w:val="en-US"/>
        </w:rPr>
        <w:t>, emphasizing the need to live within ecological limits.</w:t>
      </w:r>
      <w:r>
        <w:rPr>
          <w:lang w:val="en-US"/>
        </w:rPr>
        <w:t xml:space="preserve"> </w:t>
      </w:r>
      <w:r w:rsidR="00725FDB">
        <w:rPr>
          <w:lang w:val="en-US"/>
        </w:rPr>
        <w:t>Borlaug</w:t>
      </w:r>
      <w:r>
        <w:rPr>
          <w:lang w:val="en-US"/>
        </w:rPr>
        <w:t>, the wizard,</w:t>
      </w:r>
      <w:r w:rsidR="00725FDB">
        <w:rPr>
          <w:lang w:val="en-US"/>
        </w:rPr>
        <w:t xml:space="preserve"> researched ways to leverage technology to intensify agricultural practices </w:t>
      </w:r>
      <w:r>
        <w:rPr>
          <w:lang w:val="en-US"/>
        </w:rPr>
        <w:t>to</w:t>
      </w:r>
      <w:r w:rsidR="00725FDB">
        <w:rPr>
          <w:lang w:val="en-US"/>
        </w:rPr>
        <w:t xml:space="preserve"> increase food production, an effort that contributed to a larger collection of innovations referred to as ‘the Green Revolution’ and for which Borlaug won a Nobel Peace Prize (CITE). Vogt used science to formally develop the idea of </w:t>
      </w:r>
      <w:r>
        <w:rPr>
          <w:lang w:val="en-US"/>
        </w:rPr>
        <w:t xml:space="preserve">ecological </w:t>
      </w:r>
      <w:r w:rsidR="00725FDB">
        <w:rPr>
          <w:lang w:val="en-US"/>
        </w:rPr>
        <w:t>carrying-capacity</w:t>
      </w:r>
      <w:r w:rsidR="00CA747F">
        <w:rPr>
          <w:lang w:val="en-US"/>
        </w:rPr>
        <w:t xml:space="preserve"> (CITE)</w:t>
      </w:r>
      <w:r>
        <w:rPr>
          <w:lang w:val="en-US"/>
        </w:rPr>
        <w:t xml:space="preserve"> and </w:t>
      </w:r>
      <w:r w:rsidR="00725FDB">
        <w:rPr>
          <w:lang w:val="en-US"/>
        </w:rPr>
        <w:t>advocated for limiting population growth rather than increasing food production</w:t>
      </w:r>
      <w:r w:rsidR="00CA747F">
        <w:rPr>
          <w:lang w:val="en-US"/>
        </w:rPr>
        <w:t xml:space="preserve">, </w:t>
      </w:r>
      <w:r>
        <w:rPr>
          <w:lang w:val="en-US"/>
        </w:rPr>
        <w:t>d</w:t>
      </w:r>
      <w:r w:rsidR="00CA747F">
        <w:rPr>
          <w:lang w:val="en-US"/>
        </w:rPr>
        <w:t>evelop</w:t>
      </w:r>
      <w:r>
        <w:rPr>
          <w:lang w:val="en-US"/>
        </w:rPr>
        <w:t>ing</w:t>
      </w:r>
      <w:r w:rsidR="00CA747F">
        <w:rPr>
          <w:lang w:val="en-US"/>
        </w:rPr>
        <w:t xml:space="preserve"> a model for environmental activism that is still used today.</w:t>
      </w:r>
      <w:r w:rsidR="00197361">
        <w:rPr>
          <w:lang w:val="en-US"/>
        </w:rPr>
        <w:t xml:space="preserve"> </w:t>
      </w:r>
      <w:r w:rsidR="00836245">
        <w:rPr>
          <w:lang w:val="en-US"/>
        </w:rPr>
        <w:t xml:space="preserve">Borlaug and Vogt </w:t>
      </w:r>
      <w:r>
        <w:rPr>
          <w:lang w:val="en-US"/>
        </w:rPr>
        <w:t xml:space="preserve">were both excellent scientists, </w:t>
      </w:r>
      <w:r w:rsidR="000D16E3">
        <w:rPr>
          <w:lang w:val="en-US"/>
        </w:rPr>
        <w:t>but</w:t>
      </w:r>
      <w:r w:rsidR="009A141C">
        <w:rPr>
          <w:lang w:val="en-US"/>
        </w:rPr>
        <w:t xml:space="preserve"> </w:t>
      </w:r>
      <w:r>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2D3312C8" w14:textId="77777777" w:rsidR="009859E5" w:rsidRDefault="009859E5" w:rsidP="00FB3F65">
      <w:pPr>
        <w:rPr>
          <w:lang w:val="en-US"/>
        </w:rPr>
      </w:pPr>
    </w:p>
    <w:p w14:paraId="4319A78B" w14:textId="79597033" w:rsidR="009859E5" w:rsidRDefault="009859E5" w:rsidP="009859E5">
      <w:pPr>
        <w:rPr>
          <w:lang w:val="en-US"/>
        </w:rPr>
      </w:pPr>
      <w:r>
        <w:rPr>
          <w:lang w:val="en-US"/>
        </w:rPr>
        <w:t xml:space="preserve">Examining how a particular set of values can influence scientific outcomes produces productive </w:t>
      </w:r>
      <w:proofErr w:type="gramStart"/>
      <w:r>
        <w:rPr>
          <w:lang w:val="en-US"/>
        </w:rPr>
        <w:t>conversations, and</w:t>
      </w:r>
      <w:proofErr w:type="gramEnd"/>
      <w:r>
        <w:rPr>
          <w:lang w:val="en-US"/>
        </w:rPr>
        <w:t xml:space="preserve"> can expose new lines of inquiry. For example, recent research has explicitly analyzed how various framings dictate weed management goals, exposing novel research questions that emerge only when </w:t>
      </w:r>
      <w:r w:rsidR="00411E3A">
        <w:rPr>
          <w:lang w:val="en-US"/>
        </w:rPr>
        <w:t>all</w:t>
      </w:r>
      <w:r>
        <w:rPr>
          <w:lang w:val="en-US"/>
        </w:rPr>
        <w:t xml:space="preserve"> framings are taken seriously (</w:t>
      </w:r>
      <w:proofErr w:type="spellStart"/>
      <w:r>
        <w:rPr>
          <w:lang w:val="en-US"/>
        </w:rPr>
        <w:t>MacLaren</w:t>
      </w:r>
      <w:proofErr w:type="spellEnd"/>
      <w:r>
        <w:rPr>
          <w:lang w:val="en-US"/>
        </w:rPr>
        <w:t xml:space="preserve"> et al 2020; Weisberger et al. 2024). Comparative analyses, article responses, and commentaries are also avenues for productively exploring what analytical decisions are made, what may have motivated those decisions, and how they impact conclusions. Complex agricultural topics such as herbicide use (Kniss), climate impacts of ethanol production (</w:t>
      </w:r>
      <w:r w:rsidR="00411E3A">
        <w:rPr>
          <w:lang w:val="en-US"/>
        </w:rPr>
        <w:t xml:space="preserve">XX, XX, </w:t>
      </w:r>
      <w:r>
        <w:rPr>
          <w:lang w:val="en-US"/>
        </w:rPr>
        <w:t xml:space="preserve">Hill 2022), </w:t>
      </w:r>
      <w:r w:rsidR="00411E3A">
        <w:rPr>
          <w:lang w:val="en-US"/>
        </w:rPr>
        <w:t xml:space="preserve">and </w:t>
      </w:r>
      <w:r>
        <w:rPr>
          <w:lang w:val="en-US"/>
        </w:rPr>
        <w:t>organic agriculture (</w:t>
      </w:r>
      <w:proofErr w:type="spellStart"/>
      <w:r>
        <w:rPr>
          <w:lang w:val="en-US"/>
        </w:rPr>
        <w:t>Wilbois</w:t>
      </w:r>
      <w:proofErr w:type="spellEnd"/>
      <w:r>
        <w:rPr>
          <w:lang w:val="en-US"/>
        </w:rPr>
        <w:t xml:space="preserve"> 2019; Swedish organic reviewer paper) have benefited from dissecting how </w:t>
      </w:r>
      <w:r w:rsidR="00411E3A">
        <w:rPr>
          <w:lang w:val="en-US"/>
        </w:rPr>
        <w:t xml:space="preserve">XX </w:t>
      </w:r>
      <w:r>
        <w:rPr>
          <w:lang w:val="en-US"/>
        </w:rPr>
        <w:t xml:space="preserve">framings </w:t>
      </w:r>
      <w:r w:rsidR="00411E3A">
        <w:rPr>
          <w:lang w:val="en-US"/>
        </w:rPr>
        <w:t>can</w:t>
      </w:r>
      <w:r>
        <w:rPr>
          <w:lang w:val="en-US"/>
        </w:rPr>
        <w:t xml:space="preserve"> </w:t>
      </w:r>
      <w:r w:rsidR="00411E3A">
        <w:rPr>
          <w:lang w:val="en-US"/>
        </w:rPr>
        <w:t xml:space="preserve">influence </w:t>
      </w:r>
      <w:r>
        <w:rPr>
          <w:lang w:val="en-US"/>
        </w:rPr>
        <w:t>data analys</w:t>
      </w:r>
      <w:r w:rsidR="00411E3A">
        <w:rPr>
          <w:lang w:val="en-US"/>
        </w:rPr>
        <w:t>e</w:t>
      </w:r>
      <w:r>
        <w:rPr>
          <w:lang w:val="en-US"/>
        </w:rPr>
        <w:t xml:space="preserve">s choices. </w:t>
      </w:r>
    </w:p>
    <w:p w14:paraId="6FB9B9CC" w14:textId="77777777" w:rsidR="009859E5" w:rsidRDefault="009859E5" w:rsidP="00FB3F65">
      <w:pPr>
        <w:rPr>
          <w:lang w:val="en-US"/>
        </w:rPr>
      </w:pPr>
    </w:p>
    <w:p w14:paraId="12B02B4D" w14:textId="54785B42" w:rsidR="00836245" w:rsidRDefault="00836245" w:rsidP="00FF710E">
      <w:pPr>
        <w:rPr>
          <w:lang w:val="en-US"/>
        </w:rPr>
      </w:pPr>
    </w:p>
    <w:p w14:paraId="1FF78FBF" w14:textId="77777777" w:rsidR="000D16E3" w:rsidRDefault="000D16E3" w:rsidP="000D16E3">
      <w:pPr>
        <w:pStyle w:val="Heading2"/>
        <w:rPr>
          <w:lang w:val="en-US"/>
        </w:rPr>
      </w:pPr>
      <w:r>
        <w:rPr>
          <w:lang w:val="en-US"/>
        </w:rPr>
        <w:t xml:space="preserve">Diverse framings are a </w:t>
      </w:r>
      <w:proofErr w:type="gramStart"/>
      <w:r>
        <w:rPr>
          <w:lang w:val="en-US"/>
        </w:rPr>
        <w:t>strength</w:t>
      </w:r>
      <w:proofErr w:type="gramEnd"/>
    </w:p>
    <w:p w14:paraId="080121B9" w14:textId="676B4B01" w:rsidR="00FB3F65" w:rsidRDefault="009A141C" w:rsidP="00FB3F65">
      <w:pPr>
        <w:rPr>
          <w:lang w:val="en-US"/>
        </w:rPr>
      </w:pPr>
      <w:r>
        <w:rPr>
          <w:lang w:val="en-US"/>
        </w:rPr>
        <w:t xml:space="preserve">In the context of policy making, the acknowledgement of </w:t>
      </w:r>
      <w:r w:rsidR="009859E5">
        <w:rPr>
          <w:lang w:val="en-US"/>
        </w:rPr>
        <w:t xml:space="preserve">multiple truths, </w:t>
      </w:r>
      <w:r>
        <w:rPr>
          <w:lang w:val="en-US"/>
        </w:rPr>
        <w:t xml:space="preserve">such as the coexistence of abundance and starvation, is understood </w:t>
      </w:r>
      <w:r w:rsidR="00197361">
        <w:rPr>
          <w:lang w:val="en-US"/>
        </w:rPr>
        <w:t xml:space="preserve">as an inherent complexity in </w:t>
      </w:r>
      <w:r>
        <w:rPr>
          <w:lang w:val="en-US"/>
        </w:rPr>
        <w:t xml:space="preserve">addressing multi-faceted issues (Stone 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w:t>
      </w:r>
      <w:r w:rsidR="00411E3A">
        <w:rPr>
          <w:lang w:val="en-US"/>
        </w:rPr>
        <w:t>Scientists who acknowledge and navigate the existence of multiple truths are better equipped to provide solutions that do not preferentially disadvantage vulnerable groups (Jordan about world views paper). A</w:t>
      </w:r>
      <w:r w:rsidR="00FB3F65">
        <w:rPr>
          <w:lang w:val="en-US"/>
        </w:rPr>
        <w:t xml:space="preserve">lthough the worldviews of </w:t>
      </w:r>
      <w:r w:rsidR="00411E3A">
        <w:rPr>
          <w:lang w:val="en-US"/>
        </w:rPr>
        <w:t xml:space="preserve">Borlaug and Vogt </w:t>
      </w:r>
      <w:r w:rsidR="00FB3F65">
        <w:rPr>
          <w:lang w:val="en-US"/>
        </w:rPr>
        <w:t xml:space="preserve">are divergent, they represent two American males of European descent as written by an American male of European descent. This demonstrates how even classical delineations such as race and gender portend very little in regard to value </w:t>
      </w:r>
      <w:proofErr w:type="gramStart"/>
      <w:r w:rsidR="00FB3F65">
        <w:rPr>
          <w:lang w:val="en-US"/>
        </w:rPr>
        <w:t>systems, and</w:t>
      </w:r>
      <w:proofErr w:type="gramEnd"/>
      <w:r w:rsidR="00FB3F65">
        <w:rPr>
          <w:lang w:val="en-US"/>
        </w:rPr>
        <w:t xml:space="preserve"> lends us to imagine the insight that would be gained from adding more framings. </w:t>
      </w:r>
      <w:r w:rsidR="009A0D1A">
        <w:rPr>
          <w:lang w:val="en-US"/>
        </w:rPr>
        <w:t xml:space="preserve">Today, an increasing availability of diversely framed reflections concerning the Green Revolution have led to significantly more nuanced understandings of the motivations, impacts, and XX of the Green Revolution (PBS series, </w:t>
      </w:r>
      <w:r w:rsidR="00FB3F65" w:rsidRPr="004B3A0C">
        <w:rPr>
          <w:lang w:val="en-US"/>
        </w:rPr>
        <w:t>https://www.pbs.org/wgbh/americanexperience/films/man-who-tried-to-feed-the-world/</w:t>
      </w:r>
    </w:p>
    <w:p w14:paraId="79FB1BAA" w14:textId="53B232BF" w:rsidR="002D5221" w:rsidRDefault="009A0D1A" w:rsidP="002D5221">
      <w:pPr>
        <w:rPr>
          <w:lang w:val="en-US"/>
        </w:rPr>
      </w:pPr>
      <w:r>
        <w:rPr>
          <w:lang w:val="en-US"/>
        </w:rPr>
        <w:t xml:space="preserve">others). As calls for a ‘second Green Revolution’ proliferate (XX), </w:t>
      </w:r>
      <w:r w:rsidR="002D5221">
        <w:rPr>
          <w:lang w:val="en-US"/>
        </w:rPr>
        <w:t xml:space="preserve">the ability of society to </w:t>
      </w:r>
      <w:r w:rsidR="00FB3F65">
        <w:rPr>
          <w:lang w:val="en-US"/>
        </w:rPr>
        <w:t>leverage</w:t>
      </w:r>
      <w:r w:rsidR="002D5221">
        <w:rPr>
          <w:lang w:val="en-US"/>
        </w:rPr>
        <w:t xml:space="preserve"> </w:t>
      </w:r>
      <w:r>
        <w:rPr>
          <w:lang w:val="en-US"/>
        </w:rPr>
        <w:t>diverse voices will be a great asset.</w:t>
      </w:r>
      <w:r w:rsidR="002D5221" w:rsidRPr="002D5221">
        <w:rPr>
          <w:lang w:val="en-US"/>
        </w:rPr>
        <w:t xml:space="preserve"> </w:t>
      </w:r>
      <w:r w:rsidR="002D5221">
        <w:rPr>
          <w:lang w:val="en-US"/>
        </w:rPr>
        <w:t xml:space="preserve">S </w:t>
      </w:r>
    </w:p>
    <w:p w14:paraId="4E6BB40E" w14:textId="41611609" w:rsidR="009A0D1A" w:rsidRDefault="009A0D1A" w:rsidP="009A141C">
      <w:pPr>
        <w:rPr>
          <w:lang w:val="en-US"/>
        </w:rPr>
      </w:pPr>
      <w:r>
        <w:rPr>
          <w:lang w:val="en-US"/>
        </w:rPr>
        <w:t xml:space="preserve"> </w:t>
      </w:r>
    </w:p>
    <w:p w14:paraId="7FC48BCD" w14:textId="77777777" w:rsidR="00873FDC" w:rsidRDefault="00873FDC" w:rsidP="009A141C">
      <w:pPr>
        <w:rPr>
          <w:lang w:val="en-US"/>
        </w:rPr>
      </w:pPr>
    </w:p>
    <w:p w14:paraId="258909FC" w14:textId="599B7E66" w:rsidR="008A169F" w:rsidRDefault="008A169F" w:rsidP="008A169F">
      <w:pPr>
        <w:pStyle w:val="Heading1"/>
        <w:rPr>
          <w:lang w:val="en-US"/>
        </w:rPr>
      </w:pPr>
      <w:r>
        <w:rPr>
          <w:lang w:val="en-US"/>
        </w:rPr>
        <w:t>Conclusions</w:t>
      </w:r>
    </w:p>
    <w:p w14:paraId="6577F78A" w14:textId="323262F9" w:rsidR="008A169F" w:rsidRDefault="008A169F" w:rsidP="008A169F">
      <w:pPr>
        <w:rPr>
          <w:lang w:val="en-US"/>
        </w:rPr>
      </w:pPr>
      <w:r>
        <w:rPr>
          <w:lang w:val="en-US"/>
        </w:rPr>
        <w:t>In this paper</w:t>
      </w:r>
      <w:r w:rsidR="00C65676">
        <w:rPr>
          <w:lang w:val="en-US"/>
        </w:rPr>
        <w:t xml:space="preserve">, using the principles of data feminism as our guide, </w:t>
      </w:r>
      <w:r>
        <w:rPr>
          <w:lang w:val="en-US"/>
        </w:rPr>
        <w:t xml:space="preserve">we demonstrate how (1) </w:t>
      </w:r>
      <w:r w:rsidR="00C65676">
        <w:rPr>
          <w:lang w:val="en-US"/>
        </w:rPr>
        <w:t xml:space="preserve">agricultural scientists can uniquely contribute to </w:t>
      </w:r>
      <w:r>
        <w:rPr>
          <w:lang w:val="en-US"/>
        </w:rPr>
        <w:t>examining and challenging power</w:t>
      </w:r>
      <w:r w:rsidR="00C65676">
        <w:rPr>
          <w:lang w:val="en-US"/>
        </w:rPr>
        <w:t xml:space="preserve"> through technical audits</w:t>
      </w:r>
      <w:r w:rsidR="0020544A">
        <w:rPr>
          <w:lang w:val="en-US"/>
        </w:rPr>
        <w:t>,</w:t>
      </w:r>
      <w:r w:rsidR="00C65676">
        <w:rPr>
          <w:lang w:val="en-US"/>
        </w:rPr>
        <w:t xml:space="preserve"> serving and listening to the needs of the minoritized, </w:t>
      </w:r>
      <w:r w:rsidR="0020544A">
        <w:rPr>
          <w:lang w:val="en-US"/>
        </w:rPr>
        <w:t xml:space="preserve">and embracing multiple ways of knowing, </w:t>
      </w:r>
      <w:r>
        <w:rPr>
          <w:lang w:val="en-US"/>
        </w:rPr>
        <w:t>(2)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sidR="0020544A">
        <w:rPr>
          <w:lang w:val="en-US"/>
        </w:rPr>
        <w:t>,</w:t>
      </w:r>
      <w:r>
        <w:rPr>
          <w:lang w:val="en-US"/>
        </w:rPr>
        <w:t xml:space="preserve"> and (3) embracing framing as a</w:t>
      </w:r>
      <w:r w:rsidR="00C65676">
        <w:rPr>
          <w:lang w:val="en-US"/>
        </w:rPr>
        <w:t>n inevitable and</w:t>
      </w:r>
      <w:r>
        <w:rPr>
          <w:lang w:val="en-US"/>
        </w:rPr>
        <w:t xml:space="preserve"> positive attribute leads to more transparent, </w:t>
      </w:r>
      <w:r w:rsidR="00C65676">
        <w:rPr>
          <w:lang w:val="en-US"/>
        </w:rPr>
        <w:t>creative, and effective research</w:t>
      </w:r>
      <w:r>
        <w:rPr>
          <w:lang w:val="en-US"/>
        </w:rPr>
        <w:t>.</w:t>
      </w:r>
      <w:r w:rsidR="00725DC3">
        <w:rPr>
          <w:lang w:val="en-US"/>
        </w:rPr>
        <w:t xml:space="preserve"> </w:t>
      </w:r>
      <w:r w:rsidR="0020544A">
        <w:rPr>
          <w:lang w:val="en-US"/>
        </w:rPr>
        <w:t xml:space="preserve">SOMETHING MORE. </w:t>
      </w:r>
    </w:p>
    <w:p w14:paraId="57CFD560" w14:textId="77777777" w:rsidR="004918CE" w:rsidRDefault="004918CE" w:rsidP="008A169F">
      <w:pPr>
        <w:rPr>
          <w:lang w:val="en-US"/>
        </w:rPr>
      </w:pPr>
    </w:p>
    <w:p w14:paraId="502A1BB3" w14:textId="03E3F01D" w:rsidR="004918CE" w:rsidRDefault="004918CE" w:rsidP="008A169F">
      <w:pPr>
        <w:rPr>
          <w:lang w:val="en-US"/>
        </w:rPr>
      </w:pPr>
      <w:r>
        <w:rPr>
          <w:lang w:val="en-US"/>
        </w:rPr>
        <w:t xml:space="preserve">As agricultural scientists, we found the principles helpful in guiding our own </w:t>
      </w:r>
      <w:proofErr w:type="gramStart"/>
      <w:r>
        <w:rPr>
          <w:lang w:val="en-US"/>
        </w:rPr>
        <w:t>work</w:t>
      </w:r>
      <w:r>
        <w:rPr>
          <w:lang w:val="en-US"/>
        </w:rPr>
        <w:t>, and</w:t>
      </w:r>
      <w:proofErr w:type="gramEnd"/>
      <w:r>
        <w:rPr>
          <w:lang w:val="en-US"/>
        </w:rPr>
        <w:t xml:space="preserve"> hope to support our fellow agricultural researchers in intentionally incorporating Data Feminism into their work. </w:t>
      </w:r>
    </w:p>
    <w:p w14:paraId="38CD6FE7" w14:textId="77777777" w:rsidR="00F74EB8" w:rsidRDefault="00F74EB8" w:rsidP="008A169F">
      <w:pPr>
        <w:rPr>
          <w:lang w:val="en-US"/>
        </w:rPr>
      </w:pPr>
    </w:p>
    <w:p w14:paraId="29C90698" w14:textId="77777777" w:rsidR="005E13CB" w:rsidRDefault="005E13CB" w:rsidP="008A169F">
      <w:pPr>
        <w:rPr>
          <w:lang w:val="en-US"/>
        </w:rPr>
      </w:pPr>
    </w:p>
    <w:p w14:paraId="70364622" w14:textId="77777777" w:rsidR="005E13CB" w:rsidRPr="008A169F" w:rsidRDefault="005E13CB" w:rsidP="008A169F">
      <w:pPr>
        <w:rPr>
          <w:lang w:val="en-US"/>
        </w:rPr>
      </w:pPr>
    </w:p>
    <w:sectPr w:rsidR="005E13CB"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 Basche" w:date="2024-05-17T07:34:00Z" w:initials="AB">
    <w:p w14:paraId="4E59033F" w14:textId="77777777" w:rsidR="00ED49D1" w:rsidRDefault="00ED49D1" w:rsidP="00ED49D1">
      <w:pPr>
        <w:pStyle w:val="CommentText"/>
      </w:pPr>
      <w:r>
        <w:rPr>
          <w:rStyle w:val="CommentReference"/>
        </w:rPr>
        <w:annotationRef/>
      </w:r>
      <w:r>
        <w:t>Their “Toward Thick Legitimacy” article would be a good one here!</w:t>
      </w:r>
    </w:p>
  </w:comment>
  <w:comment w:id="1"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1"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2" w:history="1">
        <w:r w:rsidRPr="00A97A39">
          <w:rPr>
            <w:rStyle w:val="Hyperlink"/>
          </w:rPr>
          <w:t>https://practicalfarmers.org/wp-content/uploads/2024/03/PFI2023_AnnualReport_FINAL_forWeb.pdf</w:t>
        </w:r>
      </w:hyperlink>
    </w:p>
  </w:comment>
  <w:comment w:id="2"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3" w:history="1">
        <w:r w:rsidR="00C10AAB" w:rsidRPr="00966448">
          <w:rPr>
            <w:rStyle w:val="Hyperlink"/>
          </w:rPr>
          <w:t>https://practicalfarmers.sjc1.qualtrics.com/jfe/form/SV_5hDH70vGo25TiqW</w:t>
        </w:r>
      </w:hyperlink>
      <w:r w:rsidR="00C10AA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9033F" w15:done="0"/>
  <w15:commentEx w15:paraId="710FC727" w15:done="0"/>
  <w15:commentEx w15:paraId="625DC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E267F3" w16cex:dateUtc="2024-05-17T12:34:00Z"/>
  <w16cex:commentExtensible w16cex:durableId="4B44D828" w16cex:dateUtc="2024-05-14T20:51:00Z"/>
  <w16cex:commentExtensible w16cex:durableId="6AB83BF0" w16cex:dateUtc="2024-05-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9033F" w16cid:durableId="05E267F3"/>
  <w16cid:commentId w16cid:paraId="710FC727" w16cid:durableId="4B44D828"/>
  <w16cid:commentId w16cid:paraId="625DC56C" w16cid:durableId="6AB83B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69A3"/>
    <w:rsid w:val="00042475"/>
    <w:rsid w:val="000513B4"/>
    <w:rsid w:val="0005346B"/>
    <w:rsid w:val="000572BC"/>
    <w:rsid w:val="00061D65"/>
    <w:rsid w:val="00063703"/>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C7806"/>
    <w:rsid w:val="000D16E3"/>
    <w:rsid w:val="000D284F"/>
    <w:rsid w:val="000D30DE"/>
    <w:rsid w:val="000E1579"/>
    <w:rsid w:val="000E7DB5"/>
    <w:rsid w:val="000F1805"/>
    <w:rsid w:val="000F4919"/>
    <w:rsid w:val="000F6AB9"/>
    <w:rsid w:val="00101CF6"/>
    <w:rsid w:val="00121249"/>
    <w:rsid w:val="00123E1A"/>
    <w:rsid w:val="0012423C"/>
    <w:rsid w:val="0013156B"/>
    <w:rsid w:val="00133B7A"/>
    <w:rsid w:val="0014002B"/>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A28DE"/>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90894"/>
    <w:rsid w:val="00392410"/>
    <w:rsid w:val="00394978"/>
    <w:rsid w:val="0039604B"/>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1E3A"/>
    <w:rsid w:val="00414ABC"/>
    <w:rsid w:val="00424324"/>
    <w:rsid w:val="004260D3"/>
    <w:rsid w:val="00445D45"/>
    <w:rsid w:val="00447075"/>
    <w:rsid w:val="00464BD1"/>
    <w:rsid w:val="00474EA2"/>
    <w:rsid w:val="0047685D"/>
    <w:rsid w:val="00476B73"/>
    <w:rsid w:val="00480DEA"/>
    <w:rsid w:val="00481653"/>
    <w:rsid w:val="0049009F"/>
    <w:rsid w:val="004918CE"/>
    <w:rsid w:val="00492609"/>
    <w:rsid w:val="00493163"/>
    <w:rsid w:val="004A02F2"/>
    <w:rsid w:val="004A756B"/>
    <w:rsid w:val="004B186E"/>
    <w:rsid w:val="004B2CA9"/>
    <w:rsid w:val="004B348C"/>
    <w:rsid w:val="004B3A0C"/>
    <w:rsid w:val="004B48DF"/>
    <w:rsid w:val="004D3EAD"/>
    <w:rsid w:val="004D5302"/>
    <w:rsid w:val="004E2394"/>
    <w:rsid w:val="004E2C6B"/>
    <w:rsid w:val="004E66BE"/>
    <w:rsid w:val="004F5CC1"/>
    <w:rsid w:val="004F74BE"/>
    <w:rsid w:val="005005CA"/>
    <w:rsid w:val="00500890"/>
    <w:rsid w:val="00502975"/>
    <w:rsid w:val="00511C53"/>
    <w:rsid w:val="00520667"/>
    <w:rsid w:val="005218F8"/>
    <w:rsid w:val="00526DFC"/>
    <w:rsid w:val="0052735F"/>
    <w:rsid w:val="005303F9"/>
    <w:rsid w:val="005370FC"/>
    <w:rsid w:val="00537C3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3CB"/>
    <w:rsid w:val="005E1D20"/>
    <w:rsid w:val="005E7AAE"/>
    <w:rsid w:val="005F0202"/>
    <w:rsid w:val="005F23AB"/>
    <w:rsid w:val="005F7F3F"/>
    <w:rsid w:val="006002FF"/>
    <w:rsid w:val="006035D7"/>
    <w:rsid w:val="00605270"/>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A3F10"/>
    <w:rsid w:val="006C190F"/>
    <w:rsid w:val="006C5FE3"/>
    <w:rsid w:val="006D11F1"/>
    <w:rsid w:val="006D1C64"/>
    <w:rsid w:val="006D6BA1"/>
    <w:rsid w:val="006D7072"/>
    <w:rsid w:val="006E0DB7"/>
    <w:rsid w:val="006E3048"/>
    <w:rsid w:val="006E637E"/>
    <w:rsid w:val="006E71CD"/>
    <w:rsid w:val="006F4235"/>
    <w:rsid w:val="006F5955"/>
    <w:rsid w:val="00706C0A"/>
    <w:rsid w:val="00707990"/>
    <w:rsid w:val="00710000"/>
    <w:rsid w:val="00711DDD"/>
    <w:rsid w:val="00713AF0"/>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7942"/>
    <w:rsid w:val="00792BE4"/>
    <w:rsid w:val="00793686"/>
    <w:rsid w:val="00794063"/>
    <w:rsid w:val="007A1F5A"/>
    <w:rsid w:val="007A5B68"/>
    <w:rsid w:val="007B36AC"/>
    <w:rsid w:val="007B505D"/>
    <w:rsid w:val="007B5D82"/>
    <w:rsid w:val="007B6D82"/>
    <w:rsid w:val="007C4855"/>
    <w:rsid w:val="007C6517"/>
    <w:rsid w:val="007C69A9"/>
    <w:rsid w:val="007C6F93"/>
    <w:rsid w:val="007D03A3"/>
    <w:rsid w:val="007D1CDD"/>
    <w:rsid w:val="007D2199"/>
    <w:rsid w:val="007D2CD8"/>
    <w:rsid w:val="007D2F62"/>
    <w:rsid w:val="007D347A"/>
    <w:rsid w:val="007E0262"/>
    <w:rsid w:val="007E0B12"/>
    <w:rsid w:val="007E4954"/>
    <w:rsid w:val="007F10CD"/>
    <w:rsid w:val="007F2DD8"/>
    <w:rsid w:val="007F57C7"/>
    <w:rsid w:val="0080198F"/>
    <w:rsid w:val="00803795"/>
    <w:rsid w:val="00804663"/>
    <w:rsid w:val="008063AB"/>
    <w:rsid w:val="00814DDD"/>
    <w:rsid w:val="00821D8B"/>
    <w:rsid w:val="00822A3A"/>
    <w:rsid w:val="0083017C"/>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900F87"/>
    <w:rsid w:val="0090571F"/>
    <w:rsid w:val="00920104"/>
    <w:rsid w:val="009237C8"/>
    <w:rsid w:val="00926CF0"/>
    <w:rsid w:val="0093395F"/>
    <w:rsid w:val="0093543C"/>
    <w:rsid w:val="00935583"/>
    <w:rsid w:val="009442EB"/>
    <w:rsid w:val="00953531"/>
    <w:rsid w:val="00953B32"/>
    <w:rsid w:val="00954393"/>
    <w:rsid w:val="00955CAF"/>
    <w:rsid w:val="00956590"/>
    <w:rsid w:val="00967B5B"/>
    <w:rsid w:val="00967FC4"/>
    <w:rsid w:val="009724E3"/>
    <w:rsid w:val="0097277A"/>
    <w:rsid w:val="00975CB0"/>
    <w:rsid w:val="00980B84"/>
    <w:rsid w:val="00982FF3"/>
    <w:rsid w:val="00983565"/>
    <w:rsid w:val="009859E5"/>
    <w:rsid w:val="009942D5"/>
    <w:rsid w:val="009A0D1A"/>
    <w:rsid w:val="009A141C"/>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69AB"/>
    <w:rsid w:val="00B04EE2"/>
    <w:rsid w:val="00B067E5"/>
    <w:rsid w:val="00B075EE"/>
    <w:rsid w:val="00B11261"/>
    <w:rsid w:val="00B1388B"/>
    <w:rsid w:val="00B156BE"/>
    <w:rsid w:val="00B15954"/>
    <w:rsid w:val="00B16AFD"/>
    <w:rsid w:val="00B22D46"/>
    <w:rsid w:val="00B2392A"/>
    <w:rsid w:val="00B25BC5"/>
    <w:rsid w:val="00B302F8"/>
    <w:rsid w:val="00B3633F"/>
    <w:rsid w:val="00B429F1"/>
    <w:rsid w:val="00B43D1F"/>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5944"/>
    <w:rsid w:val="00C5624E"/>
    <w:rsid w:val="00C65676"/>
    <w:rsid w:val="00C74757"/>
    <w:rsid w:val="00C74DB4"/>
    <w:rsid w:val="00C7679D"/>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10D16"/>
    <w:rsid w:val="00D1122F"/>
    <w:rsid w:val="00D1227D"/>
    <w:rsid w:val="00D13DF3"/>
    <w:rsid w:val="00D16F57"/>
    <w:rsid w:val="00D20C63"/>
    <w:rsid w:val="00D21C70"/>
    <w:rsid w:val="00D21E13"/>
    <w:rsid w:val="00D41E28"/>
    <w:rsid w:val="00D46EFB"/>
    <w:rsid w:val="00D50F2E"/>
    <w:rsid w:val="00D5119E"/>
    <w:rsid w:val="00D56A66"/>
    <w:rsid w:val="00D57AD9"/>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00F5"/>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sjc1.qualtrics.com/jfe/form/SV_5hDH70vGo25TiqW" TargetMode="External"/><Relationship Id="rId2" Type="http://schemas.openxmlformats.org/officeDocument/2006/relationships/hyperlink" Target="https://practicalfarmers.org/wp-content/uploads/2024/03/PFI2023_AnnualReport_FINAL_forWeb.pdf" TargetMode="External"/><Relationship Id="rId1" Type="http://schemas.openxmlformats.org/officeDocument/2006/relationships/hyperlink" Target="https://practicalfarmers.b-cdn.net/wp-content/uploads/2023/07/PFI2022_CooperatorsProgram_Report_FINAL_ForWeb.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8</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5</cp:revision>
  <dcterms:created xsi:type="dcterms:W3CDTF">2024-05-29T08:42:00Z</dcterms:created>
  <dcterms:modified xsi:type="dcterms:W3CDTF">2024-05-30T16:40:00Z</dcterms:modified>
</cp:coreProperties>
</file>