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9554" w14:textId="60DEBD07" w:rsidR="00CA115E" w:rsidRDefault="00CA115E">
      <w:r>
        <w:t>Abstract</w:t>
      </w:r>
    </w:p>
    <w:p w14:paraId="3C899CBE" w14:textId="11CE0B98" w:rsidR="00565A7A" w:rsidRDefault="00CA115E" w:rsidP="00F91F77">
      <w:pPr>
        <w:pStyle w:val="Heading1"/>
      </w:pPr>
      <w:r>
        <w:t>Intro</w:t>
      </w:r>
    </w:p>
    <w:p w14:paraId="289F7C52" w14:textId="5EF5B62F" w:rsidR="00F91F77" w:rsidRDefault="00821BBA" w:rsidP="00F91F77">
      <w:r>
        <w:t xml:space="preserve">The water retention curve is the relationship between the soil water content and the soil water potential. The curve can be used to predict the soil water storage and water supply to plants. </w:t>
      </w:r>
    </w:p>
    <w:p w14:paraId="135B242F" w14:textId="2A87E343" w:rsidR="00821BBA" w:rsidRDefault="00821BBA" w:rsidP="00F91F77"/>
    <w:p w14:paraId="3A26400E" w14:textId="6A240E88" w:rsidR="00821BBA" w:rsidRDefault="00821BBA" w:rsidP="00F91F77">
      <w:r>
        <w:t xml:space="preserve">Potential vs water content. Capillary binding of water at potentials close to 0. As potentials become more and more negative water is bound in small pores (adhesive and osmotic binding). </w:t>
      </w:r>
    </w:p>
    <w:p w14:paraId="044E54FF" w14:textId="4C1F6918" w:rsidR="00821BBA" w:rsidRDefault="00821BBA" w:rsidP="00F91F77"/>
    <w:p w14:paraId="6C0F88DF" w14:textId="17904F20" w:rsidR="00821BBA" w:rsidRPr="00F91F77" w:rsidRDefault="00821BBA" w:rsidP="00F91F77">
      <w:r>
        <w:t xml:space="preserve">Van </w:t>
      </w:r>
      <w:proofErr w:type="spellStart"/>
      <w:r>
        <w:t>Genuchten</w:t>
      </w:r>
      <w:proofErr w:type="spellEnd"/>
      <w:r>
        <w:t xml:space="preserve"> very common</w:t>
      </w:r>
    </w:p>
    <w:p w14:paraId="6DF8777B" w14:textId="77777777" w:rsidR="00F91F77" w:rsidRDefault="00F91F77"/>
    <w:p w14:paraId="0472205C" w14:textId="7B54E32E" w:rsidR="00CA115E" w:rsidRDefault="00CA115E" w:rsidP="009C6151">
      <w:pPr>
        <w:pStyle w:val="Heading1"/>
      </w:pPr>
      <w:r>
        <w:t>M</w:t>
      </w:r>
      <w:r w:rsidR="009C6151">
        <w:t xml:space="preserve">ethods and </w:t>
      </w:r>
      <w:r>
        <w:t>M</w:t>
      </w:r>
      <w:r w:rsidR="009C6151">
        <w:t>aterials</w:t>
      </w:r>
    </w:p>
    <w:p w14:paraId="4EC02215" w14:textId="77777777" w:rsidR="00CA115E" w:rsidRPr="00987A49" w:rsidRDefault="00CA115E" w:rsidP="00CA115E">
      <w:pPr>
        <w:pStyle w:val="Heading2"/>
        <w:spacing w:line="360" w:lineRule="auto"/>
        <w:rPr>
          <w:sz w:val="22"/>
          <w:szCs w:val="22"/>
        </w:rPr>
      </w:pPr>
      <w:r w:rsidRPr="00987A49">
        <w:t>Site descriptions</w:t>
      </w:r>
    </w:p>
    <w:p w14:paraId="0E1588C0" w14:textId="3468E06F" w:rsidR="003321F2" w:rsidRPr="00987A49" w:rsidRDefault="007339EE" w:rsidP="003321F2">
      <w:pPr>
        <w:spacing w:line="360" w:lineRule="auto"/>
        <w:rPr>
          <w:szCs w:val="24"/>
        </w:rPr>
      </w:pPr>
      <w:r>
        <w:rPr>
          <w:szCs w:val="24"/>
        </w:rPr>
        <w:t>Four experiments</w:t>
      </w:r>
      <w:r w:rsidR="00CA115E" w:rsidRPr="00987A49">
        <w:rPr>
          <w:szCs w:val="24"/>
        </w:rPr>
        <w:t xml:space="preserve"> were used for this study (</w:t>
      </w:r>
      <w:r w:rsidR="00CA115E" w:rsidRPr="00987A49">
        <w:rPr>
          <w:b/>
          <w:bCs/>
          <w:szCs w:val="24"/>
        </w:rPr>
        <w:t>Table 1</w:t>
      </w:r>
      <w:r w:rsidR="00CA115E" w:rsidRPr="00987A49">
        <w:rPr>
          <w:szCs w:val="24"/>
        </w:rPr>
        <w:t xml:space="preserve">). </w:t>
      </w:r>
      <w:r w:rsidR="003321F2">
        <w:rPr>
          <w:szCs w:val="24"/>
        </w:rPr>
        <w:t>Each experiment</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in the fall following cash crop harvest and terminated in the spring, and (2) the same rotation without a cover crop. Every trial was arranged in a randomized complete block design with four (West</w:t>
      </w:r>
      <w:r w:rsidR="003321F2">
        <w:rPr>
          <w:szCs w:val="24"/>
        </w:rPr>
        <w:t xml:space="preserve"> and </w:t>
      </w:r>
      <w:r w:rsidR="003321F2" w:rsidRPr="00987A49">
        <w:rPr>
          <w:szCs w:val="24"/>
        </w:rPr>
        <w:t xml:space="preserve">East) or five (Central) replicates. The plots within each trial were managed identically save for the planting of the cover crop in the fall. The exact herbicide and nutrient programs varied by site, reflective of their </w:t>
      </w:r>
      <w:proofErr w:type="gramStart"/>
      <w:r w:rsidR="003321F2" w:rsidRPr="00987A49">
        <w:rPr>
          <w:szCs w:val="24"/>
        </w:rPr>
        <w:t>particular managers</w:t>
      </w:r>
      <w:proofErr w:type="gramEnd"/>
      <w:r w:rsidR="003321F2" w:rsidRPr="00987A49">
        <w:rPr>
          <w:szCs w:val="24"/>
        </w:rPr>
        <w:t xml:space="preserve"> and contexts (</w:t>
      </w:r>
      <w:r w:rsidR="003321F2" w:rsidRPr="00987A49">
        <w:rPr>
          <w:b/>
          <w:bCs/>
          <w:szCs w:val="24"/>
        </w:rPr>
        <w:t>supplementary material</w:t>
      </w:r>
      <w:r w:rsidR="003321F2" w:rsidRPr="00987A49">
        <w:rPr>
          <w:szCs w:val="24"/>
        </w:rPr>
        <w:t xml:space="preserve">). More detailed accounts of agronomic management at the Central site have been published elsewhere </w:t>
      </w:r>
      <w:r w:rsidR="003321F2" w:rsidRPr="00987A49">
        <w:rPr>
          <w:noProof/>
          <w:szCs w:val="24"/>
        </w:rPr>
        <w:t>(Moore et al., 2014)</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 of the trials.</w:t>
      </w:r>
    </w:p>
    <w:tbl>
      <w:tblPr>
        <w:tblW w:w="8860" w:type="dxa"/>
        <w:tblLayout w:type="fixed"/>
        <w:tblLook w:val="04A0" w:firstRow="1" w:lastRow="0" w:firstColumn="1" w:lastColumn="0" w:noHBand="0" w:noVBand="1"/>
      </w:tblPr>
      <w:tblGrid>
        <w:gridCol w:w="1170"/>
        <w:gridCol w:w="900"/>
        <w:gridCol w:w="720"/>
        <w:gridCol w:w="810"/>
        <w:gridCol w:w="990"/>
        <w:gridCol w:w="900"/>
        <w:gridCol w:w="630"/>
        <w:gridCol w:w="630"/>
        <w:gridCol w:w="990"/>
        <w:gridCol w:w="1120"/>
      </w:tblGrid>
      <w:tr w:rsidR="007339EE" w:rsidRPr="00987A49" w14:paraId="6E145200" w14:textId="77777777" w:rsidTr="007339EE">
        <w:trPr>
          <w:trHeight w:val="303"/>
        </w:trPr>
        <w:tc>
          <w:tcPr>
            <w:tcW w:w="1170" w:type="dxa"/>
            <w:vMerge w:val="restart"/>
            <w:tcBorders>
              <w:top w:val="single" w:sz="4" w:space="0" w:color="auto"/>
            </w:tcBorders>
            <w:shd w:val="clear" w:color="auto" w:fill="auto"/>
            <w:vAlign w:val="center"/>
          </w:tcPr>
          <w:p w14:paraId="58DAD7D5" w14:textId="77777777" w:rsidR="007339EE" w:rsidRPr="00987A49" w:rsidRDefault="007339EE" w:rsidP="004947A6">
            <w:pPr>
              <w:spacing w:after="0"/>
              <w:jc w:val="center"/>
              <w:rPr>
                <w:b/>
                <w:sz w:val="20"/>
                <w:szCs w:val="20"/>
              </w:rPr>
            </w:pPr>
            <w:r w:rsidRPr="00987A49">
              <w:rPr>
                <w:b/>
                <w:sz w:val="20"/>
                <w:szCs w:val="20"/>
              </w:rPr>
              <w:t>Longitude Latitude</w:t>
            </w:r>
          </w:p>
        </w:tc>
        <w:tc>
          <w:tcPr>
            <w:tcW w:w="900" w:type="dxa"/>
            <w:vMerge w:val="restart"/>
            <w:tcBorders>
              <w:top w:val="single" w:sz="4" w:space="0" w:color="auto"/>
            </w:tcBorders>
            <w:shd w:val="clear" w:color="auto" w:fill="auto"/>
            <w:vAlign w:val="center"/>
          </w:tcPr>
          <w:p w14:paraId="5E96E709" w14:textId="77777777" w:rsidR="007339EE" w:rsidRPr="00987A49" w:rsidRDefault="007339EE" w:rsidP="004947A6">
            <w:pPr>
              <w:spacing w:after="0"/>
              <w:jc w:val="center"/>
              <w:rPr>
                <w:b/>
                <w:sz w:val="20"/>
                <w:szCs w:val="20"/>
              </w:rPr>
            </w:pPr>
            <w:r w:rsidRPr="00987A49">
              <w:rPr>
                <w:b/>
                <w:sz w:val="20"/>
                <w:szCs w:val="20"/>
              </w:rPr>
              <w:t>Year Started</w:t>
            </w:r>
          </w:p>
        </w:tc>
        <w:tc>
          <w:tcPr>
            <w:tcW w:w="720" w:type="dxa"/>
            <w:vMerge w:val="restart"/>
            <w:tcBorders>
              <w:top w:val="single" w:sz="4" w:space="0" w:color="auto"/>
            </w:tcBorders>
            <w:shd w:val="clear" w:color="auto" w:fill="auto"/>
            <w:vAlign w:val="center"/>
          </w:tcPr>
          <w:p w14:paraId="5E2A2A3F" w14:textId="77777777" w:rsidR="007339EE" w:rsidRPr="00987A49" w:rsidRDefault="007339EE" w:rsidP="004947A6">
            <w:pPr>
              <w:spacing w:after="0"/>
              <w:jc w:val="center"/>
              <w:rPr>
                <w:b/>
                <w:sz w:val="20"/>
                <w:szCs w:val="20"/>
              </w:rPr>
            </w:pPr>
            <w:r w:rsidRPr="00987A49">
              <w:rPr>
                <w:b/>
                <w:sz w:val="20"/>
                <w:szCs w:val="20"/>
              </w:rPr>
              <w:t># of Reps.</w:t>
            </w:r>
          </w:p>
        </w:tc>
        <w:tc>
          <w:tcPr>
            <w:tcW w:w="810" w:type="dxa"/>
            <w:vMerge w:val="restart"/>
            <w:tcBorders>
              <w:top w:val="single" w:sz="4" w:space="0" w:color="auto"/>
            </w:tcBorders>
            <w:shd w:val="clear" w:color="auto" w:fill="auto"/>
            <w:vAlign w:val="center"/>
          </w:tcPr>
          <w:p w14:paraId="12A394E5" w14:textId="77777777" w:rsidR="007339EE" w:rsidRPr="00987A49" w:rsidRDefault="007339EE" w:rsidP="004947A6">
            <w:pPr>
              <w:spacing w:after="0"/>
              <w:jc w:val="center"/>
              <w:rPr>
                <w:b/>
                <w:sz w:val="20"/>
                <w:szCs w:val="20"/>
              </w:rPr>
            </w:pPr>
            <w:r w:rsidRPr="00987A49">
              <w:rPr>
                <w:b/>
                <w:sz w:val="20"/>
                <w:szCs w:val="20"/>
              </w:rPr>
              <w:t>Plot Size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4947A6">
            <w:pPr>
              <w:spacing w:after="0"/>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4947A6">
            <w:pPr>
              <w:spacing w:after="0"/>
              <w:jc w:val="center"/>
              <w:rPr>
                <w:b/>
                <w:sz w:val="20"/>
                <w:szCs w:val="20"/>
              </w:rPr>
            </w:pPr>
            <w:r w:rsidRPr="00987A49">
              <w:rPr>
                <w:b/>
                <w:sz w:val="20"/>
                <w:szCs w:val="20"/>
              </w:rPr>
              <w:t xml:space="preserve">Mean Cover Crop Biomass (Mg </w:t>
            </w:r>
            <w:proofErr w:type="gramStart"/>
            <w:r w:rsidRPr="00987A49">
              <w:rPr>
                <w:b/>
                <w:sz w:val="20"/>
                <w:szCs w:val="20"/>
              </w:rPr>
              <w:t>ha</w:t>
            </w:r>
            <w:r w:rsidRPr="00987A49">
              <w:rPr>
                <w:b/>
                <w:sz w:val="20"/>
                <w:szCs w:val="20"/>
                <w:vertAlign w:val="superscript"/>
              </w:rPr>
              <w:t>-1</w:t>
            </w:r>
            <w:proofErr w:type="gramEnd"/>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4947A6">
            <w:pPr>
              <w:spacing w:after="0"/>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4947A6">
            <w:pPr>
              <w:spacing w:after="0"/>
              <w:jc w:val="center"/>
              <w:rPr>
                <w:b/>
                <w:sz w:val="20"/>
                <w:szCs w:val="20"/>
              </w:rPr>
            </w:pPr>
            <w:r w:rsidRPr="00987A49">
              <w:rPr>
                <w:b/>
                <w:sz w:val="20"/>
                <w:szCs w:val="20"/>
              </w:rPr>
              <w:t>2019 Sampling Date</w:t>
            </w:r>
          </w:p>
        </w:tc>
      </w:tr>
      <w:tr w:rsidR="007339EE" w:rsidRPr="00987A49" w14:paraId="5664BC04" w14:textId="77777777" w:rsidTr="007339EE">
        <w:trPr>
          <w:trHeight w:val="303"/>
        </w:trPr>
        <w:tc>
          <w:tcPr>
            <w:tcW w:w="1170" w:type="dxa"/>
            <w:vMerge/>
            <w:tcBorders>
              <w:bottom w:val="single" w:sz="4" w:space="0" w:color="auto"/>
            </w:tcBorders>
            <w:shd w:val="clear" w:color="auto" w:fill="auto"/>
            <w:vAlign w:val="center"/>
          </w:tcPr>
          <w:p w14:paraId="7674BF6E" w14:textId="77777777" w:rsidR="007339EE" w:rsidRPr="00987A49" w:rsidRDefault="007339EE" w:rsidP="004947A6">
            <w:pPr>
              <w:spacing w:after="0"/>
              <w:jc w:val="center"/>
              <w:rPr>
                <w:sz w:val="20"/>
                <w:szCs w:val="20"/>
              </w:rPr>
            </w:pPr>
          </w:p>
        </w:tc>
        <w:tc>
          <w:tcPr>
            <w:tcW w:w="900" w:type="dxa"/>
            <w:vMerge/>
            <w:tcBorders>
              <w:bottom w:val="single" w:sz="4" w:space="0" w:color="auto"/>
            </w:tcBorders>
            <w:shd w:val="clear" w:color="auto" w:fill="auto"/>
            <w:vAlign w:val="center"/>
          </w:tcPr>
          <w:p w14:paraId="77E0CD1A" w14:textId="77777777" w:rsidR="007339EE" w:rsidRPr="00987A49" w:rsidRDefault="007339EE" w:rsidP="004947A6">
            <w:pPr>
              <w:spacing w:after="0"/>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4947A6">
            <w:pPr>
              <w:spacing w:after="0"/>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4947A6">
            <w:pPr>
              <w:spacing w:after="0"/>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4947A6">
            <w:pPr>
              <w:spacing w:after="0"/>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4947A6">
            <w:pPr>
              <w:spacing w:after="0"/>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4947A6">
            <w:pPr>
              <w:spacing w:after="0"/>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4947A6">
            <w:pPr>
              <w:spacing w:after="0"/>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4947A6">
            <w:pPr>
              <w:spacing w:after="0"/>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4947A6">
            <w:pPr>
              <w:spacing w:after="0"/>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7339EE">
            <w:pPr>
              <w:spacing w:after="0"/>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7339EE">
        <w:trPr>
          <w:trHeight w:val="819"/>
        </w:trPr>
        <w:tc>
          <w:tcPr>
            <w:tcW w:w="1170" w:type="dxa"/>
            <w:shd w:val="clear" w:color="auto" w:fill="auto"/>
            <w:vAlign w:val="center"/>
          </w:tcPr>
          <w:p w14:paraId="40667674" w14:textId="77777777" w:rsidR="007339EE" w:rsidRPr="00987A49" w:rsidRDefault="007339EE" w:rsidP="004947A6">
            <w:pPr>
              <w:spacing w:after="0"/>
              <w:jc w:val="center"/>
              <w:rPr>
                <w:sz w:val="20"/>
                <w:szCs w:val="20"/>
              </w:rPr>
            </w:pPr>
            <w:r w:rsidRPr="00987A49">
              <w:rPr>
                <w:sz w:val="20"/>
                <w:szCs w:val="20"/>
              </w:rPr>
              <w:t>42⁰03’N</w:t>
            </w:r>
          </w:p>
          <w:p w14:paraId="35DB2718" w14:textId="77777777" w:rsidR="007339EE" w:rsidRPr="00987A49" w:rsidRDefault="007339EE" w:rsidP="004947A6">
            <w:pPr>
              <w:spacing w:after="0"/>
              <w:jc w:val="center"/>
              <w:rPr>
                <w:sz w:val="20"/>
                <w:szCs w:val="20"/>
              </w:rPr>
            </w:pPr>
            <w:r w:rsidRPr="00987A49">
              <w:rPr>
                <w:sz w:val="20"/>
                <w:szCs w:val="20"/>
              </w:rPr>
              <w:t>94⁰20’W</w:t>
            </w:r>
          </w:p>
        </w:tc>
        <w:tc>
          <w:tcPr>
            <w:tcW w:w="900" w:type="dxa"/>
            <w:shd w:val="clear" w:color="auto" w:fill="auto"/>
            <w:vAlign w:val="center"/>
          </w:tcPr>
          <w:p w14:paraId="33778D39" w14:textId="77777777" w:rsidR="007339EE" w:rsidRPr="00987A49" w:rsidRDefault="007339EE" w:rsidP="004947A6">
            <w:pPr>
              <w:spacing w:after="0"/>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4947A6">
            <w:pPr>
              <w:spacing w:after="0"/>
              <w:jc w:val="center"/>
              <w:rPr>
                <w:sz w:val="20"/>
                <w:szCs w:val="20"/>
              </w:rPr>
            </w:pPr>
            <w:r w:rsidRPr="00987A49">
              <w:rPr>
                <w:sz w:val="20"/>
                <w:szCs w:val="20"/>
              </w:rPr>
              <w:t>4</w:t>
            </w:r>
          </w:p>
        </w:tc>
        <w:tc>
          <w:tcPr>
            <w:tcW w:w="810" w:type="dxa"/>
            <w:shd w:val="clear" w:color="auto" w:fill="auto"/>
            <w:vAlign w:val="center"/>
          </w:tcPr>
          <w:p w14:paraId="7ECCA8FC" w14:textId="77777777" w:rsidR="007339EE" w:rsidRPr="00987A49" w:rsidRDefault="007339EE" w:rsidP="004947A6">
            <w:pPr>
              <w:spacing w:after="0"/>
              <w:jc w:val="center"/>
              <w:rPr>
                <w:sz w:val="20"/>
                <w:szCs w:val="20"/>
              </w:rPr>
            </w:pPr>
            <w:r w:rsidRPr="00987A49">
              <w:rPr>
                <w:sz w:val="20"/>
                <w:szCs w:val="20"/>
              </w:rPr>
              <w:t>25 x 250 m</w:t>
            </w:r>
          </w:p>
        </w:tc>
        <w:tc>
          <w:tcPr>
            <w:tcW w:w="990" w:type="dxa"/>
            <w:shd w:val="clear" w:color="auto" w:fill="auto"/>
            <w:vAlign w:val="center"/>
          </w:tcPr>
          <w:p w14:paraId="0C7BBB32" w14:textId="77777777" w:rsidR="007339EE" w:rsidRPr="00987A49" w:rsidRDefault="007339EE" w:rsidP="004947A6">
            <w:pPr>
              <w:spacing w:after="0"/>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4947A6">
            <w:pPr>
              <w:spacing w:after="0"/>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4947A6">
            <w:pPr>
              <w:spacing w:after="0"/>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4947A6">
            <w:pPr>
              <w:spacing w:after="0"/>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4947A6">
            <w:pPr>
              <w:spacing w:after="0"/>
              <w:jc w:val="center"/>
              <w:rPr>
                <w:sz w:val="20"/>
                <w:szCs w:val="20"/>
              </w:rPr>
            </w:pPr>
            <w:r w:rsidRPr="00987A49">
              <w:rPr>
                <w:sz w:val="20"/>
                <w:szCs w:val="20"/>
              </w:rPr>
              <w:t>Soybean</w:t>
            </w:r>
          </w:p>
        </w:tc>
        <w:tc>
          <w:tcPr>
            <w:tcW w:w="1120" w:type="dxa"/>
            <w:shd w:val="clear" w:color="auto" w:fill="auto"/>
            <w:vAlign w:val="center"/>
          </w:tcPr>
          <w:p w14:paraId="2284FA78"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17</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7339EE">
            <w:pPr>
              <w:spacing w:after="0"/>
              <w:rPr>
                <w:i/>
                <w:iCs/>
                <w:sz w:val="20"/>
                <w:szCs w:val="20"/>
              </w:rPr>
            </w:pPr>
            <w:proofErr w:type="gramStart"/>
            <w:r w:rsidRPr="007339EE">
              <w:rPr>
                <w:i/>
                <w:iCs/>
                <w:sz w:val="20"/>
                <w:szCs w:val="20"/>
              </w:rPr>
              <w:t>Central</w:t>
            </w:r>
            <w:r w:rsidR="003321F2">
              <w:rPr>
                <w:i/>
                <w:iCs/>
                <w:sz w:val="20"/>
                <w:szCs w:val="20"/>
              </w:rPr>
              <w:t>-s</w:t>
            </w:r>
            <w:r w:rsidRPr="007339EE">
              <w:rPr>
                <w:i/>
                <w:iCs/>
                <w:sz w:val="20"/>
                <w:szCs w:val="20"/>
              </w:rPr>
              <w:t>ilage</w:t>
            </w:r>
            <w:proofErr w:type="gramEnd"/>
            <w:r w:rsidRPr="007339EE">
              <w:rPr>
                <w:i/>
                <w:iCs/>
                <w:sz w:val="20"/>
                <w:szCs w:val="20"/>
              </w:rPr>
              <w:t xml:space="preserve"> (research </w:t>
            </w:r>
            <w:r w:rsidR="003321F2">
              <w:rPr>
                <w:i/>
                <w:iCs/>
                <w:sz w:val="20"/>
                <w:szCs w:val="20"/>
              </w:rPr>
              <w:t>plots</w:t>
            </w:r>
            <w:r w:rsidRPr="007339EE">
              <w:rPr>
                <w:i/>
                <w:iCs/>
                <w:sz w:val="20"/>
                <w:szCs w:val="20"/>
              </w:rPr>
              <w:t>)</w:t>
            </w:r>
          </w:p>
        </w:tc>
      </w:tr>
      <w:tr w:rsidR="007339EE" w:rsidRPr="00987A49" w14:paraId="6EE6130C" w14:textId="77777777" w:rsidTr="007339EE">
        <w:trPr>
          <w:trHeight w:val="752"/>
        </w:trPr>
        <w:tc>
          <w:tcPr>
            <w:tcW w:w="1170" w:type="dxa"/>
            <w:shd w:val="clear" w:color="auto" w:fill="auto"/>
            <w:vAlign w:val="center"/>
          </w:tcPr>
          <w:p w14:paraId="623D15BB" w14:textId="77777777" w:rsidR="007339EE" w:rsidRPr="00987A49" w:rsidRDefault="007339EE" w:rsidP="004947A6">
            <w:pPr>
              <w:spacing w:after="0"/>
              <w:jc w:val="center"/>
              <w:rPr>
                <w:sz w:val="20"/>
                <w:szCs w:val="20"/>
              </w:rPr>
            </w:pPr>
            <w:r w:rsidRPr="00987A49">
              <w:rPr>
                <w:sz w:val="20"/>
                <w:szCs w:val="20"/>
              </w:rPr>
              <w:lastRenderedPageBreak/>
              <w:t>42⁰00’N</w:t>
            </w:r>
          </w:p>
          <w:p w14:paraId="5C779933" w14:textId="77777777" w:rsidR="007339EE" w:rsidRPr="00987A49" w:rsidRDefault="007339EE" w:rsidP="004947A6">
            <w:pPr>
              <w:spacing w:after="0"/>
              <w:jc w:val="center"/>
              <w:rPr>
                <w:sz w:val="20"/>
                <w:szCs w:val="20"/>
              </w:rPr>
            </w:pPr>
            <w:r w:rsidRPr="00987A49">
              <w:rPr>
                <w:sz w:val="20"/>
                <w:szCs w:val="20"/>
              </w:rPr>
              <w:t>94⁰12’W</w:t>
            </w:r>
          </w:p>
        </w:tc>
        <w:tc>
          <w:tcPr>
            <w:tcW w:w="900" w:type="dxa"/>
            <w:shd w:val="clear" w:color="auto" w:fill="auto"/>
            <w:vAlign w:val="center"/>
          </w:tcPr>
          <w:p w14:paraId="733D1370" w14:textId="77777777" w:rsidR="007339EE" w:rsidRPr="00987A49" w:rsidRDefault="007339EE" w:rsidP="004947A6">
            <w:pPr>
              <w:spacing w:after="0"/>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4947A6">
            <w:pPr>
              <w:spacing w:after="0"/>
              <w:jc w:val="center"/>
              <w:rPr>
                <w:sz w:val="20"/>
                <w:szCs w:val="20"/>
              </w:rPr>
            </w:pPr>
            <w:r w:rsidRPr="00987A49">
              <w:rPr>
                <w:sz w:val="20"/>
                <w:szCs w:val="20"/>
              </w:rPr>
              <w:t>5</w:t>
            </w:r>
          </w:p>
        </w:tc>
        <w:tc>
          <w:tcPr>
            <w:tcW w:w="810" w:type="dxa"/>
            <w:shd w:val="clear" w:color="auto" w:fill="auto"/>
            <w:vAlign w:val="center"/>
          </w:tcPr>
          <w:p w14:paraId="1F7D91A5" w14:textId="77777777" w:rsidR="007339EE" w:rsidRPr="00987A49" w:rsidRDefault="007339EE" w:rsidP="004947A6">
            <w:pPr>
              <w:spacing w:after="0"/>
              <w:jc w:val="center"/>
              <w:rPr>
                <w:sz w:val="20"/>
                <w:szCs w:val="20"/>
              </w:rPr>
            </w:pPr>
            <w:r w:rsidRPr="00987A49">
              <w:rPr>
                <w:sz w:val="20"/>
                <w:szCs w:val="20"/>
              </w:rPr>
              <w:t>3.8 x 55 m</w:t>
            </w:r>
          </w:p>
        </w:tc>
        <w:tc>
          <w:tcPr>
            <w:tcW w:w="990" w:type="dxa"/>
            <w:shd w:val="clear" w:color="auto" w:fill="auto"/>
            <w:vAlign w:val="center"/>
          </w:tcPr>
          <w:p w14:paraId="2F493C83" w14:textId="77777777" w:rsidR="007339EE" w:rsidRPr="00987A49" w:rsidRDefault="007339EE" w:rsidP="004947A6">
            <w:pPr>
              <w:spacing w:after="0"/>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4947A6">
            <w:pPr>
              <w:spacing w:after="0"/>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4947A6">
            <w:pPr>
              <w:spacing w:after="0"/>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4947A6">
            <w:pPr>
              <w:spacing w:after="0"/>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4947A6">
            <w:pPr>
              <w:spacing w:after="0"/>
              <w:jc w:val="center"/>
              <w:rPr>
                <w:sz w:val="20"/>
                <w:szCs w:val="20"/>
              </w:rPr>
            </w:pPr>
            <w:r w:rsidRPr="00987A49">
              <w:rPr>
                <w:sz w:val="20"/>
                <w:szCs w:val="20"/>
              </w:rPr>
              <w:t>Soybean</w:t>
            </w:r>
          </w:p>
        </w:tc>
        <w:tc>
          <w:tcPr>
            <w:tcW w:w="1120" w:type="dxa"/>
            <w:shd w:val="clear" w:color="auto" w:fill="auto"/>
            <w:vAlign w:val="center"/>
          </w:tcPr>
          <w:p w14:paraId="20EAE87F"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w:t>
            </w:r>
            <w:r>
              <w:rPr>
                <w:sz w:val="20"/>
                <w:szCs w:val="20"/>
              </w:rPr>
              <w:t>8</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7339EE">
            <w:pPr>
              <w:spacing w:after="0"/>
              <w:rPr>
                <w:sz w:val="20"/>
                <w:szCs w:val="20"/>
              </w:rPr>
            </w:pPr>
            <w:proofErr w:type="gramStart"/>
            <w:r w:rsidRPr="007339EE">
              <w:rPr>
                <w:i/>
                <w:iCs/>
                <w:sz w:val="20"/>
                <w:szCs w:val="20"/>
              </w:rPr>
              <w:t>Central</w:t>
            </w:r>
            <w:r w:rsidR="003321F2">
              <w:rPr>
                <w:i/>
                <w:iCs/>
                <w:sz w:val="20"/>
                <w:szCs w:val="20"/>
              </w:rPr>
              <w:t>-g</w:t>
            </w:r>
            <w:r>
              <w:rPr>
                <w:i/>
                <w:iCs/>
                <w:sz w:val="20"/>
                <w:szCs w:val="20"/>
              </w:rPr>
              <w:t>rain</w:t>
            </w:r>
            <w:proofErr w:type="gramEnd"/>
            <w:r w:rsidRPr="007339EE">
              <w:rPr>
                <w:i/>
                <w:iCs/>
                <w:sz w:val="20"/>
                <w:szCs w:val="20"/>
              </w:rPr>
              <w:t xml:space="preserve"> (research plots)</w:t>
            </w:r>
          </w:p>
        </w:tc>
      </w:tr>
      <w:tr w:rsidR="007339EE" w:rsidRPr="00987A49" w14:paraId="7EFE6971" w14:textId="77777777" w:rsidTr="007339EE">
        <w:trPr>
          <w:trHeight w:val="752"/>
        </w:trPr>
        <w:tc>
          <w:tcPr>
            <w:tcW w:w="1170" w:type="dxa"/>
            <w:shd w:val="clear" w:color="auto" w:fill="auto"/>
            <w:vAlign w:val="center"/>
          </w:tcPr>
          <w:p w14:paraId="07C518F7" w14:textId="77777777" w:rsidR="007339EE" w:rsidRPr="00987A49" w:rsidRDefault="007339EE" w:rsidP="007339EE">
            <w:pPr>
              <w:spacing w:after="0"/>
              <w:jc w:val="center"/>
              <w:rPr>
                <w:sz w:val="20"/>
                <w:szCs w:val="20"/>
              </w:rPr>
            </w:pPr>
            <w:r w:rsidRPr="00987A49">
              <w:rPr>
                <w:sz w:val="20"/>
                <w:szCs w:val="20"/>
              </w:rPr>
              <w:t>42⁰00’N</w:t>
            </w:r>
          </w:p>
          <w:p w14:paraId="24E0FF37" w14:textId="2F5B8037" w:rsidR="007339EE" w:rsidRDefault="007339EE" w:rsidP="007339EE">
            <w:pPr>
              <w:spacing w:after="0"/>
              <w:jc w:val="center"/>
              <w:rPr>
                <w:sz w:val="20"/>
                <w:szCs w:val="20"/>
              </w:rPr>
            </w:pPr>
            <w:r w:rsidRPr="00987A49">
              <w:rPr>
                <w:sz w:val="20"/>
                <w:szCs w:val="20"/>
              </w:rPr>
              <w:t>94⁰12’W</w:t>
            </w:r>
          </w:p>
        </w:tc>
        <w:tc>
          <w:tcPr>
            <w:tcW w:w="900" w:type="dxa"/>
            <w:shd w:val="clear" w:color="auto" w:fill="auto"/>
            <w:vAlign w:val="center"/>
          </w:tcPr>
          <w:p w14:paraId="66ABA4CA" w14:textId="4331EDAA" w:rsidR="007339EE" w:rsidRPr="00987A49" w:rsidRDefault="007339EE" w:rsidP="004947A6">
            <w:pPr>
              <w:spacing w:after="0"/>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4947A6">
            <w:pPr>
              <w:spacing w:after="0"/>
              <w:jc w:val="center"/>
              <w:rPr>
                <w:sz w:val="20"/>
                <w:szCs w:val="20"/>
              </w:rPr>
            </w:pPr>
            <w:r>
              <w:rPr>
                <w:sz w:val="20"/>
                <w:szCs w:val="20"/>
              </w:rPr>
              <w:t>5</w:t>
            </w:r>
          </w:p>
        </w:tc>
        <w:tc>
          <w:tcPr>
            <w:tcW w:w="810" w:type="dxa"/>
            <w:shd w:val="clear" w:color="auto" w:fill="auto"/>
            <w:vAlign w:val="center"/>
          </w:tcPr>
          <w:p w14:paraId="1367A9E8" w14:textId="1A2ADD2C" w:rsidR="007339EE" w:rsidRPr="00987A49" w:rsidRDefault="007339EE" w:rsidP="004947A6">
            <w:pPr>
              <w:spacing w:after="0"/>
              <w:jc w:val="center"/>
              <w:rPr>
                <w:sz w:val="20"/>
                <w:szCs w:val="20"/>
              </w:rPr>
            </w:pPr>
            <w:r w:rsidRPr="00987A49">
              <w:rPr>
                <w:sz w:val="20"/>
                <w:szCs w:val="20"/>
              </w:rPr>
              <w:t>3.8 x 55 m</w:t>
            </w:r>
          </w:p>
        </w:tc>
        <w:tc>
          <w:tcPr>
            <w:tcW w:w="990" w:type="dxa"/>
            <w:shd w:val="clear" w:color="auto" w:fill="auto"/>
            <w:vAlign w:val="center"/>
          </w:tcPr>
          <w:p w14:paraId="0AEDD618" w14:textId="4753FA7D" w:rsidR="007339EE" w:rsidRPr="00987A49" w:rsidRDefault="007339EE" w:rsidP="004947A6">
            <w:pPr>
              <w:spacing w:after="0"/>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4947A6">
            <w:pPr>
              <w:spacing w:after="0"/>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4947A6">
            <w:pPr>
              <w:spacing w:after="0"/>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4947A6">
            <w:pPr>
              <w:spacing w:after="0"/>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4947A6">
            <w:pPr>
              <w:spacing w:after="0"/>
              <w:jc w:val="center"/>
              <w:rPr>
                <w:sz w:val="20"/>
                <w:szCs w:val="20"/>
              </w:rPr>
            </w:pPr>
            <w:r>
              <w:rPr>
                <w:sz w:val="20"/>
                <w:szCs w:val="20"/>
              </w:rPr>
              <w:t>Soybean</w:t>
            </w:r>
          </w:p>
        </w:tc>
        <w:tc>
          <w:tcPr>
            <w:tcW w:w="1120" w:type="dxa"/>
            <w:shd w:val="clear" w:color="auto" w:fill="auto"/>
            <w:vAlign w:val="center"/>
          </w:tcPr>
          <w:p w14:paraId="4BFE89EF" w14:textId="4426BF02" w:rsidR="007339EE" w:rsidRDefault="007339EE" w:rsidP="004947A6">
            <w:pPr>
              <w:spacing w:after="0"/>
              <w:jc w:val="center"/>
              <w:rPr>
                <w:sz w:val="20"/>
                <w:szCs w:val="20"/>
              </w:rPr>
            </w:pPr>
            <w:r>
              <w:rPr>
                <w:sz w:val="20"/>
                <w:szCs w:val="20"/>
              </w:rPr>
              <w:t>May 8</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7339EE">
            <w:pPr>
              <w:spacing w:after="0"/>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7339EE">
        <w:trPr>
          <w:trHeight w:val="306"/>
        </w:trPr>
        <w:tc>
          <w:tcPr>
            <w:tcW w:w="1170" w:type="dxa"/>
            <w:tcBorders>
              <w:bottom w:val="single" w:sz="4" w:space="0" w:color="auto"/>
            </w:tcBorders>
            <w:shd w:val="clear" w:color="auto" w:fill="auto"/>
            <w:vAlign w:val="center"/>
          </w:tcPr>
          <w:p w14:paraId="7E562E23" w14:textId="77777777" w:rsidR="007339EE" w:rsidRPr="00987A49" w:rsidRDefault="007339EE" w:rsidP="004947A6">
            <w:pPr>
              <w:spacing w:after="0"/>
              <w:jc w:val="center"/>
              <w:rPr>
                <w:sz w:val="20"/>
                <w:szCs w:val="20"/>
              </w:rPr>
            </w:pPr>
            <w:r w:rsidRPr="00987A49">
              <w:rPr>
                <w:sz w:val="20"/>
                <w:szCs w:val="20"/>
              </w:rPr>
              <w:t>41⁰19’N</w:t>
            </w:r>
          </w:p>
          <w:p w14:paraId="4B34EC01" w14:textId="77777777" w:rsidR="007339EE" w:rsidRPr="00987A49" w:rsidRDefault="007339EE" w:rsidP="004947A6">
            <w:pPr>
              <w:spacing w:after="0"/>
              <w:jc w:val="center"/>
              <w:rPr>
                <w:sz w:val="20"/>
                <w:szCs w:val="20"/>
              </w:rPr>
            </w:pPr>
            <w:r w:rsidRPr="00987A49">
              <w:rPr>
                <w:sz w:val="20"/>
                <w:szCs w:val="20"/>
              </w:rPr>
              <w:t>92⁰17’W</w:t>
            </w:r>
          </w:p>
        </w:tc>
        <w:tc>
          <w:tcPr>
            <w:tcW w:w="900" w:type="dxa"/>
            <w:tcBorders>
              <w:bottom w:val="single" w:sz="4" w:space="0" w:color="auto"/>
            </w:tcBorders>
            <w:shd w:val="clear" w:color="auto" w:fill="auto"/>
            <w:vAlign w:val="center"/>
          </w:tcPr>
          <w:p w14:paraId="484EB383" w14:textId="77777777" w:rsidR="007339EE" w:rsidRPr="00987A49" w:rsidRDefault="007339EE" w:rsidP="004947A6">
            <w:pPr>
              <w:spacing w:after="0"/>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4947A6">
            <w:pPr>
              <w:spacing w:after="0"/>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337CBA63" w14:textId="77777777" w:rsidR="007339EE" w:rsidRPr="00987A49" w:rsidRDefault="007339EE" w:rsidP="004947A6">
            <w:pPr>
              <w:spacing w:after="0"/>
              <w:jc w:val="center"/>
              <w:rPr>
                <w:sz w:val="20"/>
                <w:szCs w:val="20"/>
              </w:rPr>
            </w:pPr>
            <w:r w:rsidRPr="00987A49">
              <w:rPr>
                <w:sz w:val="20"/>
                <w:szCs w:val="20"/>
              </w:rPr>
              <w:t>25 x 275 m</w:t>
            </w:r>
          </w:p>
        </w:tc>
        <w:tc>
          <w:tcPr>
            <w:tcW w:w="990" w:type="dxa"/>
            <w:tcBorders>
              <w:bottom w:val="single" w:sz="4" w:space="0" w:color="auto"/>
            </w:tcBorders>
            <w:shd w:val="clear" w:color="auto" w:fill="auto"/>
            <w:vAlign w:val="center"/>
          </w:tcPr>
          <w:p w14:paraId="53073118" w14:textId="77777777" w:rsidR="007339EE" w:rsidRPr="00987A49" w:rsidRDefault="007339EE" w:rsidP="004947A6">
            <w:pPr>
              <w:spacing w:after="0"/>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4947A6">
            <w:pPr>
              <w:spacing w:after="0"/>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4947A6">
            <w:pPr>
              <w:spacing w:after="0"/>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4947A6">
            <w:pPr>
              <w:spacing w:after="0"/>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4947A6">
            <w:pPr>
              <w:spacing w:after="0"/>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77777777" w:rsidR="007339EE" w:rsidRPr="00987A49" w:rsidRDefault="007339EE" w:rsidP="004947A6">
            <w:pPr>
              <w:spacing w:after="0"/>
              <w:jc w:val="center"/>
              <w:rPr>
                <w:sz w:val="20"/>
                <w:szCs w:val="20"/>
              </w:rPr>
            </w:pPr>
            <w:r>
              <w:rPr>
                <w:sz w:val="20"/>
                <w:szCs w:val="20"/>
              </w:rPr>
              <w:t>May</w:t>
            </w:r>
            <w:r w:rsidRPr="00987A49">
              <w:rPr>
                <w:sz w:val="20"/>
                <w:szCs w:val="20"/>
              </w:rPr>
              <w:t xml:space="preserve"> 6</w:t>
            </w:r>
          </w:p>
        </w:tc>
      </w:tr>
    </w:tbl>
    <w:p w14:paraId="3BE86CE0" w14:textId="74F2FC1E" w:rsidR="00CA115E" w:rsidRPr="00987A49" w:rsidRDefault="00CA115E" w:rsidP="00CA115E">
      <w:pPr>
        <w:spacing w:line="360"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7339EE">
        <w:rPr>
          <w:szCs w:val="24"/>
        </w:rPr>
        <w:t>experiments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experiment, details about methodology and yearly values are reported elsewhere (my paper, maybe somewhere else). </w:t>
      </w:r>
      <w:r w:rsidR="00073D1D">
        <w:rPr>
          <w:szCs w:val="24"/>
        </w:rPr>
        <w:t xml:space="preserve"> </w:t>
      </w:r>
      <w:r w:rsidRPr="00987A49">
        <w:rPr>
          <w:szCs w:val="24"/>
        </w:rPr>
        <w:t xml:space="preserve"> </w:t>
      </w:r>
    </w:p>
    <w:p w14:paraId="3BB9DF76" w14:textId="37DAB7F5" w:rsidR="00CA115E" w:rsidRPr="00987A49" w:rsidRDefault="00073D1D" w:rsidP="005538D2">
      <w:pPr>
        <w:pStyle w:val="Heading2"/>
      </w:pPr>
      <w:r>
        <w:t xml:space="preserve">Soil </w:t>
      </w:r>
      <w:r w:rsidR="00CA115E" w:rsidRPr="00987A49">
        <w:t>Sampling</w:t>
      </w:r>
    </w:p>
    <w:p w14:paraId="0C37763D" w14:textId="5BADDE79" w:rsidR="009C6151" w:rsidRPr="00987A49" w:rsidRDefault="00073D1D" w:rsidP="009C6151">
      <w:pPr>
        <w:spacing w:line="360"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in-tact soil samples. </w:t>
      </w:r>
      <w:r w:rsidR="009C6151" w:rsidRPr="00987A49">
        <w:rPr>
          <w:szCs w:val="24"/>
        </w:rPr>
        <w:t xml:space="preserve">Sampling occurred </w:t>
      </w:r>
      <w:r w:rsidR="009C6151">
        <w:rPr>
          <w:szCs w:val="24"/>
        </w:rPr>
        <w:t>in May 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 xml:space="preserve">Sampling was done immediately following crop emergence to minimize the effects of live roots in the samples. </w:t>
      </w:r>
    </w:p>
    <w:p w14:paraId="6F8BACF7" w14:textId="45DC73EB" w:rsidR="00CA115E" w:rsidRPr="00987A49" w:rsidRDefault="009C6151" w:rsidP="009C6151">
      <w:pPr>
        <w:spacing w:line="360" w:lineRule="auto"/>
        <w:rPr>
          <w:szCs w:val="24"/>
        </w:rPr>
      </w:pPr>
      <w:r>
        <w:rPr>
          <w:szCs w:val="24"/>
        </w:rPr>
        <w:t>At all locations, s</w:t>
      </w:r>
      <w:r w:rsidR="00073D1D">
        <w:rPr>
          <w:szCs w:val="24"/>
        </w:rPr>
        <w:t>amples were taken in the middle of the plots</w:t>
      </w:r>
      <w:r w:rsidR="00407972">
        <w:rPr>
          <w:szCs w:val="24"/>
        </w:rPr>
        <w:t xml:space="preserve"> between planted rows</w:t>
      </w:r>
      <w:r w:rsidR="00073D1D">
        <w:rPr>
          <w:szCs w:val="24"/>
        </w:rPr>
        <w:t>. A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and a XX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 xml:space="preserve">ring was then placed in an individual plastic container, then placed in a cooler. This process was repeated for each plot. </w:t>
      </w:r>
    </w:p>
    <w:p w14:paraId="3A3F18DC" w14:textId="4FD7D737" w:rsidR="009C6151" w:rsidRDefault="006912D0" w:rsidP="009C6151">
      <w:pPr>
        <w:pStyle w:val="Heading2"/>
        <w:spacing w:line="360" w:lineRule="auto"/>
      </w:pPr>
      <w:r>
        <w:t>M</w:t>
      </w:r>
      <w:r w:rsidR="009C6151">
        <w:t>easurements</w:t>
      </w:r>
    </w:p>
    <w:p w14:paraId="26682BEE" w14:textId="4F7A6CD2" w:rsidR="006912D0" w:rsidRPr="006912D0" w:rsidRDefault="006912D0" w:rsidP="006912D0">
      <w:pPr>
        <w:pStyle w:val="Heading3"/>
      </w:pPr>
      <w:r>
        <w:lastRenderedPageBreak/>
        <w:t>Soil-water-retention curve</w:t>
      </w:r>
    </w:p>
    <w:p w14:paraId="5764A6FE" w14:textId="08C6E8D5" w:rsidR="00CE6A07" w:rsidRPr="00CE6A07" w:rsidRDefault="00DF4CE7" w:rsidP="00CE6A07">
      <w:pPr>
        <w:pStyle w:val="Heading2"/>
        <w:numPr>
          <w:ilvl w:val="0"/>
          <w:numId w:val="0"/>
        </w:numPr>
        <w:spacing w:line="36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XX samples at a time, so each site’s samples were run together in a batch. A given batch of cores was placed in a vacuum chamber for at least 12 hours in a solution of 0.01 M CaCl2, allowing the solution to move upward to saturate the soils with minimal air entrapment. The 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field-capacity (</w:t>
      </w:r>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H2O = −0.</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kPa). Subsequent measurements were taken at Ψ of -1, -2.5, -5, -10, </w:t>
      </w:r>
      <w:r w:rsidR="00407972" w:rsidRPr="006912D0">
        <w:rPr>
          <w:rFonts w:asciiTheme="minorHAnsi" w:eastAsiaTheme="minorHAnsi" w:hAnsiTheme="minorHAnsi" w:cstheme="minorBidi"/>
          <w:b w:val="0"/>
          <w:sz w:val="22"/>
        </w:rPr>
        <w:t>-20, -50 kPa.</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 xml:space="preserve">dividing the oven-dried weight of soil by the ring volume (XX). </w:t>
      </w:r>
    </w:p>
    <w:p w14:paraId="066B2485" w14:textId="77777777" w:rsidR="00CE6A07" w:rsidRPr="00CE6A07" w:rsidRDefault="00CE6A07" w:rsidP="00CE6A07"/>
    <w:p w14:paraId="6CD172FD" w14:textId="2B5029A1" w:rsidR="006912D0" w:rsidRDefault="006912D0" w:rsidP="006912D0">
      <w:pPr>
        <w:pStyle w:val="Heading3"/>
      </w:pPr>
      <w:r>
        <w:t>Texture</w:t>
      </w:r>
    </w:p>
    <w:p w14:paraId="30DC0182" w14:textId="7EAFA19B" w:rsidR="006912D0" w:rsidRDefault="006912D0" w:rsidP="006912D0">
      <w:r>
        <w:t xml:space="preserve">The oven-dried soil was ground and passed through a 2 mm sieve. 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w:t>
      </w:r>
    </w:p>
    <w:p w14:paraId="3A0DD758" w14:textId="507197DE" w:rsidR="006912D0" w:rsidRDefault="006912D0" w:rsidP="006912D0">
      <w:r>
        <w:t xml:space="preserve"> </w:t>
      </w:r>
    </w:p>
    <w:p w14:paraId="4A43ABE0" w14:textId="32D7A168" w:rsidR="006912D0" w:rsidRDefault="006912D0" w:rsidP="006912D0">
      <w:pPr>
        <w:pStyle w:val="Heading3"/>
      </w:pPr>
      <w:r>
        <w:t xml:space="preserve">Organic carbon </w:t>
      </w:r>
    </w:p>
    <w:p w14:paraId="1557F46A" w14:textId="650100FF" w:rsidR="006912D0" w:rsidRPr="006912D0" w:rsidRDefault="00CE6A07" w:rsidP="006912D0">
      <w:proofErr w:type="spellStart"/>
      <w:r>
        <w:t>Agsource</w:t>
      </w:r>
      <w:proofErr w:type="spellEnd"/>
      <w:r>
        <w:t>.</w:t>
      </w:r>
    </w:p>
    <w:p w14:paraId="68D41FEC" w14:textId="09FDC789" w:rsidR="005538D2" w:rsidRDefault="005538D2" w:rsidP="005538D2">
      <w:pPr>
        <w:pStyle w:val="Heading2"/>
        <w:spacing w:line="360" w:lineRule="auto"/>
      </w:pPr>
      <w:r>
        <w:t>Statistical analysis</w:t>
      </w:r>
    </w:p>
    <w:p w14:paraId="67DC8FC2" w14:textId="72CCF5BF" w:rsidR="00BB05FB" w:rsidRDefault="00BB05FB" w:rsidP="00BB05FB">
      <w:r>
        <w:t xml:space="preserve">All model fitting and figures were done using R (CITE) and the </w:t>
      </w:r>
      <w:proofErr w:type="spellStart"/>
      <w:r>
        <w:t>tidyverse</w:t>
      </w:r>
      <w:proofErr w:type="spellEnd"/>
      <w:r>
        <w:t xml:space="preserve"> meta-package (CITE). Non-linear models were fit using </w:t>
      </w:r>
      <w:proofErr w:type="spellStart"/>
      <w:r>
        <w:t>nls</w:t>
      </w:r>
      <w:proofErr w:type="spellEnd"/>
      <w:r>
        <w:t xml:space="preserve"> (CITE) and </w:t>
      </w:r>
      <w:proofErr w:type="spellStart"/>
      <w:r>
        <w:t>nlraa</w:t>
      </w:r>
      <w:proofErr w:type="spellEnd"/>
      <w:r>
        <w:t xml:space="preserve"> (CITE) package functionality, with specific equation fits from the </w:t>
      </w:r>
      <w:proofErr w:type="spellStart"/>
      <w:r>
        <w:t>HydroMe</w:t>
      </w:r>
      <w:proofErr w:type="spellEnd"/>
      <w:r>
        <w:t xml:space="preserve"> ©TE) and </w:t>
      </w:r>
      <w:proofErr w:type="spellStart"/>
      <w:r>
        <w:t>soilphysics</w:t>
      </w:r>
      <w:proofErr w:type="spellEnd"/>
      <w:r>
        <w:t xml:space="preserve"> (CITE) packages. Linear models were fit and summarized using the lme4 (CITE) and </w:t>
      </w:r>
      <w:proofErr w:type="spellStart"/>
      <w:r>
        <w:t>emmeans</w:t>
      </w:r>
      <w:proofErr w:type="spellEnd"/>
      <w:r>
        <w:t xml:space="preserve"> (CITE) packages. </w:t>
      </w:r>
      <w:r w:rsidR="002249F9">
        <w:t xml:space="preserve">The meta-analysis of fitted parameters was performed using the metaphor package (CITE). </w:t>
      </w:r>
    </w:p>
    <w:p w14:paraId="3136FCB0" w14:textId="77777777" w:rsidR="002249F9" w:rsidRPr="00BB05FB" w:rsidRDefault="002249F9" w:rsidP="002249F9">
      <w:pPr>
        <w:pStyle w:val="Heading3"/>
      </w:pPr>
      <w:r>
        <w:t>Texture and organic matter</w:t>
      </w:r>
    </w:p>
    <w:p w14:paraId="28E9ED07" w14:textId="4865DCE4" w:rsidR="002249F9" w:rsidRPr="00BB05FB" w:rsidRDefault="002249F9" w:rsidP="00BB05FB">
      <w:pPr>
        <w:rPr>
          <w:noProof/>
        </w:rPr>
      </w:pPr>
      <w:r>
        <w:rPr>
          <w:noProof/>
        </w:rPr>
        <w:t>The effects of experiment</w:t>
      </w:r>
      <w:r>
        <w:rPr>
          <w:noProof/>
        </w:rPr>
        <w:t xml:space="preserve">, </w:t>
      </w:r>
      <w:r>
        <w:rPr>
          <w:noProof/>
        </w:rPr>
        <w:t>cover crop treatment</w:t>
      </w:r>
      <w:r>
        <w:rPr>
          <w:noProof/>
        </w:rPr>
        <w:t>, and their interaction</w:t>
      </w:r>
      <w:r>
        <w:rPr>
          <w:noProof/>
        </w:rPr>
        <w:t xml:space="preserve"> on soil texture</w:t>
      </w:r>
      <w:r>
        <w:rPr>
          <w:noProof/>
        </w:rPr>
        <w:t xml:space="preserve"> components</w:t>
      </w:r>
      <w:r>
        <w:rPr>
          <w:noProof/>
        </w:rPr>
        <w:t xml:space="preserve"> and organic matter were assessed using mixed-effect models</w:t>
      </w:r>
      <w:r>
        <w:rPr>
          <w:noProof/>
        </w:rPr>
        <w:t>. E</w:t>
      </w:r>
      <w:r>
        <w:rPr>
          <w:noProof/>
        </w:rPr>
        <w:t>xperiment</w:t>
      </w:r>
      <w:r>
        <w:rPr>
          <w:noProof/>
        </w:rPr>
        <w:t xml:space="preserve">, </w:t>
      </w:r>
      <w:r>
        <w:rPr>
          <w:noProof/>
        </w:rPr>
        <w:t>cover crop</w:t>
      </w:r>
      <w:r>
        <w:rPr>
          <w:noProof/>
        </w:rPr>
        <w:t>, and their interaction were included</w:t>
      </w:r>
      <w:r>
        <w:rPr>
          <w:noProof/>
        </w:rPr>
        <w:t xml:space="preserve"> as fixed effects</w:t>
      </w:r>
      <w:r>
        <w:rPr>
          <w:noProof/>
        </w:rPr>
        <w:t xml:space="preserve">, with a random intercept effect for </w:t>
      </w:r>
      <w:r>
        <w:rPr>
          <w:noProof/>
        </w:rPr>
        <w:t>replicates</w:t>
      </w:r>
      <w:r>
        <w:rPr>
          <w:noProof/>
        </w:rPr>
        <w:t xml:space="preserve"> nested within experiment</w:t>
      </w:r>
      <w:r>
        <w:rPr>
          <w:noProof/>
        </w:rPr>
        <w:t xml:space="preserve">. </w:t>
      </w:r>
    </w:p>
    <w:p w14:paraId="1634A4BC" w14:textId="0EEF2185" w:rsidR="00BB05FB" w:rsidRPr="00BB05FB" w:rsidRDefault="00BB05FB" w:rsidP="002249F9">
      <w:pPr>
        <w:pStyle w:val="Heading3"/>
      </w:pPr>
      <w:r>
        <w:t>Water retention curve</w:t>
      </w:r>
    </w:p>
    <w:p w14:paraId="622ADA19" w14:textId="4C371291" w:rsidR="00334D34" w:rsidRDefault="00CD442C" w:rsidP="005538D2">
      <w:r>
        <w:t>We fit</w:t>
      </w:r>
      <w:r w:rsidR="00BB05FB">
        <w:t xml:space="preserve"> the</w:t>
      </w:r>
      <w:r>
        <w:t xml:space="preserve"> Gardener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w:t>
      </w:r>
      <w:r>
        <w:t>describe the relationship between soil moisture and soil water matric potential</w:t>
      </w:r>
      <w:r>
        <w:t xml:space="preserve"> in our datasets. We found the models produced similar Akaike’s Information Criteria values (CITE), </w:t>
      </w:r>
      <w:r w:rsidR="005F4B84">
        <w:t xml:space="preserve">with the Gardner model showing a slightly </w:t>
      </w:r>
      <w:r w:rsidR="005F4B84">
        <w:lastRenderedPageBreak/>
        <w:t xml:space="preserve">better fit. We </w:t>
      </w:r>
      <w:r>
        <w:t xml:space="preserve">chose to use the results from the Gardener model due to its simplicity and biologically meaningful parameters. The Gardener equation is as follows:  </w:t>
      </w:r>
    </w:p>
    <w:p w14:paraId="4410C963" w14:textId="3374FE10" w:rsidR="00334D34" w:rsidRDefault="00334D34" w:rsidP="005538D2">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1AC7F715" w:rsidR="005538D2" w:rsidRDefault="00334D34" w:rsidP="005F4B84">
      <w:pPr>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5F4B84">
        <w:rPr>
          <w:rFonts w:eastAsiaTheme="minorEastAsia"/>
          <w:noProof/>
        </w:rPr>
        <w:t xml:space="preserve">, </w:t>
      </w:r>
      <w:r w:rsidR="006B08D1">
        <w:rPr>
          <w:rFonts w:cstheme="minorHAnsi"/>
          <w:noProof/>
        </w:rPr>
        <w:t>θ</w:t>
      </w:r>
      <w:r w:rsidR="006B08D1">
        <w:rPr>
          <w:rFonts w:cstheme="minorHAnsi"/>
          <w:noProof/>
          <w:vertAlign w:val="subscript"/>
        </w:rPr>
        <w:t>r</w:t>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are the residual and saturated water contents, respectively</w:t>
      </w:r>
      <w:r w:rsidR="005F4B84">
        <w:rPr>
          <w:noProof/>
        </w:rPr>
        <w:t xml:space="preserve">, a is the inverse of the air-entry potential, and n is an index for the pore size distribution. </w:t>
      </w:r>
    </w:p>
    <w:p w14:paraId="045E9E00" w14:textId="60F71165" w:rsidR="00BB05FB" w:rsidRDefault="00BB05FB" w:rsidP="005F4B84">
      <w:pPr>
        <w:rPr>
          <w:noProof/>
        </w:rPr>
      </w:pPr>
      <w:r>
        <w:rPr>
          <w:noProof/>
        </w:rPr>
        <w:t>Models were fit using both a fixed- and mixed-effect approach to account for differences between experiments. We found the two models produced similar fit statistics</w:t>
      </w:r>
      <w:r w:rsidR="002249F9">
        <w:rPr>
          <w:noProof/>
        </w:rPr>
        <w:t xml:space="preserve">. The results from 2.4.1 indicated clay contents were higher in plots without a cover crop. Because clay can influence soil water retnetion curves (CITE), we controlled for the differences in clay by using it as a covariate. To facilitate this, we chose to fit the Gardner equation to each experimental unit, then performed a meta-analysis on the parameters, weighting by their estimated uncertainties. We included experiment as a random intercept, cover crop as a modifier, and percent clay as a covariate. The model improvement with inclusion of clay as a covariate was tested for each parameter using model comparisons. </w:t>
      </w:r>
    </w:p>
    <w:p w14:paraId="512F7283" w14:textId="77777777" w:rsidR="005F4B84" w:rsidRDefault="005F4B84" w:rsidP="005F4B84">
      <w:pPr>
        <w:pStyle w:val="Heading1"/>
        <w:rPr>
          <w:noProof/>
        </w:rPr>
      </w:pPr>
      <w:r>
        <w:rPr>
          <w:noProof/>
        </w:rPr>
        <w:t>Results</w:t>
      </w:r>
    </w:p>
    <w:p w14:paraId="77285CB1" w14:textId="4B574D43" w:rsidR="005F4B84" w:rsidRDefault="00C30303" w:rsidP="005F4B84">
      <w:pPr>
        <w:rPr>
          <w:noProof/>
        </w:rPr>
      </w:pPr>
      <w:r>
        <w:rPr>
          <w:noProof/>
        </w:rPr>
        <w:t xml:space="preserve">Organic matter values ranged from 1.8 to 4.6%. </w:t>
      </w:r>
      <w:r w:rsidR="0086063E">
        <w:rPr>
          <w:noProof/>
        </w:rPr>
        <w:t xml:space="preserve">Cover cropping significantly increased the amount of organic matter </w:t>
      </w:r>
      <w:r>
        <w:rPr>
          <w:noProof/>
        </w:rPr>
        <w:t xml:space="preserve">in the sampled soil at the East-grain experiment by an estimated </w:t>
      </w:r>
      <w:r w:rsidRPr="00C30303">
        <w:rPr>
          <w:noProof/>
        </w:rPr>
        <w:t>0.7</w:t>
      </w:r>
      <w:r>
        <w:rPr>
          <w:noProof/>
        </w:rPr>
        <w:t>3% (SE:</w:t>
      </w:r>
      <w:r w:rsidRPr="00C30303">
        <w:rPr>
          <w:noProof/>
        </w:rPr>
        <w:t>0.26</w:t>
      </w:r>
      <w:r>
        <w:rPr>
          <w:noProof/>
        </w:rPr>
        <w:t xml:space="preserve">%; Fig X), but had no effect on soil organic matter at the other three experimets. Bulk densities varied from 1.2 g cm-3 to 1.7 g cm-3, with no significant effect of experiment, cover crop treatment, or their interactions. </w:t>
      </w:r>
      <w:r w:rsidR="002249F9">
        <w:rPr>
          <w:noProof/>
        </w:rPr>
        <w:t xml:space="preserve">At all experiments, the percent clay of the soil was found to be higher in cover cropped plots compared to no cover plots. We therefore included clay as a covariate in models assessing the significance of the effect of cover crops on the curve parameters.  </w:t>
      </w:r>
    </w:p>
    <w:p w14:paraId="7A84C5BD" w14:textId="52A2E762" w:rsidR="005F4B84" w:rsidRDefault="005F4B84" w:rsidP="005F4B84">
      <w:pPr>
        <w:rPr>
          <w:noProof/>
        </w:rPr>
      </w:pPr>
    </w:p>
    <w:p w14:paraId="4E938107" w14:textId="0BC9CF00" w:rsidR="005F4B84" w:rsidRDefault="005F4B84" w:rsidP="005F4B84">
      <w:pPr>
        <w:rPr>
          <w:noProof/>
        </w:rPr>
      </w:pPr>
    </w:p>
    <w:p w14:paraId="5816E43A" w14:textId="013E6BE0" w:rsidR="005F4B84" w:rsidRDefault="005F4B84" w:rsidP="005F4B84">
      <w:pPr>
        <w:rPr>
          <w:noProof/>
        </w:rPr>
      </w:pPr>
    </w:p>
    <w:p w14:paraId="52BD2BF1" w14:textId="77777777" w:rsidR="005F4B84" w:rsidRPr="005538D2" w:rsidRDefault="005F4B84" w:rsidP="005F4B84"/>
    <w:p w14:paraId="5B1300F6" w14:textId="57884F9D" w:rsidR="005538D2" w:rsidRDefault="005538D2" w:rsidP="005538D2"/>
    <w:p w14:paraId="23632BEE" w14:textId="0086ACB0" w:rsidR="00DF4CE7" w:rsidRDefault="00DF4CE7" w:rsidP="005538D2">
      <w:r>
        <w:t>Citations</w:t>
      </w:r>
    </w:p>
    <w:p w14:paraId="499B8992" w14:textId="1EB39EC5" w:rsidR="00DF4CE7" w:rsidRPr="005538D2" w:rsidRDefault="00DF4CE7" w:rsidP="005538D2">
      <w:r>
        <w:t>Ankeny, M.D., Brown, H.J., Cruse, R.M., 1992. Means and method of soil water desorption. U.S. Patent 5,161,407.</w:t>
      </w:r>
    </w:p>
    <w:sectPr w:rsidR="00DF4CE7" w:rsidRPr="0055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5E"/>
    <w:rsid w:val="00073D1D"/>
    <w:rsid w:val="002249F9"/>
    <w:rsid w:val="003321F2"/>
    <w:rsid w:val="00334D34"/>
    <w:rsid w:val="00407972"/>
    <w:rsid w:val="00444CE5"/>
    <w:rsid w:val="00524A5C"/>
    <w:rsid w:val="005538D2"/>
    <w:rsid w:val="00565A7A"/>
    <w:rsid w:val="005F4B84"/>
    <w:rsid w:val="006912D0"/>
    <w:rsid w:val="006B08D1"/>
    <w:rsid w:val="007339EE"/>
    <w:rsid w:val="00821BBA"/>
    <w:rsid w:val="0086063E"/>
    <w:rsid w:val="009C6151"/>
    <w:rsid w:val="00BB05FB"/>
    <w:rsid w:val="00BB7C69"/>
    <w:rsid w:val="00C30303"/>
    <w:rsid w:val="00CA115E"/>
    <w:rsid w:val="00CD442C"/>
    <w:rsid w:val="00CE6A07"/>
    <w:rsid w:val="00DC20A1"/>
    <w:rsid w:val="00DF4CE7"/>
    <w:rsid w:val="00F91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6</cp:revision>
  <dcterms:created xsi:type="dcterms:W3CDTF">2021-02-09T21:07:00Z</dcterms:created>
  <dcterms:modified xsi:type="dcterms:W3CDTF">2021-03-03T19:18:00Z</dcterms:modified>
</cp:coreProperties>
</file>