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2855" w14:textId="2B6EFC91" w:rsidR="00181B77" w:rsidRDefault="000E2496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Supplementary material</w:t>
      </w:r>
    </w:p>
    <w:p w14:paraId="5BDBFFEB" w14:textId="6E696A4D" w:rsidR="000E2496" w:rsidRDefault="000E2496">
      <w:r>
        <w:rPr>
          <w:rFonts w:eastAsia="Times New Roman" w:cstheme="minorHAnsi"/>
          <w:sz w:val="24"/>
          <w:szCs w:val="24"/>
        </w:rPr>
        <w:t>Figure 1 – PRISMA diagram</w:t>
      </w:r>
      <w:bookmarkStart w:id="0" w:name="_GoBack"/>
      <w:bookmarkEnd w:id="0"/>
    </w:p>
    <w:sectPr w:rsidR="000E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96"/>
    <w:rsid w:val="000E2496"/>
    <w:rsid w:val="0017703D"/>
    <w:rsid w:val="00F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EE44"/>
  <w15:chartTrackingRefBased/>
  <w15:docId w15:val="{718E85FC-42D5-42FA-866F-E7AEE219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1</cp:revision>
  <dcterms:created xsi:type="dcterms:W3CDTF">2020-01-23T22:19:00Z</dcterms:created>
  <dcterms:modified xsi:type="dcterms:W3CDTF">2020-01-23T22:20:00Z</dcterms:modified>
</cp:coreProperties>
</file>