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2B5C8A"/>
          <w:sz w:val="52"/>
          <w:szCs w:val="52"/>
        </w:rPr>
        <w:t xml:space="preserve">Mutual Fund Similarity Analysis</w:t>
      </w:r>
    </w:p>
    <w:p>
      <w:pPr>
        <w:spacing w:after="100"/>
        <w:jc w:val="center"/>
      </w:pPr>
      <w:r>
        <w:rPr>
          <w:rFonts w:ascii="Arial" w:cs="Arial" w:eastAsia="Arial" w:hAnsi="Arial"/>
          <w:b/>
          <w:bCs/>
          <w:color w:val="2B5C8A"/>
          <w:sz w:val="52"/>
          <w:szCs w:val="52"/>
        </w:rPr>
        <w:t xml:space="preserve">Using Latent Dirichlet Allocation</w:t>
      </w:r>
    </w:p>
    <w:p>
      <w:pPr>
        <w:spacing w:after="80"/>
      </w:pPr>
    </w:p>
    <w:p>
      <w:pPr>
        <w:pBdr>
          <w:bottom w:val="single" w:color="D4A843" w:sz="6" w:space="8"/>
        </w:pBdr>
        <w:spacing w:after="400"/>
        <w:jc w:val="center"/>
      </w:pPr>
      <w:r>
        <w:rPr>
          <w:rFonts w:ascii="Arial" w:cs="Arial" w:eastAsia="Arial" w:hAnsi="Arial"/>
          <w:color w:val="666666"/>
          <w:sz w:val="28"/>
          <w:szCs w:val="28"/>
        </w:rPr>
        <w:t xml:space="preserve">A Detailed Implementation Roadmap</w:t>
      </w:r>
    </w:p>
    <w:p>
      <w:pPr>
        <w:spacing w:after="80"/>
      </w:pPr>
    </w:p>
    <w:p>
      <w:pPr>
        <w:spacing w:after="80"/>
      </w:pPr>
    </w:p>
    <w:p>
      <w:pPr>
        <w:spacing w:after="100"/>
        <w:jc w:val="center"/>
      </w:pPr>
      <w:r>
        <w:rPr>
          <w:rFonts w:ascii="Arial" w:cs="Arial" w:eastAsia="Arial" w:hAnsi="Arial"/>
          <w:color w:val="666666"/>
          <w:sz w:val="24"/>
          <w:szCs w:val="24"/>
        </w:rPr>
        <w:t xml:space="preserve">This document provides a complete, step-by-step guide for applying</w:t>
      </w:r>
    </w:p>
    <w:p>
      <w:pPr>
        <w:spacing w:after="100"/>
        <w:jc w:val="center"/>
      </w:pPr>
      <w:r>
        <w:rPr>
          <w:rFonts w:ascii="Arial" w:cs="Arial" w:eastAsia="Arial" w:hAnsi="Arial"/>
          <w:color w:val="666666"/>
          <w:sz w:val="24"/>
          <w:szCs w:val="24"/>
        </w:rPr>
        <w:t xml:space="preserve">Latent Dirichlet Allocation (LDA) to mutual fund holdings data</w:t>
      </w:r>
    </w:p>
    <w:p>
      <w:pPr>
        <w:spacing w:after="100"/>
        <w:jc w:val="center"/>
      </w:pPr>
      <w:r>
        <w:rPr>
          <w:rFonts w:ascii="Arial" w:cs="Arial" w:eastAsia="Arial" w:hAnsi="Arial"/>
          <w:color w:val="666666"/>
          <w:sz w:val="24"/>
          <w:szCs w:val="24"/>
        </w:rPr>
        <w:t xml:space="preserve">to discover latent investment themes and cluster similar funds.</w:t>
      </w: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color w:val="666666"/>
          <w:sz w:val="22"/>
          <w:szCs w:val="22"/>
        </w:rPr>
        <w:t xml:space="preserve">Document Version 2.0</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120" w:line="300"/>
      </w:pPr>
      <w:r>
        <w:rPr>
          <w:rFonts w:ascii="Arial" w:hAnsi="Arial"/>
          <w:sz w:val="24"/>
          <w:b/>
          <w:color w:val="2B5C8A"/>
        </w:rPr>
        <w:t>1. Introduction, Motivation, and Objective</w:t>
      </w:r>
    </w:p>
    <w:p>
      <w:pPr>
        <w:spacing w:after="80" w:line="280"/>
        <w:ind w:left="480"/>
      </w:pPr>
      <w:r>
        <w:rPr>
          <w:rFonts w:ascii="Arial" w:hAnsi="Arial"/>
          <w:sz w:val="22"/>
          <w:color w:val="1A1A1A"/>
        </w:rPr>
        <w:t>1.1 Problem Statement</w:t>
      </w:r>
    </w:p>
    <w:p>
      <w:pPr>
        <w:spacing w:after="80" w:line="280"/>
        <w:ind w:left="480"/>
      </w:pPr>
      <w:r>
        <w:rPr>
          <w:rFonts w:ascii="Arial" w:hAnsi="Arial"/>
          <w:sz w:val="22"/>
          <w:color w:val="1A1A1A"/>
        </w:rPr>
        <w:t>1.2 What “Similarity” Means and Why Precision Matters</w:t>
      </w:r>
    </w:p>
    <w:p>
      <w:pPr>
        <w:spacing w:after="80" w:line="280"/>
        <w:ind w:left="480"/>
      </w:pPr>
      <w:r>
        <w:rPr>
          <w:rFonts w:ascii="Arial" w:hAnsi="Arial"/>
          <w:sz w:val="22"/>
          <w:color w:val="1A1A1A"/>
        </w:rPr>
        <w:t>1.3 Key Metrics</w:t>
      </w:r>
    </w:p>
    <w:p>
      <w:pPr>
        <w:spacing w:after="80" w:line="280"/>
        <w:ind w:left="480"/>
      </w:pPr>
      <w:r>
        <w:rPr>
          <w:rFonts w:ascii="Arial" w:hAnsi="Arial"/>
          <w:sz w:val="22"/>
          <w:color w:val="1A1A1A"/>
        </w:rPr>
        <w:t>1.4 The Core Analogy: Documents as Funds</w:t>
      </w:r>
    </w:p>
    <w:p>
      <w:pPr>
        <w:spacing w:after="80" w:line="280"/>
        <w:ind w:left="480"/>
      </w:pPr>
      <w:r>
        <w:rPr>
          <w:rFonts w:ascii="Arial" w:hAnsi="Arial"/>
          <w:sz w:val="22"/>
          <w:color w:val="1A1A1A"/>
        </w:rPr>
        <w:t>1.5 Why LDA Over Alternatives?</w:t>
      </w:r>
    </w:p>
    <w:p>
      <w:pPr>
        <w:spacing w:after="80" w:line="280"/>
        <w:ind w:left="480"/>
      </w:pPr>
      <w:r>
        <w:rPr>
          <w:rFonts w:ascii="Arial" w:hAnsi="Arial"/>
          <w:sz w:val="22"/>
          <w:color w:val="1A1A1A"/>
        </w:rPr>
        <w:t>1.6 Why Not TF-IDF or Vocabulary Pruning?</w:t>
      </w:r>
    </w:p>
    <w:p>
      <w:pPr>
        <w:spacing w:after="80" w:line="280"/>
        <w:ind w:left="480"/>
      </w:pPr>
      <w:r>
        <w:rPr>
          <w:rFonts w:ascii="Arial" w:hAnsi="Arial"/>
          <w:sz w:val="22"/>
          <w:color w:val="1A1A1A"/>
        </w:rPr>
        <w:t>1.7 Overview of the Pipeline</w:t>
      </w:r>
    </w:p>
    <w:p>
      <w:pPr>
        <w:spacing w:before="120" w:after="120" w:line="300"/>
      </w:pPr>
      <w:r>
        <w:rPr>
          <w:rFonts w:ascii="Arial" w:hAnsi="Arial"/>
          <w:sz w:val="24"/>
          <w:b/>
          <w:color w:val="2B5C8A"/>
        </w:rPr>
        <w:t>2. Background: Key Concepts Explained</w:t>
      </w:r>
    </w:p>
    <w:p>
      <w:pPr>
        <w:spacing w:after="80" w:line="280"/>
        <w:ind w:left="480"/>
      </w:pPr>
      <w:r>
        <w:rPr>
          <w:rFonts w:ascii="Arial" w:hAnsi="Arial"/>
          <w:sz w:val="22"/>
          <w:color w:val="1A1A1A"/>
        </w:rPr>
        <w:t>2.1 The Dirichlet Distribution</w:t>
      </w:r>
    </w:p>
    <w:p>
      <w:pPr>
        <w:spacing w:after="80" w:line="280"/>
        <w:ind w:left="480"/>
      </w:pPr>
      <w:r>
        <w:rPr>
          <w:rFonts w:ascii="Arial" w:hAnsi="Arial"/>
          <w:sz w:val="22"/>
          <w:color w:val="1A1A1A"/>
        </w:rPr>
        <w:t>2.2 LDA’s Generative Story</w:t>
      </w:r>
    </w:p>
    <w:p>
      <w:pPr>
        <w:spacing w:after="80" w:line="280"/>
        <w:ind w:left="480"/>
      </w:pPr>
      <w:r>
        <w:rPr>
          <w:rFonts w:ascii="Arial" w:hAnsi="Arial"/>
          <w:sz w:val="22"/>
          <w:color w:val="1A1A1A"/>
        </w:rPr>
        <w:t>2.3 Gibbs Sampling</w:t>
      </w:r>
    </w:p>
    <w:p>
      <w:pPr>
        <w:spacing w:after="80" w:line="280"/>
        <w:ind w:left="480"/>
      </w:pPr>
      <w:r>
        <w:rPr>
          <w:rFonts w:ascii="Arial" w:hAnsi="Arial"/>
          <w:sz w:val="22"/>
          <w:color w:val="1A1A1A"/>
        </w:rPr>
        <w:t>2.4 Jensen-Shannon Divergence (JSD)</w:t>
      </w:r>
    </w:p>
    <w:p>
      <w:pPr>
        <w:spacing w:before="120" w:after="120" w:line="300"/>
      </w:pPr>
      <w:r>
        <w:rPr>
          <w:rFonts w:ascii="Arial" w:hAnsi="Arial"/>
          <w:sz w:val="24"/>
          <w:b/>
          <w:color w:val="2B5C8A"/>
        </w:rPr>
        <w:t>3. The Pipeline: Step-by-Step</w:t>
      </w:r>
    </w:p>
    <w:p>
      <w:pPr>
        <w:spacing w:after="80" w:line="280"/>
        <w:ind w:left="480"/>
      </w:pPr>
      <w:r>
        <w:rPr>
          <w:rFonts w:ascii="Arial" w:hAnsi="Arial"/>
          <w:sz w:val="22"/>
          <w:color w:val="1A1A1A"/>
        </w:rPr>
        <w:t>3.1 Step 1: Data Preparation</w:t>
      </w:r>
    </w:p>
    <w:p>
      <w:pPr>
        <w:spacing w:after="80" w:line="280"/>
        <w:ind w:left="480"/>
      </w:pPr>
      <w:r>
        <w:rPr>
          <w:rFonts w:ascii="Arial" w:hAnsi="Arial"/>
          <w:sz w:val="22"/>
          <w:color w:val="1A1A1A"/>
        </w:rPr>
        <w:t>3.2 Step 2: Pseudo-Count Conversion</w:t>
      </w:r>
    </w:p>
    <w:p>
      <w:pPr>
        <w:spacing w:after="80" w:line="280"/>
        <w:ind w:left="480"/>
      </w:pPr>
      <w:r>
        <w:rPr>
          <w:rFonts w:ascii="Arial" w:hAnsi="Arial"/>
          <w:sz w:val="22"/>
          <w:color w:val="1A1A1A"/>
        </w:rPr>
        <w:t>3.3 Step 3: Hyperparameter Selection</w:t>
      </w:r>
    </w:p>
    <w:p>
      <w:pPr>
        <w:spacing w:after="80" w:line="280"/>
        <w:ind w:left="480"/>
      </w:pPr>
      <w:r>
        <w:rPr>
          <w:rFonts w:ascii="Arial" w:hAnsi="Arial"/>
          <w:sz w:val="22"/>
          <w:color w:val="1A1A1A"/>
        </w:rPr>
        <w:t>3.4 Step 4: Run LDA via Gibbs Sampling</w:t>
      </w:r>
    </w:p>
    <w:p>
      <w:pPr>
        <w:spacing w:after="80" w:line="280"/>
        <w:ind w:left="480"/>
      </w:pPr>
      <w:r>
        <w:rPr>
          <w:rFonts w:ascii="Arial" w:hAnsi="Arial"/>
          <w:sz w:val="22"/>
          <w:color w:val="1A1A1A"/>
        </w:rPr>
        <w:t>3.5 Step 5: Extract Posterior Distributions</w:t>
      </w:r>
    </w:p>
    <w:p>
      <w:pPr>
        <w:spacing w:after="80" w:line="280"/>
        <w:ind w:left="480"/>
      </w:pPr>
      <w:r>
        <w:rPr>
          <w:rFonts w:ascii="Arial" w:hAnsi="Arial"/>
          <w:sz w:val="22"/>
          <w:color w:val="1A1A1A"/>
        </w:rPr>
        <w:t>3.6 Step 6: Compute Pairwise Distances with Uncertainty</w:t>
      </w:r>
    </w:p>
    <w:p>
      <w:pPr>
        <w:spacing w:after="80" w:line="280"/>
        <w:ind w:left="480"/>
      </w:pPr>
      <w:r>
        <w:rPr>
          <w:rFonts w:ascii="Arial" w:hAnsi="Arial"/>
          <w:sz w:val="22"/>
          <w:color w:val="1A1A1A"/>
        </w:rPr>
        <w:t>3.7 Step 7: Hierarchical Clustering</w:t>
      </w:r>
    </w:p>
    <w:p>
      <w:pPr>
        <w:spacing w:after="80" w:line="280"/>
        <w:ind w:left="480"/>
      </w:pPr>
      <w:r>
        <w:rPr>
          <w:rFonts w:ascii="Arial" w:hAnsi="Arial"/>
          <w:sz w:val="22"/>
          <w:color w:val="1A1A1A"/>
        </w:rPr>
        <w:t>3.8 Step 8: Evaluation with Synthetic Labels</w:t>
      </w:r>
    </w:p>
    <w:p>
      <w:pPr>
        <w:spacing w:before="120" w:after="120" w:line="300"/>
      </w:pPr>
      <w:r>
        <w:rPr>
          <w:rFonts w:ascii="Arial" w:hAnsi="Arial"/>
          <w:sz w:val="24"/>
          <w:b/>
          <w:color w:val="2B5C8A"/>
        </w:rPr>
        <w:t>4. Using the Results</w:t>
      </w:r>
    </w:p>
    <w:p>
      <w:pPr>
        <w:spacing w:after="80" w:line="280"/>
        <w:ind w:left="480"/>
      </w:pPr>
      <w:r>
        <w:rPr>
          <w:rFonts w:ascii="Arial" w:hAnsi="Arial"/>
          <w:sz w:val="22"/>
          <w:color w:val="1A1A1A"/>
        </w:rPr>
        <w:t>4.1 Primary Use: Fund Clusters for Downstream Markov Chain Analysis</w:t>
      </w:r>
    </w:p>
    <w:p>
      <w:pPr>
        <w:spacing w:after="80" w:line="280"/>
        <w:ind w:left="480"/>
      </w:pPr>
      <w:r>
        <w:rPr>
          <w:rFonts w:ascii="Arial" w:hAnsi="Arial"/>
          <w:sz w:val="22"/>
          <w:color w:val="1A1A1A"/>
        </w:rPr>
        <w:t>4.2 Theme Interpretation</w:t>
      </w:r>
    </w:p>
    <w:p>
      <w:pPr>
        <w:spacing w:after="80" w:line="280"/>
        <w:ind w:left="480"/>
      </w:pPr>
      <w:r>
        <w:rPr>
          <w:rFonts w:ascii="Arial" w:hAnsi="Arial"/>
          <w:sz w:val="22"/>
          <w:color w:val="1A1A1A"/>
        </w:rPr>
        <w:t>4.3 Fold-in Inference for New Funds</w:t>
      </w:r>
    </w:p>
    <w:p>
      <w:pPr>
        <w:spacing w:after="80" w:line="280"/>
        <w:ind w:left="480"/>
      </w:pPr>
      <w:r>
        <w:rPr>
          <w:rFonts w:ascii="Arial" w:hAnsi="Arial"/>
          <w:sz w:val="22"/>
          <w:color w:val="1A1A1A"/>
        </w:rPr>
        <w:t>4.4 Generating Synthetic Fund Portfolios</w:t>
      </w:r>
    </w:p>
    <w:p>
      <w:pPr>
        <w:spacing w:after="80" w:line="280"/>
        <w:ind w:left="480"/>
      </w:pPr>
      <w:r>
        <w:rPr>
          <w:rFonts w:ascii="Arial" w:hAnsi="Arial"/>
          <w:sz w:val="22"/>
          <w:color w:val="1A1A1A"/>
        </w:rPr>
        <w:t>4.5 Uncertainty-Based Fund Classification</w:t>
      </w:r>
    </w:p>
    <w:p>
      <w:pPr>
        <w:spacing w:before="120" w:after="120" w:line="300"/>
      </w:pPr>
      <w:r>
        <w:rPr>
          <w:rFonts w:ascii="Arial" w:hAnsi="Arial"/>
          <w:sz w:val="24"/>
          <w:b/>
          <w:color w:val="2B5C8A"/>
        </w:rPr>
        <w:t>5. Summary and Implementation Checklist</w:t>
      </w:r>
    </w:p>
    <w:p>
      <w:r>
        <w:br w:type="page"/>
      </w:r>
    </w:p>
    <w:p>
      <w:pPr>
        <w:pStyle w:val="Heading1"/>
      </w:pPr>
      <w:r>
        <w:t xml:space="preserve">1. Introduction, Motivation, and Objective</w:t>
      </w:r>
    </w:p>
    <w:p>
      <w:pPr>
        <w:pStyle w:val="Heading2"/>
      </w:pPr>
      <w:r>
        <w:t xml:space="preserve">1.1 Problem Statement</w:t>
      </w:r>
    </w:p>
    <w:p>
      <w:pPr>
        <w:spacing w:after="160" w:line="300"/>
      </w:pPr>
      <w:r>
        <w:rPr>
          <w:rFonts w:ascii="Arial" w:cs="Arial" w:eastAsia="Arial" w:hAnsi="Arial"/>
          <w:color w:val="1A1A1A"/>
          <w:sz w:val="22"/>
          <w:szCs w:val="22"/>
        </w:rPr>
        <w:t xml:space="preserve">Given a universe of mutual funds, each defined by its portfolio holdings (i.e., the assets it holds and their respective weights), we want to identify groups of funds that follow similar investment strategies. This is useful for portfolio diversification analysis, fund comparison, detecting style drift, and regulatory review.</w:t>
      </w:r>
    </w:p>
    <w:p>
      <w:pPr>
        <w:pStyle w:val="Heading2"/>
      </w:pPr>
      <w:r>
        <w:t xml:space="preserve">1.2 What “Similarity” Means and Why Precision Matters</w:t>
      </w:r>
    </w:p>
    <w:p>
      <w:pPr>
        <w:spacing w:after="160" w:line="300"/>
      </w:pPr>
      <w:r>
        <w:rPr>
          <w:rFonts w:ascii="Arial" w:cs="Arial" w:eastAsia="Arial" w:hAnsi="Arial"/>
          <w:color w:val="1A1A1A"/>
          <w:sz w:val="22"/>
          <w:szCs w:val="22"/>
        </w:rPr>
        <w:t xml:space="preserve">Before diving into the technical approach, it is essential to define precisely what we mean by a “good” similarity result and what kind of errors we are willing to tolerate. Consider every possible pair of funds. For each pair, there are two questions: (1) Are they truly similar? (2) Does our model say they are similar (i.e., did it place them in the same cluster)?</w:t>
      </w:r>
    </w:p>
    <w:p>
      <w:pPr>
        <w:spacing w:after="160" w:line="300"/>
      </w:pPr>
      <w:r>
        <w:rPr>
          <w:rFonts w:ascii="Arial" w:cs="Arial" w:eastAsia="Arial" w:hAnsi="Arial"/>
          <w:color w:val="1A1A1A"/>
          <w:sz w:val="22"/>
          <w:szCs w:val="22"/>
        </w:rPr>
        <w:t xml:space="preserve">This gives rise to four outcomes, which we organize in the following confusion matrix:</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58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Model Says: Similar (Same Cluster)</w:t>
            </w:r>
          </w:p>
        </w:tc>
        <w:tc>
          <w:tcPr>
            <w:tcW w:type="dxa" w:w="358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Model Says: Different (Diff. Clusters)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Actually Similar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True Positive (TP)</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False Negative (FN)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Actually Different</w:t>
            </w:r>
          </w:p>
        </w:tc>
        <w:tc>
          <w:tcPr>
            <w:tcW w:type="dxa" w:w="35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False Positive (FP)</w:t>
            </w:r>
          </w:p>
        </w:tc>
        <w:tc>
          <w:tcPr>
            <w:tcW w:type="dxa" w:w="35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True Negative (TN)</w:t>
            </w:r>
          </w:p>
        </w:tc>
      </w:tr>
    </w:tbl>
    <w:p>
      <w:pPr>
        <w:spacing w:after="80"/>
      </w:pPr>
    </w:p>
    <w:p>
      <w:pPr>
        <w:spacing w:after="160" w:line="300"/>
      </w:pPr>
      <w:r>
        <w:rPr>
          <w:rFonts w:ascii="Arial" w:cs="Arial" w:eastAsia="Arial" w:hAnsi="Arial"/>
          <w:color w:val="1A1A1A"/>
          <w:sz w:val="22"/>
          <w:szCs w:val="22"/>
        </w:rPr>
        <w:t xml:space="preserve">Note: “Model says” is used loosely here — there is no prediction in the supervised learning sense. It simply refers to whether the clustering placed the two funds in the same cluster or not.</w:t>
      </w:r>
    </w:p>
    <w:p>
      <w:pPr>
        <w:spacing w:after="80"/>
      </w:pPr>
    </w:p>
    <w:p>
      <w:pPr>
        <w:spacing w:after="160" w:line="300"/>
      </w:pPr>
      <w:r>
        <w:rPr>
          <w:rFonts w:ascii="Arial" w:cs="Arial" w:eastAsia="Arial" w:hAnsi="Arial"/>
          <w:b/>
          <w:bCs/>
          <w:color w:val="1A1A1A"/>
          <w:sz w:val="22"/>
          <w:szCs w:val="22"/>
        </w:rPr>
        <w:t xml:space="preserve">Our primary objective is to minimize False Positives (FP).</w:t>
      </w:r>
      <w:r>
        <w:rPr>
          <w:rFonts w:ascii="Arial" w:cs="Arial" w:eastAsia="Arial" w:hAnsi="Arial"/>
          <w:color w:val="1A1A1A"/>
          <w:sz w:val="22"/>
          <w:szCs w:val="22"/>
        </w:rPr>
        <w:t xml:space="preserve"> A false positive occurs when two funds that are genuinely different in their investment strategy get placed in the same cluster. This is the dangerous error — it tells a downstream consumer that two funds are interchangeable when they are not.</w:t>
      </w:r>
    </w:p>
    <w:p>
      <w:pPr>
        <w:spacing w:after="160" w:line="300"/>
      </w:pPr>
      <w:r>
        <w:rPr>
          <w:rFonts w:ascii="Arial" w:cs="Arial" w:eastAsia="Arial" w:hAnsi="Arial"/>
          <w:b/>
          <w:bCs/>
          <w:color w:val="1A1A1A"/>
          <w:sz w:val="22"/>
          <w:szCs w:val="22"/>
        </w:rPr>
        <w:t xml:space="preserve">We explicitly tolerate False Negatives (FN).</w:t>
      </w:r>
      <w:r>
        <w:rPr>
          <w:rFonts w:ascii="Arial" w:cs="Arial" w:eastAsia="Arial" w:hAnsi="Arial"/>
          <w:color w:val="1A1A1A"/>
          <w:sz w:val="22"/>
          <w:szCs w:val="22"/>
        </w:rPr>
        <w:t xml:space="preserve"> A false negative occurs when two funds that truly are similar get placed in different clusters. While not ideal, this error is recoverable. The pipeline described in this document is the first stage of a two-stage process. The second stage (covered in a separate document) uses Markov chain simulations to perform additional similarity checks across the clusters produced here. That downstream step is specifically designed to discover similarities that this step missed, thereby recovering false negatives. However, it cannot undo false positives — if two dissimilar funds are incorrectly grouped together here, that error propagates forward irreversibly.</w:t>
      </w:r>
    </w:p>
    <w:p>
      <w:pPr>
        <w:spacing w:after="160" w:line="300"/>
      </w:pPr>
      <w:r>
        <w:rPr>
          <w:rFonts w:ascii="Arial" w:cs="Arial" w:eastAsia="Arial" w:hAnsi="Arial"/>
          <w:color w:val="1A1A1A"/>
          <w:sz w:val="22"/>
          <w:szCs w:val="22"/>
        </w:rPr>
        <w:t xml:space="preserve">This asymmetric error tolerance shapes every design decision in the pipeline: the choice of hyperparameters, the clustering algorithm, the distance metric, and the evaluation criteria.</w:t>
      </w:r>
    </w:p>
    <w:p>
      <w:pPr>
        <w:pStyle w:val="Heading2"/>
      </w:pPr>
      <w:r>
        <w:t xml:space="preserve">1.3 Key Metrics</w:t>
      </w:r>
    </w:p>
    <w:p>
      <w:pPr>
        <w:spacing w:after="160" w:line="300"/>
      </w:pPr>
      <w:r>
        <w:rPr>
          <w:rFonts w:ascii="Arial" w:cs="Arial" w:eastAsia="Arial" w:hAnsi="Arial"/>
          <w:b/>
          <w:bCs/>
          <w:color w:val="1A1A1A"/>
          <w:sz w:val="22"/>
          <w:szCs w:val="22"/>
        </w:rPr>
        <w:t xml:space="preserve">Pairwise Precision = TP / (TP + FP): </w:t>
      </w:r>
      <w:r>
        <w:rPr>
          <w:rFonts w:ascii="Arial" w:cs="Arial" w:eastAsia="Arial" w:hAnsi="Arial"/>
          <w:color w:val="1A1A1A"/>
          <w:sz w:val="22"/>
          <w:szCs w:val="22"/>
        </w:rPr>
        <w:t xml:space="preserve">Of all pairs our model placed in the same cluster, what fraction are truly similar? This is our primary metric. We want this as high as possible (ideally &gt; 0.95).</w:t>
      </w:r>
    </w:p>
    <w:p>
      <w:pPr>
        <w:spacing w:after="160" w:line="300"/>
      </w:pPr>
      <w:r>
        <w:rPr>
          <w:rFonts w:ascii="Arial" w:cs="Arial" w:eastAsia="Arial" w:hAnsi="Arial"/>
          <w:b/>
          <w:bCs/>
          <w:color w:val="1A1A1A"/>
          <w:sz w:val="22"/>
          <w:szCs w:val="22"/>
        </w:rPr>
        <w:t xml:space="preserve">Pairwise Recall = TP / (TP + FN): </w:t>
      </w:r>
      <w:r>
        <w:rPr>
          <w:rFonts w:ascii="Arial" w:cs="Arial" w:eastAsia="Arial" w:hAnsi="Arial"/>
          <w:color w:val="1A1A1A"/>
          <w:sz w:val="22"/>
          <w:szCs w:val="22"/>
        </w:rPr>
        <w:t xml:space="preserve">Of all truly similar pairs, what fraction did our model correctly place together? This will be lower, and that is acceptable because the downstream Markov chain step is designed to recover these missed similarities.</w:t>
      </w:r>
    </w:p>
    <w:p>
      <w:pPr>
        <w:spacing w:after="160" w:line="300"/>
      </w:pPr>
      <w:r>
        <w:rPr>
          <w:rFonts w:ascii="Arial" w:cs="Arial" w:eastAsia="Arial" w:hAnsi="Arial"/>
          <w:color w:val="1A1A1A"/>
          <w:sz w:val="22"/>
          <w:szCs w:val="22"/>
        </w:rPr>
        <w:t xml:space="preserve">We will also compute supplementary metrics (Adjusted Rand Index, Normalized Mutual Information) in the evaluation step, but pairwise precision is the metric that drives all our design choices.</w:t>
      </w:r>
    </w:p>
    <w:p>
      <w:pPr>
        <w:pStyle w:val="Heading2"/>
      </w:pPr>
      <w:r>
        <w:t xml:space="preserve">1.4 The Core Analogy: Documents as Funds</w:t>
      </w:r>
    </w:p>
    <w:p>
      <w:pPr>
        <w:spacing w:after="160" w:line="300"/>
      </w:pPr>
      <w:r>
        <w:rPr>
          <w:rFonts w:ascii="Arial" w:cs="Arial" w:eastAsia="Arial" w:hAnsi="Arial"/>
          <w:color w:val="1A1A1A"/>
          <w:sz w:val="22"/>
          <w:szCs w:val="22"/>
        </w:rPr>
        <w:t xml:space="preserve">The technical approach uses Latent Dirichlet Allocation (LDA), a probabilistic model originally developed for discovering latent topics in text documents. We repurpose it by drawing a structural analogy between text corpora and fund portfolios: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Text Domain (Standard LDA)</w:t>
            </w:r>
          </w:p>
        </w:tc>
        <w:tc>
          <w:tcPr>
            <w:tcW w:type="dxa" w:w="468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Fund Domain (Our Application)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Document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Mutual Fund</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Word / Term</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Asset (stock, bond, commodity, etc.)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Word frequency in a document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Weight (proportion) of an asset in a fund</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Vocabulary</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Universe of all unique assets across all funds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Latent topic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Latent investment theme / strategy</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Document-topic distribution (θ)</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Fund-theme distribution (θ)</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Topic-word distribution (φ)</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Theme-asset distribution (φ)</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Corpus</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The entire set of mutual funds being analyzed</w:t>
            </w:r>
          </w:p>
        </w:tc>
      </w:tr>
    </w:tbl>
    <w:p>
      <w:pPr>
        <w:pStyle w:val="Heading2"/>
      </w:pPr>
      <w:r>
        <w:t xml:space="preserve">1.5 Why LDA Over Alternatives?</w:t>
      </w:r>
    </w:p>
    <w:p>
      <w:pPr>
        <w:spacing w:after="160" w:line="300"/>
      </w:pPr>
      <w:r>
        <w:rPr>
          <w:rFonts w:ascii="Arial" w:cs="Arial" w:eastAsia="Arial" w:hAnsi="Arial"/>
          <w:color w:val="1A1A1A"/>
          <w:sz w:val="22"/>
          <w:szCs w:val="22"/>
        </w:rPr>
        <w:t xml:space="preserve">We considered three approaches: Singular Value Decomposition (SVD), Non-negative Matrix Factorization (NMF), and LDA. LDA was chosen for four specific reasons:</w:t>
      </w:r>
    </w:p>
    <w:p>
      <w:pPr>
        <w:spacing w:after="160" w:line="300"/>
      </w:pPr>
      <w:r>
        <w:rPr>
          <w:rFonts w:ascii="Arial" w:cs="Arial" w:eastAsia="Arial" w:hAnsi="Arial"/>
          <w:b/>
          <w:bCs/>
          <w:color w:val="1A1A1A"/>
          <w:sz w:val="22"/>
          <w:szCs w:val="22"/>
        </w:rPr>
        <w:t xml:space="preserve">1. Full probabilistic framework with uncertainty estimates: </w:t>
      </w:r>
      <w:r>
        <w:rPr>
          <w:rFonts w:ascii="Arial" w:cs="Arial" w:eastAsia="Arial" w:hAnsi="Arial"/>
          <w:color w:val="1A1A1A"/>
          <w:sz w:val="22"/>
          <w:szCs w:val="22"/>
        </w:rPr>
        <w:t xml:space="preserve">LDA provides not just point estimates but full posterior distributions over the latent variables. When we run LDA’s inference algorithm (Gibbs sampling), we do not get a single answer for each fund’s theme composition — we get many plausible answers, each representing one draw from the posterior distribution. The spread of these answers tells us how confident the model is. This is critical: when comparing two funds, we can ask not just “are their theme compositions close?” but “how confident is the model that they are close?” This directly serves our low-FP objective because we can be conservative and only declare similarity when the model is highly confident. NMF and SVD give only a single decomposition with no notion of uncertainty.</w:t>
      </w:r>
    </w:p>
    <w:p>
      <w:pPr>
        <w:spacing w:after="160" w:line="300"/>
      </w:pPr>
      <w:r>
        <w:rPr>
          <w:rFonts w:ascii="Arial" w:cs="Arial" w:eastAsia="Arial" w:hAnsi="Arial"/>
          <w:b/>
          <w:bCs/>
          <w:color w:val="1A1A1A"/>
          <w:sz w:val="22"/>
          <w:szCs w:val="22"/>
        </w:rPr>
        <w:t xml:space="preserve">2. Fold-in inference for new funds: </w:t>
      </w:r>
      <w:r>
        <w:rPr>
          <w:rFonts w:ascii="Arial" w:cs="Arial" w:eastAsia="Arial" w:hAnsi="Arial"/>
          <w:color w:val="1A1A1A"/>
          <w:sz w:val="22"/>
          <w:szCs w:val="22"/>
        </w:rPr>
        <w:t xml:space="preserve">When a new mutual fund enters the market (or one we have not previously analyzed), we can estimate its theme composition without retraining the entire model. We hold the learned theme-asset distributions fixed and run inference on only the new fund’s holdings. This completes in seconds. NMF has no principled mechanism for this — you would need to rerun the entire factorization with the new fund included, or resort to ad-hoc projection methods lacking theoretical grounding. This is particularly valuable because the fund universe is constantly changing: new funds launch, existing funds get restructured, and we need to locate them in the existing theme space cheaply.</w:t>
      </w:r>
    </w:p>
    <w:p>
      <w:pPr>
        <w:spacing w:after="160" w:line="300"/>
      </w:pPr>
      <w:r>
        <w:rPr>
          <w:rFonts w:ascii="Arial" w:cs="Arial" w:eastAsia="Arial" w:hAnsi="Arial"/>
          <w:b/>
          <w:bCs/>
          <w:color w:val="1A1A1A"/>
          <w:sz w:val="22"/>
          <w:szCs w:val="22"/>
        </w:rPr>
        <w:t xml:space="preserve">3. Generative capability: </w:t>
      </w:r>
      <w:r>
        <w:rPr>
          <w:rFonts w:ascii="Arial" w:cs="Arial" w:eastAsia="Arial" w:hAnsi="Arial"/>
          <w:color w:val="1A1A1A"/>
          <w:sz w:val="22"/>
          <w:szCs w:val="22"/>
        </w:rPr>
        <w:t xml:space="preserve">LDA can generate entirely new, synthetic fund portfolios by sampling from the learned distributions. A desired theme profile (e.g., 60% banking, 30% IT, 10% debt) can be translated into a concrete portfolio of assets with specific weights. The generated weights naturally sum to 1 (explained in Section 3.2), producing valid portfolio allocations. While these may not satisfy all real-world constraints (regulatory limits, liquidity requirements), they provide principled directional insights. Neither NMF nor SVD has a generative mechanism.</w:t>
      </w:r>
    </w:p>
    <w:p>
      <w:pPr>
        <w:spacing w:after="160" w:line="300"/>
      </w:pPr>
      <w:r>
        <w:rPr>
          <w:rFonts w:ascii="Arial" w:cs="Arial" w:eastAsia="Arial" w:hAnsi="Arial"/>
          <w:b/>
          <w:bCs/>
          <w:color w:val="1A1A1A"/>
          <w:sz w:val="22"/>
          <w:szCs w:val="22"/>
        </w:rPr>
        <w:t xml:space="preserve">4. Interpretable latent themes: </w:t>
      </w:r>
      <w:r>
        <w:rPr>
          <w:rFonts w:ascii="Arial" w:cs="Arial" w:eastAsia="Arial" w:hAnsi="Arial"/>
          <w:color w:val="1A1A1A"/>
          <w:sz w:val="22"/>
          <w:szCs w:val="22"/>
        </w:rPr>
        <w:t xml:space="preserve">Each discovered “topic” is a probability distribution over assets, directly interpretable as an investment theme. For example, a topic placing high weight on HDFC Bank, ICICI Bank, and SBI can be read as “Indian banking sector.” NMF shares this interpretability (its factors are also non-negative and additive). SVD does not — it allows negative values in its factors, and a negative loading on an asset has no meaningful interpretation in the portfolio context.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C8A" w:sz="2"/>
              <w:left w:val="single" w:color="2B5C8A" w:sz="6"/>
              <w:bottom w:val="single" w:color="2B5C8A" w:sz="2"/>
              <w:right w:val="single" w:color="2B5C8A" w:sz="2"/>
            </w:tcBorders>
            <w:shd w:fill="E8F0F8" w:val="clear"/>
            <w:tcMar>
              <w:top w:type="dxa" w:w="120"/>
              <w:left w:type="dxa" w:w="200"/>
              <w:bottom w:type="dxa" w:w="120"/>
              <w:right w:type="dxa" w:w="200"/>
            </w:tcMar>
          </w:tcPr>
          <w:p>
            <w:pPr>
              <w:spacing w:after="80"/>
            </w:pPr>
            <w:r>
              <w:rPr>
                <w:rFonts w:ascii="Arial" w:cs="Arial" w:eastAsia="Arial" w:hAnsi="Arial"/>
                <w:b/>
                <w:bCs/>
                <w:color w:val="2B5C8A"/>
                <w:sz w:val="22"/>
                <w:szCs w:val="22"/>
              </w:rPr>
              <w:t xml:space="preserve">Why not NMF or SVD?</w:t>
            </w:r>
          </w:p>
          <w:p>
            <w:pPr>
              <w:spacing w:after="100" w:line="280"/>
            </w:pPr>
            <w:r>
              <w:rPr>
                <w:rFonts w:ascii="Arial" w:cs="Arial" w:eastAsia="Arial" w:hAnsi="Arial"/>
                <w:color w:val="1A1A1A"/>
                <w:sz w:val="21"/>
                <w:szCs w:val="21"/>
              </w:rPr>
              <w:t xml:space="preserve">NMF decomposes a non-negative matrix into two non-negative factor matrices. Its output is interpretable and structurally similar to LDA’s output. However, NMF provides only a single point decomposition — no uncertainty estimates, no principled fold-in inference, and no generative model. Everything NMF gives you, LDA also gives you, plus more.</w:t>
            </w:r>
          </w:p>
          <w:p>
            <w:pPr>
              <w:spacing w:after="0" w:line="280"/>
            </w:pPr>
            <w:r>
              <w:rPr>
                <w:rFonts w:ascii="Arial" w:cs="Arial" w:eastAsia="Arial" w:hAnsi="Arial"/>
                <w:color w:val="1A1A1A"/>
                <w:sz w:val="21"/>
                <w:szCs w:val="21"/>
              </w:rPr>
              <w:t xml:space="preserve">SVD allows negative values in its factors, making interpretation in the portfolio context meaningless. It is also purely algebraic with no probabilistic foundation.</w:t>
            </w:r>
          </w:p>
        </w:tc>
      </w:tr>
    </w:tbl>
    <w:p>
      <w:pPr>
        <w:pStyle w:val="Heading2"/>
      </w:pPr>
      <w:r>
        <w:t xml:space="preserve">1.6 Why Not TF-IDF or Vocabulary Pruning?</w:t>
      </w:r>
    </w:p>
    <w:p>
      <w:pPr>
        <w:spacing w:after="160" w:line="300"/>
      </w:pPr>
      <w:r>
        <w:rPr>
          <w:rFonts w:ascii="Arial" w:cs="Arial" w:eastAsia="Arial" w:hAnsi="Arial"/>
          <w:color w:val="1A1A1A"/>
          <w:sz w:val="22"/>
          <w:szCs w:val="22"/>
        </w:rPr>
        <w:t xml:space="preserve">In standard text-based LDA, two preprocessing steps are common: (1) applying TF-IDF weighting to the document-term matrix, and (2) pruning the vocabulary by removing stopwords (very common words) and rare words. Neither is appropriate for our fund domain. Here is why:</w:t>
      </w:r>
    </w:p>
    <w:p>
      <w:pPr>
        <w:pStyle w:val="Heading3"/>
      </w:pPr>
      <w:r>
        <w:t xml:space="preserve">Why not TF-IDF?</w:t>
      </w:r>
    </w:p>
    <w:p>
      <w:pPr>
        <w:spacing w:after="160" w:line="300"/>
      </w:pPr>
      <w:r>
        <w:rPr>
          <w:rFonts w:ascii="Arial" w:cs="Arial" w:eastAsia="Arial" w:hAnsi="Arial"/>
          <w:color w:val="1A1A1A"/>
          <w:sz w:val="22"/>
          <w:szCs w:val="22"/>
        </w:rPr>
        <w:t xml:space="preserve">LDA is a generative probabilistic model that assumes each word in a document was drawn as a discrete count. TF-IDF produces continuous real-valued weights, breaking this generative assumption. The probabilistic interpretation of the model becomes invalid. In the text domain, people achieve a similar effect to TF-IDF through vocabulary pruning (see below), which removes uninformative words without distorting the model.</w:t>
      </w:r>
    </w:p>
    <w:p>
      <w:pPr>
        <w:pStyle w:val="Heading3"/>
      </w:pPr>
      <w:r>
        <w:t xml:space="preserve">Why not vocabulary pruning?</w:t>
      </w:r>
    </w:p>
    <w:p>
      <w:pPr>
        <w:spacing w:after="160" w:line="300"/>
      </w:pPr>
      <w:r>
        <w:rPr>
          <w:rFonts w:ascii="Arial" w:cs="Arial" w:eastAsia="Arial" w:hAnsi="Arial"/>
          <w:color w:val="1A1A1A"/>
          <w:sz w:val="22"/>
          <w:szCs w:val="22"/>
        </w:rPr>
        <w:t xml:space="preserve">In text, stopwords like “the,” “is,” and “and” carry zero discriminative information in both dimensions: they appear in every document AND they tell you nothing about the topic. There is no scenario where the frequency of “the” helps you understand what a document is about. Removing them is unambiguously beneficial.</w:t>
      </w:r>
    </w:p>
    <w:p>
      <w:pPr>
        <w:spacing w:after="160" w:line="300"/>
      </w:pPr>
      <w:r>
        <w:rPr>
          <w:rFonts w:ascii="Arial" w:cs="Arial" w:eastAsia="Arial" w:hAnsi="Arial"/>
          <w:color w:val="1A1A1A"/>
          <w:sz w:val="22"/>
          <w:szCs w:val="22"/>
        </w:rPr>
        <w:t xml:space="preserve">In the fund domain, the situation is fundamentally different:</w:t>
      </w:r>
    </w:p>
    <w:p>
      <w:pPr>
        <w:spacing w:after="160" w:line="300"/>
      </w:pPr>
      <w:r>
        <w:rPr>
          <w:rFonts w:ascii="Arial" w:cs="Arial" w:eastAsia="Arial" w:hAnsi="Arial"/>
          <w:b/>
          <w:bCs/>
          <w:color w:val="1A1A1A"/>
          <w:sz w:val="22"/>
          <w:szCs w:val="22"/>
        </w:rPr>
        <w:t xml:space="preserve">Common assets are informative: </w:t>
      </w:r>
      <w:r>
        <w:rPr>
          <w:rFonts w:ascii="Arial" w:cs="Arial" w:eastAsia="Arial" w:hAnsi="Arial"/>
          <w:color w:val="1A1A1A"/>
          <w:sz w:val="22"/>
          <w:szCs w:val="22"/>
        </w:rPr>
        <w:t xml:space="preserve">An asset like a government bond may appear in many funds, but unlike a stopword, its weight varies meaningfully across funds. A fund holding 15% in government bonds versus another holding 2% is telling you something real about their risk profiles. When we convert to pseudo-counts (Step 2), this becomes 150 vs 20, and the model should pick up on this variation. Removing the asset would destroy real signal.</w:t>
      </w:r>
    </w:p>
    <w:p>
      <w:pPr>
        <w:spacing w:after="160" w:line="300"/>
      </w:pPr>
      <w:r>
        <w:rPr>
          <w:rFonts w:ascii="Arial" w:cs="Arial" w:eastAsia="Arial" w:hAnsi="Arial"/>
          <w:b/>
          <w:bCs/>
          <w:color w:val="1A1A1A"/>
          <w:sz w:val="22"/>
          <w:szCs w:val="22"/>
        </w:rPr>
        <w:t xml:space="preserve">Even if weights are similar across funds, that is informative: </w:t>
      </w:r>
      <w:r>
        <w:rPr>
          <w:rFonts w:ascii="Arial" w:cs="Arial" w:eastAsia="Arial" w:hAnsi="Arial"/>
          <w:color w:val="1A1A1A"/>
          <w:sz w:val="22"/>
          <w:szCs w:val="22"/>
        </w:rPr>
        <w:t xml:space="preserve">If many funds hold similar proportions of a common asset, that itself indicates a dimension of genuine similarity among those funds. There is nothing wrong with the model discovering this — it is a real feature of the data, unlike the ubiquity of “the” which is an artifact of language grammar.</w:t>
      </w:r>
    </w:p>
    <w:p>
      <w:pPr>
        <w:spacing w:after="160" w:line="300"/>
      </w:pPr>
      <w:r>
        <w:rPr>
          <w:rFonts w:ascii="Arial" w:cs="Arial" w:eastAsia="Arial" w:hAnsi="Arial"/>
          <w:b/>
          <w:bCs/>
          <w:color w:val="1A1A1A"/>
          <w:sz w:val="22"/>
          <w:szCs w:val="22"/>
        </w:rPr>
        <w:t xml:space="preserve">Rare assets signal uniqueness: </w:t>
      </w:r>
      <w:r>
        <w:rPr>
          <w:rFonts w:ascii="Arial" w:cs="Arial" w:eastAsia="Arial" w:hAnsi="Arial"/>
          <w:color w:val="1A1A1A"/>
          <w:sz w:val="22"/>
          <w:szCs w:val="22"/>
        </w:rPr>
        <w:t xml:space="preserve">An asset held by only one or two funds is a deliberate investment decision. In text, a word appearing in one document is often a typo. In finance, it signals that fund has a unique positioning. Keeping it helps the model recognize distinctiveness, which directly serves our low-FP objective — removing it would make the fund look more generic than it truly is.</w:t>
      </w:r>
    </w:p>
    <w:p>
      <w:pPr>
        <w:spacing w:after="160" w:line="300"/>
      </w:pPr>
      <w:r>
        <w:rPr>
          <w:rFonts w:ascii="Arial" w:cs="Arial" w:eastAsia="Arial" w:hAnsi="Arial"/>
          <w:color w:val="1A1A1A"/>
          <w:sz w:val="22"/>
          <w:szCs w:val="22"/>
        </w:rPr>
        <w:t xml:space="preserve">Additionally, the pseudo-count conversion and the sparsity-inducing Dirichlet hyperparameters (low α and β) naturally handle what pruning tries to solve: a ubiquitous low-weight asset will have low pseudo-counts and will not dominate any theme, and a rare asset will appear in at most one or two funds and the model will assign it to a niche theme or spread it thinly.</w:t>
      </w:r>
    </w:p>
    <w:p>
      <w:pPr>
        <w:spacing w:after="160" w:line="300"/>
      </w:pPr>
      <w:r>
        <w:rPr>
          <w:rFonts w:ascii="Arial" w:cs="Arial" w:eastAsia="Arial" w:hAnsi="Arial"/>
          <w:color w:val="1A1A1A"/>
          <w:sz w:val="22"/>
          <w:szCs w:val="22"/>
        </w:rPr>
        <w:t xml:space="preserve">Therefore, our pipeline has no vocabulary pruning step. The data goes directly from raw weight matrix to pseudo-count conversion.</w:t>
      </w:r>
    </w:p>
    <w:p>
      <w:pPr>
        <w:pStyle w:val="Heading2"/>
      </w:pPr>
      <w:r>
        <w:t xml:space="preserve">1.7 Overview of the Pipeline</w:t>
      </w:r>
    </w:p>
    <w:p>
      <w:pPr>
        <w:spacing w:after="160" w:line="300"/>
      </w:pPr>
      <w:r>
        <w:rPr>
          <w:rFonts w:ascii="Arial" w:cs="Arial" w:eastAsia="Arial" w:hAnsi="Arial"/>
          <w:color w:val="1A1A1A"/>
          <w:sz w:val="22"/>
          <w:szCs w:val="22"/>
        </w:rPr>
        <w:t xml:space="preserve">The complete pipeline consists of eight sequential steps. Each step’s output feeds directly into the next.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56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Data Preparation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Fund-Asset weight matrix (rows sum to 1)</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2</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Pseudo-Count Conversion</w:t>
            </w:r>
          </w:p>
        </w:tc>
        <w:tc>
          <w:tcPr>
            <w:tcW w:type="dxa" w:w="5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Integer count matrix compatible with LDA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Hyperparameter Selection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Values for α, β, and K</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4</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Run LDA via Gibbs Sampling</w:t>
            </w:r>
          </w:p>
        </w:tc>
        <w:tc>
          <w:tcPr>
            <w:tcW w:type="dxa" w:w="5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Posterior samples of θ and φ</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Extract Posterior Distributions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Multiple plausible θ vectors per fund</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6</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Compute Pairwise Distances</w:t>
            </w:r>
          </w:p>
        </w:tc>
        <w:tc>
          <w:tcPr>
            <w:tcW w:type="dxa" w:w="5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JSD distance matrix with uncertainty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Hierarchical Clustering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Conservative clusters of similar funds</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8</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Evaluation with Synthetic Labels</w:t>
            </w:r>
          </w:p>
        </w:tc>
        <w:tc>
          <w:tcPr>
            <w:tcW w:type="dxa" w:w="5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Pairwise precision, ARI, NMI scores</w:t>
            </w:r>
          </w:p>
        </w:tc>
      </w:tr>
    </w:tbl>
    <w:p>
      <w:r>
        <w:br w:type="page"/>
      </w:r>
    </w:p>
    <w:p>
      <w:pPr>
        <w:pStyle w:val="Heading1"/>
      </w:pPr>
      <w:r>
        <w:t xml:space="preserve">2. Background: Key Concepts Explained</w:t>
      </w:r>
    </w:p>
    <w:p>
      <w:pPr>
        <w:spacing w:after="160" w:line="300"/>
      </w:pPr>
      <w:r>
        <w:rPr>
          <w:rFonts w:ascii="Arial" w:cs="Arial" w:eastAsia="Arial" w:hAnsi="Arial"/>
          <w:color w:val="1A1A1A"/>
          <w:sz w:val="22"/>
          <w:szCs w:val="22"/>
        </w:rPr>
        <w:t xml:space="preserve">This section provides self-contained explanations of all mathematical and probabilistic concepts needed to understand the pipeline. A reader with no prior exposure to LDA should be able to follow the entire document after reading this section.</w:t>
      </w:r>
    </w:p>
    <w:p>
      <w:pPr>
        <w:pStyle w:val="Heading2"/>
      </w:pPr>
      <w:r>
        <w:t xml:space="preserve">2.1 The Dirichlet Distribution</w:t>
      </w:r>
    </w:p>
    <w:p>
      <w:pPr>
        <w:spacing w:after="160" w:line="300"/>
      </w:pPr>
      <w:r>
        <w:rPr>
          <w:rFonts w:ascii="Arial" w:cs="Arial" w:eastAsia="Arial" w:hAnsi="Arial"/>
          <w:color w:val="1A1A1A"/>
          <w:sz w:val="22"/>
          <w:szCs w:val="22"/>
        </w:rPr>
        <w:t xml:space="preserve">The Dirichlet distribution is a probability distribution over probability distributions. More concretely, if you have K categories and you want a random vector (θ₁, θ₂, ..., θₖ) where each θᵢ ≥ 0 and all values sum to 1, the Dirichlet distribution is the natural way to generate such vectors.</w:t>
      </w:r>
    </w:p>
    <w:p>
      <w:pPr>
        <w:spacing w:after="160" w:line="300"/>
      </w:pPr>
      <w:r>
        <w:rPr>
          <w:rFonts w:ascii="Arial" w:cs="Arial" w:eastAsia="Arial" w:hAnsi="Arial"/>
          <w:color w:val="1A1A1A"/>
          <w:sz w:val="22"/>
          <w:szCs w:val="22"/>
        </w:rPr>
        <w:t xml:space="preserve">It is parameterized by a vector α = (α₁, α₂, ..., αₖ) where each αᵢ &gt; 0. These parameters control the shape of the distribution:</w:t>
      </w:r>
    </w:p>
    <w:p>
      <w:pPr>
        <w:spacing w:after="160" w:line="300"/>
      </w:pPr>
      <w:r>
        <w:rPr>
          <w:rFonts w:ascii="Arial" w:cs="Arial" w:eastAsia="Arial" w:hAnsi="Arial"/>
          <w:b/>
          <w:bCs/>
          <w:color w:val="1A1A1A"/>
          <w:sz w:val="22"/>
          <w:szCs w:val="22"/>
        </w:rPr>
        <w:t xml:space="preserve">When all αᵢ are large (say, αᵢ = 100): </w:t>
      </w:r>
      <w:r>
        <w:rPr>
          <w:rFonts w:ascii="Arial" w:cs="Arial" w:eastAsia="Arial" w:hAnsi="Arial"/>
          <w:color w:val="1A1A1A"/>
          <w:sz w:val="22"/>
          <w:szCs w:val="22"/>
        </w:rPr>
        <w:t xml:space="preserve">The resulting vectors are nearly uniform — every category gets roughly equal probability. Think of a fund that equally distributes money across all investment themes.</w:t>
      </w:r>
    </w:p>
    <w:p>
      <w:pPr>
        <w:spacing w:after="160" w:line="300"/>
      </w:pPr>
      <w:r>
        <w:rPr>
          <w:rFonts w:ascii="Arial" w:cs="Arial" w:eastAsia="Arial" w:hAnsi="Arial"/>
          <w:b/>
          <w:bCs/>
          <w:color w:val="1A1A1A"/>
          <w:sz w:val="22"/>
          <w:szCs w:val="22"/>
        </w:rPr>
        <w:t xml:space="preserve">When all αᵢ = 1: </w:t>
      </w:r>
      <w:r>
        <w:rPr>
          <w:rFonts w:ascii="Arial" w:cs="Arial" w:eastAsia="Arial" w:hAnsi="Arial"/>
          <w:color w:val="1A1A1A"/>
          <w:sz w:val="22"/>
          <w:szCs w:val="22"/>
        </w:rPr>
        <w:t xml:space="preserve">All possible probability vectors are equally likely. This is the uniform distribution over the simplex (the space of valid probability vectors).</w:t>
      </w:r>
    </w:p>
    <w:p>
      <w:pPr>
        <w:spacing w:after="160" w:line="300"/>
      </w:pPr>
      <w:r>
        <w:rPr>
          <w:rFonts w:ascii="Arial" w:cs="Arial" w:eastAsia="Arial" w:hAnsi="Arial"/>
          <w:b/>
          <w:bCs/>
          <w:color w:val="1A1A1A"/>
          <w:sz w:val="22"/>
          <w:szCs w:val="22"/>
        </w:rPr>
        <w:t xml:space="preserve">When all αᵢ are small (say, αᵢ = 0.1): </w:t>
      </w:r>
      <w:r>
        <w:rPr>
          <w:rFonts w:ascii="Arial" w:cs="Arial" w:eastAsia="Arial" w:hAnsi="Arial"/>
          <w:color w:val="1A1A1A"/>
          <w:sz w:val="22"/>
          <w:szCs w:val="22"/>
        </w:rPr>
        <w:t xml:space="preserve">The resulting vectors are sparse — most entries are near zero, with a few entries dominating. This is exactly what we want: a fund that concentrates on just a few investment themes.</w:t>
      </w:r>
    </w:p>
    <w:p>
      <w:pPr>
        <w:spacing w:after="160" w:line="300"/>
      </w:pPr>
      <w:r>
        <w:rPr>
          <w:rFonts w:ascii="Arial" w:cs="Arial" w:eastAsia="Arial" w:hAnsi="Arial"/>
          <w:color w:val="1A1A1A"/>
          <w:sz w:val="22"/>
          <w:szCs w:val="22"/>
        </w:rPr>
        <w:t xml:space="preserve">In LDA, we use two Dirichlet distributions: one (parameterized by α) that generates each fund’s theme distribution θ, and another (parameterized by β) that generates each theme’s asset distribution φ.</w:t>
      </w:r>
    </w:p>
    <w:p>
      <w:pPr>
        <w:pStyle w:val="Heading2"/>
      </w:pPr>
      <w:r>
        <w:t xml:space="preserve">2.2 LDA’s Generative Story</w:t>
      </w:r>
    </w:p>
    <w:p>
      <w:pPr>
        <w:spacing w:after="160" w:line="300"/>
      </w:pPr>
      <w:r>
        <w:rPr>
          <w:rFonts w:ascii="Arial" w:cs="Arial" w:eastAsia="Arial" w:hAnsi="Arial"/>
          <w:color w:val="1A1A1A"/>
          <w:sz w:val="22"/>
          <w:szCs w:val="22"/>
        </w:rPr>
        <w:t xml:space="preserve">LDA is a generative model, meaning it tells a fictional “story” about how each document (fund) was created. While no actual fund was created this way, the story defines a probabilistic structure that we can invert (via inference) to discover the latent themes. Here is the story, told in fund terms:</w:t>
      </w:r>
    </w:p>
    <w:p>
      <w:pPr>
        <w:spacing w:after="160" w:line="300"/>
      </w:pPr>
      <w:r>
        <w:rPr>
          <w:rFonts w:ascii="Arial" w:cs="Arial" w:eastAsia="Arial" w:hAnsi="Arial"/>
          <w:b/>
          <w:bCs/>
          <w:color w:val="1A1A1A"/>
          <w:sz w:val="22"/>
          <w:szCs w:val="22"/>
        </w:rPr>
        <w:t xml:space="preserve">For each investment theme k (from 1 to K): </w:t>
      </w:r>
      <w:r>
        <w:rPr>
          <w:rFonts w:ascii="Arial" w:cs="Arial" w:eastAsia="Arial" w:hAnsi="Arial"/>
          <w:color w:val="1A1A1A"/>
          <w:sz w:val="22"/>
          <w:szCs w:val="22"/>
        </w:rPr>
        <w:t xml:space="preserve">Draw a distribution over assets: φₖ ~ Dirichlet(β). This distribution says how likely each asset is to appear in theme k. For example, a “banking” theme would place high probability on bank stocks and low probability on pharmaceutical stocks.</w:t>
      </w:r>
    </w:p>
    <w:p>
      <w:pPr>
        <w:spacing w:after="160" w:line="300"/>
      </w:pPr>
      <w:r>
        <w:rPr>
          <w:rFonts w:ascii="Arial" w:cs="Arial" w:eastAsia="Arial" w:hAnsi="Arial"/>
          <w:b/>
          <w:bCs/>
          <w:color w:val="1A1A1A"/>
          <w:sz w:val="22"/>
          <w:szCs w:val="22"/>
        </w:rPr>
        <w:t xml:space="preserve">For each mutual fund d: </w:t>
      </w:r>
      <w:r>
        <w:rPr>
          <w:rFonts w:ascii="Arial" w:cs="Arial" w:eastAsia="Arial" w:hAnsi="Arial"/>
          <w:color w:val="1A1A1A"/>
          <w:sz w:val="22"/>
          <w:szCs w:val="22"/>
        </w:rPr>
        <w:t xml:space="preserve">(a) Draw a distribution over themes: θᵈ ~ Dirichlet(α). This distribution says what mix of themes fund d follows. For example, a balanced fund might have θ = [0.4 equity-growth, 0.3 fixed-income, 0.2 international, 0.1 commodity].</w:t>
      </w:r>
    </w:p>
    <w:p>
      <w:pPr>
        <w:spacing w:after="160" w:line="300"/>
      </w:pPr>
      <w:r>
        <w:rPr>
          <w:rFonts w:ascii="Arial" w:cs="Arial" w:eastAsia="Arial" w:hAnsi="Arial"/>
          <w:color w:val="1A1A1A"/>
          <w:sz w:val="22"/>
          <w:szCs w:val="22"/>
        </w:rPr>
        <w:t xml:space="preserve">   (b) For each “allocation slot” n in the fund (imagine the fund making N independent allocation decisions): (i) Choose a theme zₙ ~ Multinomial(θᵈ). (ii) Choose an asset wₙ ~ Multinomial(φₖ) where k = zₙ.</w:t>
      </w:r>
    </w:p>
    <w:p>
      <w:pPr>
        <w:spacing w:after="160" w:line="300"/>
      </w:pPr>
      <w:r>
        <w:rPr>
          <w:rFonts w:ascii="Arial" w:cs="Arial" w:eastAsia="Arial" w:hAnsi="Arial"/>
          <w:color w:val="1A1A1A"/>
          <w:sz w:val="22"/>
          <w:szCs w:val="22"/>
        </w:rPr>
        <w:t xml:space="preserve">The key insight: we observe only the final portfolio (which assets and their weights). The themes, the fund-theme distributions, and the theme-asset distributions are all latent (hidden). LDA’s inference procedure works backwards from the observed portfolios to estimate these hidden variables.</w:t>
      </w:r>
    </w:p>
    <w:p>
      <w:pPr>
        <w:pStyle w:val="Heading2"/>
      </w:pPr>
      <w:r>
        <w:t xml:space="preserve">2.3 Gibbs Sampling</w:t>
      </w:r>
    </w:p>
    <w:p>
      <w:pPr>
        <w:spacing w:after="160" w:line="300"/>
      </w:pPr>
      <w:r>
        <w:rPr>
          <w:rFonts w:ascii="Arial" w:cs="Arial" w:eastAsia="Arial" w:hAnsi="Arial"/>
          <w:color w:val="1A1A1A"/>
          <w:sz w:val="22"/>
          <w:szCs w:val="22"/>
        </w:rPr>
        <w:t xml:space="preserve">Gibbs sampling is the inference algorithm we use to estimate the hidden variables in LDA. The core idea is simple but powerful:</w:t>
      </w:r>
    </w:p>
    <w:p>
      <w:pPr>
        <w:spacing w:after="160" w:line="300"/>
      </w:pPr>
      <w:r>
        <w:rPr>
          <w:rFonts w:ascii="Arial" w:cs="Arial" w:eastAsia="Arial" w:hAnsi="Arial"/>
          <w:color w:val="1A1A1A"/>
          <w:sz w:val="22"/>
          <w:szCs w:val="22"/>
        </w:rPr>
        <w:t xml:space="preserve">We cannot directly compute the joint posterior distribution P(θ, φ, z | data) because it is intractable. However, we can compute each variable’s conditional distribution given all other variables. Gibbs sampling exploits this by iterating:</w:t>
      </w:r>
    </w:p>
    <w:p>
      <w:pPr>
        <w:spacing w:after="160" w:line="300"/>
      </w:pPr>
      <w:r>
        <w:rPr>
          <w:rFonts w:ascii="Arial" w:cs="Arial" w:eastAsia="Arial" w:hAnsi="Arial"/>
          <w:b/>
          <w:bCs/>
          <w:color w:val="1A1A1A"/>
          <w:sz w:val="22"/>
          <w:szCs w:val="22"/>
        </w:rPr>
        <w:t xml:space="preserve">1. Initialization: </w:t>
      </w:r>
      <w:r>
        <w:rPr>
          <w:rFonts w:ascii="Arial" w:cs="Arial" w:eastAsia="Arial" w:hAnsi="Arial"/>
          <w:color w:val="1A1A1A"/>
          <w:sz w:val="22"/>
          <w:szCs w:val="22"/>
        </w:rPr>
        <w:t xml:space="preserve">Assign all topic assignments z randomly.</w:t>
      </w:r>
    </w:p>
    <w:p>
      <w:pPr>
        <w:spacing w:after="160" w:line="300"/>
      </w:pPr>
      <w:r>
        <w:rPr>
          <w:rFonts w:ascii="Arial" w:cs="Arial" w:eastAsia="Arial" w:hAnsi="Arial"/>
          <w:b/>
          <w:bCs/>
          <w:color w:val="1A1A1A"/>
          <w:sz w:val="22"/>
          <w:szCs w:val="22"/>
        </w:rPr>
        <w:t xml:space="preserve">2. Iteration: </w:t>
      </w:r>
      <w:r>
        <w:rPr>
          <w:rFonts w:ascii="Arial" w:cs="Arial" w:eastAsia="Arial" w:hAnsi="Arial"/>
          <w:color w:val="1A1A1A"/>
          <w:sz w:val="22"/>
          <w:szCs w:val="22"/>
        </w:rPr>
        <w:t xml:space="preserve">For each asset-occurrence in each fund, compute the probability that it belongs to each theme, conditioned on all other current assignments. Resample its theme from this conditional distribution.</w:t>
      </w:r>
    </w:p>
    <w:p>
      <w:pPr>
        <w:spacing w:after="160" w:line="300"/>
      </w:pPr>
      <w:r>
        <w:rPr>
          <w:rFonts w:ascii="Arial" w:cs="Arial" w:eastAsia="Arial" w:hAnsi="Arial"/>
          <w:b/>
          <w:bCs/>
          <w:color w:val="1A1A1A"/>
          <w:sz w:val="22"/>
          <w:szCs w:val="22"/>
        </w:rPr>
        <w:t xml:space="preserve">3. Repeat: </w:t>
      </w:r>
      <w:r>
        <w:rPr>
          <w:rFonts w:ascii="Arial" w:cs="Arial" w:eastAsia="Arial" w:hAnsi="Arial"/>
          <w:color w:val="1A1A1A"/>
          <w:sz w:val="22"/>
          <w:szCs w:val="22"/>
        </w:rPr>
        <w:t xml:space="preserve">Repeat step 2 many times (typically hundreds or thousands of iterations).</w:t>
      </w:r>
    </w:p>
    <w:p>
      <w:pPr>
        <w:spacing w:after="160" w:line="300"/>
      </w:pPr>
      <w:r>
        <w:rPr>
          <w:rFonts w:ascii="Arial" w:cs="Arial" w:eastAsia="Arial" w:hAnsi="Arial"/>
          <w:b/>
          <w:bCs/>
          <w:color w:val="1A1A1A"/>
          <w:sz w:val="22"/>
          <w:szCs w:val="22"/>
        </w:rPr>
        <w:t xml:space="preserve">4. Collection: </w:t>
      </w:r>
      <w:r>
        <w:rPr>
          <w:rFonts w:ascii="Arial" w:cs="Arial" w:eastAsia="Arial" w:hAnsi="Arial"/>
          <w:color w:val="1A1A1A"/>
          <w:sz w:val="22"/>
          <w:szCs w:val="22"/>
        </w:rPr>
        <w:t xml:space="preserve">After a burn-in period (discarding early iterations where the chain has not yet converged), the subsequent samples are draws from the true posterior distribution.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C8A" w:sz="2"/>
              <w:left w:val="single" w:color="2B5C8A" w:sz="6"/>
              <w:bottom w:val="single" w:color="2B5C8A" w:sz="2"/>
              <w:right w:val="single" w:color="2B5C8A" w:sz="2"/>
            </w:tcBorders>
            <w:shd w:fill="E8F0F8" w:val="clear"/>
            <w:tcMar>
              <w:top w:type="dxa" w:w="120"/>
              <w:left w:type="dxa" w:w="200"/>
              <w:bottom w:type="dxa" w:w="120"/>
              <w:right w:type="dxa" w:w="200"/>
            </w:tcMar>
          </w:tcPr>
          <w:p>
            <w:pPr>
              <w:spacing w:after="80"/>
            </w:pPr>
            <w:r>
              <w:rPr>
                <w:rFonts w:ascii="Arial" w:cs="Arial" w:eastAsia="Arial" w:hAnsi="Arial"/>
                <w:b/>
                <w:bCs/>
                <w:color w:val="2B5C8A"/>
                <w:sz w:val="22"/>
                <w:szCs w:val="22"/>
              </w:rPr>
              <w:t xml:space="preserve">Critical Point: Multiple Samples, Not One Answer</w:t>
            </w:r>
          </w:p>
          <w:p>
            <w:pPr>
              <w:spacing w:after="100" w:line="280"/>
            </w:pPr>
            <w:r>
              <w:rPr>
                <w:rFonts w:ascii="Arial" w:cs="Arial" w:eastAsia="Arial" w:hAnsi="Arial"/>
                <w:color w:val="1A1A1A"/>
                <w:sz w:val="21"/>
                <w:szCs w:val="21"/>
              </w:rPr>
              <w:t xml:space="preserve">Each post-burn-in iteration of Gibbs sampling gives a complete set of topic assignments, from which we can compute θ and φ. By collecting many such iterations (say, every 10th iteration to reduce autocorrelation), we obtain multiple plausible estimates of each fund’s theme distribution.</w:t>
            </w:r>
          </w:p>
          <w:p>
            <w:pPr>
              <w:spacing w:after="0" w:line="280"/>
            </w:pPr>
            <w:r>
              <w:rPr>
                <w:rFonts w:ascii="Arial" w:cs="Arial" w:eastAsia="Arial" w:hAnsi="Arial"/>
                <w:color w:val="1A1A1A"/>
                <w:sz w:val="21"/>
                <w:szCs w:val="21"/>
              </w:rPr>
              <w:t xml:space="preserve">This collection of samples IS the posterior distribution. It is NOT the case that LDA gives a single θ vector per fund — it gives a distribution of plausible θ vectors. This distinction is fundamental to how we perform conservative clustering in Steps 6–7. If you take away only one thing from this section, let it be this: LDA gives you uncertainty, not certainty, and we use that uncertainty to make better decisions.</w:t>
            </w:r>
          </w:p>
        </w:tc>
      </w:tr>
    </w:tbl>
    <w:p>
      <w:pPr>
        <w:pStyle w:val="Heading2"/>
      </w:pPr>
      <w:r>
        <w:t xml:space="preserve">2.4 Jensen-Shannon Divergence (JSD)</w:t>
      </w:r>
    </w:p>
    <w:p>
      <w:pPr>
        <w:spacing w:after="160" w:line="300"/>
      </w:pPr>
      <w:r>
        <w:rPr>
          <w:rFonts w:ascii="Arial" w:cs="Arial" w:eastAsia="Arial" w:hAnsi="Arial"/>
          <w:color w:val="1A1A1A"/>
          <w:sz w:val="22"/>
          <w:szCs w:val="22"/>
        </w:rPr>
        <w:t xml:space="preserve">To measure how similar two funds are, we need a distance metric between their theme distributions (θ vectors). Since θ vectors are probability distributions, standard Euclidean distance is not appropriate — it does not respect the geometry of the probability simplex.</w:t>
      </w:r>
    </w:p>
    <w:p>
      <w:pPr>
        <w:spacing w:after="160" w:line="300"/>
      </w:pPr>
      <w:r>
        <w:rPr>
          <w:rFonts w:ascii="Arial" w:cs="Arial" w:eastAsia="Arial" w:hAnsi="Arial"/>
          <w:color w:val="1A1A1A"/>
          <w:sz w:val="22"/>
          <w:szCs w:val="22"/>
        </w:rPr>
        <w:t xml:space="preserve">Jensen-Shannon Divergence (JSD) is a symmetric, bounded measure of distance between two probability distributions. For two distributions P and Q:</w:t>
      </w:r>
    </w:p>
    <w:p>
      <w:pPr>
        <w:spacing w:after="160" w:line="300"/>
      </w:pPr>
      <w:r>
        <w:rPr>
          <w:rFonts w:ascii="Arial" w:cs="Arial" w:eastAsia="Arial" w:hAnsi="Arial"/>
          <w:color w:val="1A1A1A"/>
          <w:sz w:val="22"/>
          <w:szCs w:val="22"/>
        </w:rPr>
        <w:t xml:space="preserve">   1. Compute the midpoint: M = (P + Q) / 2</w:t>
      </w:r>
    </w:p>
    <w:p>
      <w:pPr>
        <w:spacing w:after="160" w:line="300"/>
      </w:pPr>
      <w:r>
        <w:rPr>
          <w:rFonts w:ascii="Arial" w:cs="Arial" w:eastAsia="Arial" w:hAnsi="Arial"/>
          <w:color w:val="1A1A1A"/>
          <w:sz w:val="22"/>
          <w:szCs w:val="22"/>
        </w:rPr>
        <w:t xml:space="preserve">   2. Compute the KL divergences: KL(P || M) = Σᵢ Pᵢ · log(Pᵢ / Mᵢ)   and   KL(Q || M) = Σᵢ Qᵢ · log(Qᵢ / Mᵢ)</w:t>
      </w:r>
    </w:p>
    <w:p>
      <w:pPr>
        <w:spacing w:after="160" w:line="300"/>
      </w:pPr>
      <w:r>
        <w:rPr>
          <w:rFonts w:ascii="Arial" w:cs="Arial" w:eastAsia="Arial" w:hAnsi="Arial"/>
          <w:color w:val="1A1A1A"/>
          <w:sz w:val="22"/>
          <w:szCs w:val="22"/>
        </w:rPr>
        <w:t xml:space="preserve">   3. JSD(P, Q) = 0.5 · KL(P || M) + 0.5 · KL(Q || M)</w:t>
      </w:r>
    </w:p>
    <w:p>
      <w:pPr>
        <w:spacing w:after="160" w:line="300"/>
      </w:pPr>
      <w:r>
        <w:rPr>
          <w:rFonts w:ascii="Arial" w:cs="Arial" w:eastAsia="Arial" w:hAnsi="Arial"/>
          <w:color w:val="1A1A1A"/>
          <w:sz w:val="22"/>
          <w:szCs w:val="22"/>
        </w:rPr>
        <w:t xml:space="preserve">Key properties: JSD is always between 0 and 1 (when using log base 2). JSD = 0 means the distributions are identical. JSD = 1 means the distributions have completely non-overlapping support. The square root of JSD is a proper metric (satisfies the triangle inequality).</w:t>
      </w:r>
    </w:p>
    <w:p>
      <w:pPr>
        <w:spacing w:after="160" w:line="300"/>
      </w:pPr>
      <w:r>
        <w:rPr>
          <w:rFonts w:ascii="Arial" w:cs="Arial" w:eastAsia="Arial" w:hAnsi="Arial"/>
          <w:b/>
          <w:bCs/>
          <w:color w:val="1A1A1A"/>
          <w:sz w:val="22"/>
          <w:szCs w:val="22"/>
        </w:rPr>
        <w:t xml:space="preserve">Why JSD and not alternatives? </w:t>
      </w:r>
      <w:r>
        <w:rPr>
          <w:rFonts w:ascii="Arial" w:cs="Arial" w:eastAsia="Arial" w:hAnsi="Arial"/>
          <w:color w:val="1A1A1A"/>
          <w:sz w:val="22"/>
          <w:szCs w:val="22"/>
        </w:rPr>
        <w:t xml:space="preserve">KL divergence is asymmetric (KL(P||Q) ≠ KL(Q||P)) and unbounded, making it unsuitable for pairwise distance. Euclidean distance treats all dimensions equally and ignores the constraint that θ sums to 1. Hellinger distance is another valid candidate (also bounded 0–1, also a proper metric), but JSD is more commonly used in the topic modeling literature and has a natural information-theoretic interpretation as the information gained by knowing which distribution a sample came from.</w:t>
      </w:r>
    </w:p>
    <w:p>
      <w:r>
        <w:br w:type="page"/>
      </w:r>
    </w:p>
    <w:p>
      <w:pPr>
        <w:pStyle w:val="Heading1"/>
      </w:pPr>
      <w:r>
        <w:t xml:space="preserve">3. The Pipeline: Step-by-Step</w:t>
      </w:r>
    </w:p>
    <w:p>
      <w:pPr>
        <w:spacing w:after="160" w:line="300"/>
      </w:pPr>
      <w:r>
        <w:rPr>
          <w:rFonts w:ascii="Arial" w:cs="Arial" w:eastAsia="Arial" w:hAnsi="Arial"/>
          <w:color w:val="1A1A1A"/>
          <w:sz w:val="22"/>
          <w:szCs w:val="22"/>
        </w:rPr>
        <w:t xml:space="preserve">This section walks through each of the eight steps in detail, explaining the objective, procedure, rationale, important implementation details, and expected output for each.</w:t>
      </w:r>
    </w:p>
    <w:p>
      <w:pPr>
        <w:pStyle w:val="Heading2"/>
      </w:pPr>
      <w:r>
        <w:t xml:space="preserve">3.1 Step 1: Data Preparation</w:t>
      </w:r>
    </w:p>
    <w:p>
      <w:pPr>
        <w:pStyle w:val="Heading3"/>
      </w:pPr>
      <w:r>
        <w:t xml:space="preserve">Objective</w:t>
      </w:r>
    </w:p>
    <w:p>
      <w:pPr>
        <w:spacing w:after="160" w:line="300"/>
      </w:pPr>
      <w:r>
        <w:rPr>
          <w:rFonts w:ascii="Arial" w:cs="Arial" w:eastAsia="Arial" w:hAnsi="Arial"/>
          <w:color w:val="1A1A1A"/>
          <w:sz w:val="22"/>
          <w:szCs w:val="22"/>
        </w:rPr>
        <w:t xml:space="preserve">Construct a clean Fund-Asset weight matrix where each row represents a mutual fund, each column represents a unique asset, and each cell contains the proportion (weight) of that asset in that fund’s portfolio.</w:t>
      </w:r>
    </w:p>
    <w:p>
      <w:pPr>
        <w:pStyle w:val="Heading3"/>
      </w:pPr>
      <w:r>
        <w:t xml:space="preserve">Procedure</w:t>
      </w:r>
    </w:p>
    <w:p>
      <w:pPr>
        <w:spacing w:after="160" w:line="300"/>
      </w:pPr>
      <w:r>
        <w:rPr>
          <w:rFonts w:ascii="Arial" w:cs="Arial" w:eastAsia="Arial" w:hAnsi="Arial"/>
          <w:color w:val="1A1A1A"/>
          <w:sz w:val="22"/>
          <w:szCs w:val="22"/>
        </w:rPr>
        <w:t xml:space="preserve">Collect holdings data for all mutual funds in the analysis universe. For each fund, record every asset it holds and the weight (as a fraction of total portfolio value) allocated to that asset. Arrange this into a matrix with F rows (funds) and A columns (unique assets across all funds). If a fund does not hold a particular asset, the corresponding cell is 0.</w:t>
      </w:r>
    </w:p>
    <w:p>
      <w:pPr>
        <w:pStyle w:val="Heading3"/>
      </w:pPr>
      <w:r>
        <w:t xml:space="preserve">Properties of the matrix</w:t>
      </w:r>
    </w:p>
    <w:p>
      <w:pPr>
        <w:spacing w:after="160" w:line="300"/>
      </w:pPr>
      <w:r>
        <w:rPr>
          <w:rFonts w:ascii="Arial" w:cs="Arial" w:eastAsia="Arial" w:hAnsi="Arial"/>
          <w:color w:val="1A1A1A"/>
          <w:sz w:val="22"/>
          <w:szCs w:val="22"/>
        </w:rPr>
        <w:t xml:space="preserve">Each row sums to exactly 1.0 (since weights represent proportions of the total portfolio). The matrix is typically very sparse — a fund might hold 30–80 assets out of a universe of thousands. All values are non-negative (between 0 and 1).</w:t>
      </w:r>
    </w:p>
    <w:p>
      <w:pPr>
        <w:pStyle w:val="Heading3"/>
      </w:pPr>
      <w:r>
        <w:t xml:space="preserve">No preprocessing needed</w:t>
      </w:r>
    </w:p>
    <w:p>
      <w:pPr>
        <w:spacing w:after="160" w:line="300"/>
      </w:pPr>
      <w:r>
        <w:rPr>
          <w:rFonts w:ascii="Arial" w:cs="Arial" w:eastAsia="Arial" w:hAnsi="Arial"/>
          <w:color w:val="1A1A1A"/>
          <w:sz w:val="22"/>
          <w:szCs w:val="22"/>
        </w:rPr>
        <w:t xml:space="preserve">Unlike text LDA where stopword removal and rare-word pruning are standard, we perform no filtering on the asset universe. As discussed in Section 1.6, every asset — common or rare — carries meaningful information in the fund domain. The raw weight matrix goes directly to the next step.</w:t>
      </w:r>
    </w:p>
    <w:p>
      <w:pPr>
        <w:pStyle w:val="Heading3"/>
      </w:pPr>
      <w:r>
        <w:t xml:space="preserve">Output</w:t>
      </w:r>
    </w:p>
    <w:p>
      <w:pPr>
        <w:spacing w:after="160" w:line="300"/>
      </w:pPr>
      <w:r>
        <w:rPr>
          <w:rFonts w:ascii="Arial" w:cs="Arial" w:eastAsia="Arial" w:hAnsi="Arial"/>
          <w:color w:val="1A1A1A"/>
          <w:sz w:val="22"/>
          <w:szCs w:val="22"/>
        </w:rPr>
        <w:t xml:space="preserve">A matrix of dimensions F × A, where F = number of funds and A = number of unique assets. Each row sums to 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C8A" w:sz="2"/>
              <w:left w:val="single" w:color="2B5C8A" w:sz="6"/>
              <w:bottom w:val="single" w:color="2B5C8A" w:sz="2"/>
              <w:right w:val="single" w:color="2B5C8A" w:sz="2"/>
            </w:tcBorders>
            <w:shd w:fill="E8F0F8" w:val="clear"/>
            <w:tcMar>
              <w:top w:type="dxa" w:w="120"/>
              <w:left w:type="dxa" w:w="200"/>
              <w:bottom w:type="dxa" w:w="120"/>
              <w:right w:type="dxa" w:w="200"/>
            </w:tcMar>
          </w:tcPr>
          <w:p>
            <w:pPr>
              <w:spacing w:after="80"/>
            </w:pPr>
            <w:r>
              <w:rPr>
                <w:rFonts w:ascii="Arial" w:cs="Arial" w:eastAsia="Arial" w:hAnsi="Arial"/>
                <w:b/>
                <w:bCs/>
                <w:color w:val="2B5C8A"/>
                <w:sz w:val="22"/>
                <w:szCs w:val="22"/>
              </w:rPr>
              <w:t xml:space="preserve">Synthetic Data Note</w:t>
            </w:r>
          </w:p>
          <w:p>
            <w:pPr>
              <w:spacing w:after="0" w:line="280"/>
            </w:pPr>
            <w:r>
              <w:rPr>
                <w:rFonts w:ascii="Arial" w:cs="Arial" w:eastAsia="Arial" w:hAnsi="Arial"/>
                <w:color w:val="1A1A1A"/>
                <w:sz w:val="21"/>
                <w:szCs w:val="21"/>
              </w:rPr>
              <w:t xml:space="preserve">In our synthetic dataset, fund names encode their true themes (e.g., “LargeCap_Banking_Fund_01”) and asset names encode their sectors (e.g., “HDFC_Bank_Banking”). These labels serve as ground truth for evaluation in Step 8 but are NOT used anywhere in the pipeline itself — the model only sees the numerical weights.</w:t>
            </w:r>
          </w:p>
        </w:tc>
      </w:tr>
    </w:tbl>
    <w:p>
      <w:pPr>
        <w:pStyle w:val="Heading2"/>
      </w:pPr>
      <w:r>
        <w:t xml:space="preserve">3.2 Step 2: Pseudo-Count Conversion</w:t>
      </w:r>
    </w:p>
    <w:p>
      <w:pPr>
        <w:pStyle w:val="Heading3"/>
      </w:pPr>
      <w:r>
        <w:t xml:space="preserve">Objective</w:t>
      </w:r>
    </w:p>
    <w:p>
      <w:pPr>
        <w:spacing w:after="160" w:line="300"/>
      </w:pPr>
      <w:r>
        <w:rPr>
          <w:rFonts w:ascii="Arial" w:cs="Arial" w:eastAsia="Arial" w:hAnsi="Arial"/>
          <w:color w:val="1A1A1A"/>
          <w:sz w:val="22"/>
          <w:szCs w:val="22"/>
        </w:rPr>
        <w:t xml:space="preserve">Convert the continuous weight matrix into an integer count matrix that is compatible with LDA’s generative assumptions.</w:t>
      </w:r>
    </w:p>
    <w:p>
      <w:pPr>
        <w:pStyle w:val="Heading3"/>
      </w:pPr>
      <w:r>
        <w:t xml:space="preserve">Rationale</w:t>
      </w:r>
    </w:p>
    <w:p>
      <w:pPr>
        <w:spacing w:after="160" w:line="300"/>
      </w:pPr>
      <w:r>
        <w:rPr>
          <w:rFonts w:ascii="Arial" w:cs="Arial" w:eastAsia="Arial" w:hAnsi="Arial"/>
          <w:color w:val="1A1A1A"/>
          <w:sz w:val="22"/>
          <w:szCs w:val="22"/>
        </w:rPr>
        <w:t xml:space="preserve">LDA’s generative story assumes that each word in a document was drawn as a discrete event — the model literally counts how many times each word appears. Our weight matrix has continuous values between 0 and 1 that sum to 1 per row. These are proportions, not counts. To make the data compatible with LDA, we simulate as if each fund made N independent allocation decisions, where N is a scaling factor we choose.</w:t>
      </w:r>
    </w:p>
    <w:p>
      <w:pPr>
        <w:pStyle w:val="Heading3"/>
      </w:pPr>
      <w:r>
        <w:t xml:space="preserve">Procedure</w:t>
      </w:r>
    </w:p>
    <w:p>
      <w:pPr>
        <w:spacing w:after="160" w:line="300"/>
      </w:pPr>
      <w:r>
        <w:rPr>
          <w:rFonts w:ascii="Arial" w:cs="Arial" w:eastAsia="Arial" w:hAnsi="Arial"/>
          <w:color w:val="1A1A1A"/>
          <w:sz w:val="22"/>
          <w:szCs w:val="22"/>
        </w:rPr>
        <w:t xml:space="preserve">Choose a scaling factor N (recommended: 1,000 to 10,000). For each fund (row), multiply all weights by N and round to the nearest integer. The resulting row now contains integer “counts” that approximately sum to N.</w:t>
      </w:r>
    </w:p>
    <w:p>
      <w:pPr>
        <w:pStyle w:val="Heading3"/>
      </w:pPr>
      <w:r>
        <w:t xml:space="preserve">Example</w:t>
      </w:r>
    </w:p>
    <w:p>
      <w:pPr>
        <w:spacing w:after="160" w:line="300"/>
      </w:pPr>
      <w:r>
        <w:rPr>
          <w:rFonts w:ascii="Arial" w:cs="Arial" w:eastAsia="Arial" w:hAnsi="Arial"/>
          <w:color w:val="1A1A1A"/>
          <w:sz w:val="22"/>
          <w:szCs w:val="22"/>
        </w:rPr>
        <w:t xml:space="preserve">Suppose Fund A has weights: [HDFC Bank: 0.15, Infosys: 0.25, Reliance: 0.10, TCS: 0.50]. With N = 1,000: [HDFC Bank: 150, Infosys: 250, Reliance: 100, TCS: 500]. This is interpreted as: “If Fund A made 1,000 allocation decisions, it would allocate to HDFC Bank 150 times, Infosys 250 times,” and so on.</w:t>
      </w:r>
    </w:p>
    <w:p>
      <w:pPr>
        <w:pStyle w:val="Heading3"/>
      </w:pPr>
      <w:r>
        <w:t xml:space="preserve">Choice of N</w:t>
      </w:r>
    </w:p>
    <w:p>
      <w:pPr>
        <w:spacing w:after="160" w:line="300"/>
      </w:pPr>
      <w:r>
        <w:rPr>
          <w:rFonts w:ascii="Arial" w:cs="Arial" w:eastAsia="Arial" w:hAnsi="Arial"/>
          <w:color w:val="1A1A1A"/>
          <w:sz w:val="22"/>
          <w:szCs w:val="22"/>
        </w:rPr>
        <w:t xml:space="preserve">Larger N preserves finer distinctions between weights (a difference between 0.151 and 0.149 is captured with N = 10,000 but lost with N = 100). Larger N also means more “observations” for Gibbs sampling to work with, leading to sharper posteriors. However, larger N increases computation time. N = 1,000 is a good starting point; increase to 10,000 if your funds have many assets with small but meaningfully different weights.</w:t>
      </w:r>
    </w:p>
    <w:p>
      <w:pPr>
        <w:pStyle w:val="Heading3"/>
      </w:pPr>
      <w:r>
        <w:t xml:space="preserve">Reversibility: Pseudo-Counts to Portfolio Weights</w:t>
      </w:r>
    </w:p>
    <w:p>
      <w:pPr>
        <w:spacing w:after="160" w:line="300"/>
      </w:pPr>
      <w:r>
        <w:rPr>
          <w:rFonts w:ascii="Arial" w:cs="Arial" w:eastAsia="Arial" w:hAnsi="Arial"/>
          <w:color w:val="1A1A1A"/>
          <w:sz w:val="22"/>
          <w:szCs w:val="22"/>
        </w:rPr>
        <w:t xml:space="preserve">This conversion is cleanly invertible. To recover portfolio weights from pseudo-counts, divide each count by the row sum. More importantly, when generating new funds from the trained LDA model, the expected portfolio weights are computed as w = θ × φ (the fund’s theme distribution multiplied by the theme-asset distribution matrix). Since θ sums to 1 (it is a distribution over K themes) and each row of φ sums to 1 (each theme is a distribution over assets), the product θ × φ is a weighted combination of probability distributions, which automatically sums to 1. No renormalization is needed in expectation. Renormalization is only required when working with raw sampled counts (due to sampling noise), but in expectation the math takes care of itself.</w:t>
      </w:r>
    </w:p>
    <w:p>
      <w:pPr>
        <w:spacing w:after="160" w:line="300"/>
      </w:pPr>
      <w:r>
        <w:rPr>
          <w:rFonts w:ascii="Arial" w:cs="Arial" w:eastAsia="Arial" w:hAnsi="Arial"/>
          <w:color w:val="1A1A1A"/>
          <w:sz w:val="22"/>
          <w:szCs w:val="22"/>
        </w:rPr>
        <w:t xml:space="preserve">This means the scaling factor N does not distort the underlying structure — it is a clean, invertible transformation. The latent structure discovered between pseudo-counts and generated output is fully probabilistic and interpretable.</w:t>
      </w:r>
    </w:p>
    <w:p>
      <w:pPr>
        <w:pStyle w:val="Heading3"/>
      </w:pPr>
      <w:r>
        <w:t xml:space="preserve">Output</w:t>
      </w:r>
    </w:p>
    <w:p>
      <w:pPr>
        <w:spacing w:after="160" w:line="300"/>
      </w:pPr>
      <w:r>
        <w:rPr>
          <w:rFonts w:ascii="Arial" w:cs="Arial" w:eastAsia="Arial" w:hAnsi="Arial"/>
          <w:color w:val="1A1A1A"/>
          <w:sz w:val="22"/>
          <w:szCs w:val="22"/>
        </w:rPr>
        <w:t xml:space="preserve">An integer matrix of dimensions F × A, where each cell is a non-negative integer and each row sums to approximately N.</w:t>
      </w:r>
    </w:p>
    <w:p>
      <w:pPr>
        <w:pStyle w:val="Heading2"/>
      </w:pPr>
      <w:r>
        <w:t xml:space="preserve">3.3 Step 3: Hyperparameter Selection</w:t>
      </w:r>
    </w:p>
    <w:p>
      <w:pPr>
        <w:pStyle w:val="Heading3"/>
      </w:pPr>
      <w:r>
        <w:t xml:space="preserve">Objective</w:t>
      </w:r>
    </w:p>
    <w:p>
      <w:pPr>
        <w:spacing w:after="160" w:line="300"/>
      </w:pPr>
      <w:r>
        <w:rPr>
          <w:rFonts w:ascii="Arial" w:cs="Arial" w:eastAsia="Arial" w:hAnsi="Arial"/>
          <w:color w:val="1A1A1A"/>
          <w:sz w:val="22"/>
          <w:szCs w:val="22"/>
        </w:rPr>
        <w:t xml:space="preserve">Set the three key hyperparameters that control LDA’s behavior: α (fund-theme sparsity), β (theme-asset sparsity), and K (number of topics).</w:t>
      </w:r>
    </w:p>
    <w:p>
      <w:pPr>
        <w:pStyle w:val="Heading3"/>
      </w:pPr>
      <w:r>
        <w:t xml:space="preserve">Hyperparameter α (Alpha) — Fund-Theme Sparsity</w:t>
      </w:r>
    </w:p>
    <w:p>
      <w:pPr>
        <w:spacing w:after="160" w:line="300"/>
      </w:pPr>
      <w:r>
        <w:rPr>
          <w:rFonts w:ascii="Arial" w:cs="Arial" w:eastAsia="Arial" w:hAnsi="Arial"/>
          <w:color w:val="1A1A1A"/>
          <w:sz w:val="22"/>
          <w:szCs w:val="22"/>
        </w:rPr>
        <w:t xml:space="preserve">Alpha controls how many themes each fund is expected to participate in. A low α (e.g., 0.1 or lower) means each fund concentrates on just a few themes. A high α (e.g., 10) means each fund participates broadly in many themes.</w:t>
      </w:r>
    </w:p>
    <w:p>
      <w:pPr>
        <w:spacing w:after="160" w:line="300"/>
      </w:pPr>
      <w:r>
        <w:rPr>
          <w:rFonts w:ascii="Arial" w:cs="Arial" w:eastAsia="Arial" w:hAnsi="Arial"/>
          <w:b/>
          <w:bCs/>
          <w:color w:val="1A1A1A"/>
          <w:sz w:val="22"/>
          <w:szCs w:val="22"/>
        </w:rPr>
        <w:t xml:space="preserve">Recommended value: 0.1 or lower. </w:t>
      </w:r>
      <w:r>
        <w:rPr>
          <w:rFonts w:ascii="Arial" w:cs="Arial" w:eastAsia="Arial" w:hAnsi="Arial"/>
          <w:color w:val="1A1A1A"/>
          <w:sz w:val="22"/>
          <w:szCs w:val="22"/>
        </w:rPr>
        <w:t xml:space="preserve">Rationale: Most mutual funds follow a focused strategy — a large-cap equity fund invests primarily in large-cap equities, with perhaps minor allocations to related themes. It does not spread evenly across 20 different investment strategies. Low α encodes this domain knowledge.</w:t>
      </w:r>
    </w:p>
    <w:p>
      <w:pPr>
        <w:spacing w:after="160" w:line="300"/>
      </w:pPr>
      <w:r>
        <w:rPr>
          <w:rFonts w:ascii="Arial" w:cs="Arial" w:eastAsia="Arial" w:hAnsi="Arial"/>
          <w:b/>
          <w:bCs/>
          <w:color w:val="1A1A1A"/>
          <w:sz w:val="22"/>
          <w:szCs w:val="22"/>
        </w:rPr>
        <w:t xml:space="preserve">Connection to our FP-minimization objective: </w:t>
      </w:r>
      <w:r>
        <w:rPr>
          <w:rFonts w:ascii="Arial" w:cs="Arial" w:eastAsia="Arial" w:hAnsi="Arial"/>
          <w:color w:val="1A1A1A"/>
          <w:sz w:val="22"/>
          <w:szCs w:val="22"/>
        </w:rPr>
        <w:t xml:space="preserve">Low α directly supports the goal of minimizing false positives. When θ vectors are sparse, two funds need to share the exact same dominant themes to have similar θ vectors. If α were high, all funds would have diffuse θ vectors and would look artificially similar to each other, inflating FP.</w:t>
      </w:r>
    </w:p>
    <w:p>
      <w:pPr>
        <w:pStyle w:val="Heading3"/>
      </w:pPr>
      <w:r>
        <w:t xml:space="preserve">Hyperparameter β (Beta) — Theme-Asset Sparsity</w:t>
      </w:r>
    </w:p>
    <w:p>
      <w:pPr>
        <w:spacing w:after="160" w:line="300"/>
      </w:pPr>
      <w:r>
        <w:rPr>
          <w:rFonts w:ascii="Arial" w:cs="Arial" w:eastAsia="Arial" w:hAnsi="Arial"/>
          <w:color w:val="1A1A1A"/>
          <w:sz w:val="22"/>
          <w:szCs w:val="22"/>
        </w:rPr>
        <w:t xml:space="preserve">Beta controls how many assets each theme concentrates on. A low β (e.g., 0.01 or 0.001) means each theme is defined by a small subset of the total asset universe. A high β means each theme spreads probability broadly across many assets.</w:t>
      </w:r>
    </w:p>
    <w:p>
      <w:pPr>
        <w:spacing w:after="160" w:line="300"/>
      </w:pPr>
      <w:r>
        <w:rPr>
          <w:rFonts w:ascii="Arial" w:cs="Arial" w:eastAsia="Arial" w:hAnsi="Arial"/>
          <w:b/>
          <w:bCs/>
          <w:color w:val="1A1A1A"/>
          <w:sz w:val="22"/>
          <w:szCs w:val="22"/>
        </w:rPr>
        <w:t xml:space="preserve">Recommended value: 0.01 or 0.001, depending on asset universe size. </w:t>
      </w:r>
      <w:r>
        <w:rPr>
          <w:rFonts w:ascii="Arial" w:cs="Arial" w:eastAsia="Arial" w:hAnsi="Arial"/>
          <w:color w:val="1A1A1A"/>
          <w:sz w:val="22"/>
          <w:szCs w:val="22"/>
        </w:rPr>
        <w:t xml:space="preserve">Rationale: An investment theme like “Indian banking” should place high probability on maybe 10–20 bank stocks out of a universe of thousands of assets. Low β ensures themes are sharp and interpretable.</w:t>
      </w:r>
    </w:p>
    <w:p>
      <w:pPr>
        <w:pStyle w:val="Heading3"/>
      </w:pPr>
      <w:r>
        <w:t xml:space="preserve">Hyperparameter K — Number of Topics</w:t>
      </w:r>
    </w:p>
    <w:p>
      <w:pPr>
        <w:spacing w:after="160" w:line="300"/>
      </w:pPr>
      <w:r>
        <w:rPr>
          <w:rFonts w:ascii="Arial" w:cs="Arial" w:eastAsia="Arial" w:hAnsi="Arial"/>
          <w:color w:val="1A1A1A"/>
          <w:sz w:val="22"/>
          <w:szCs w:val="22"/>
        </w:rPr>
        <w:t xml:space="preserve">K is the number of latent themes the model will discover. This is the most consequential hyperparameter for downstream clustering quality.</w:t>
      </w:r>
    </w:p>
    <w:p>
      <w:pPr>
        <w:spacing w:after="160" w:line="300"/>
      </w:pPr>
      <w:r>
        <w:rPr>
          <w:rFonts w:ascii="Arial" w:cs="Arial" w:eastAsia="Arial" w:hAnsi="Arial"/>
          <w:b/>
          <w:bCs/>
          <w:color w:val="1A1A1A"/>
          <w:sz w:val="22"/>
          <w:szCs w:val="22"/>
        </w:rPr>
        <w:t xml:space="preserve">Too few topics (e.g., K = 5): </w:t>
      </w:r>
      <w:r>
        <w:rPr>
          <w:rFonts w:ascii="Arial" w:cs="Arial" w:eastAsia="Arial" w:hAnsi="Arial"/>
          <w:color w:val="1A1A1A"/>
          <w:sz w:val="22"/>
          <w:szCs w:val="22"/>
        </w:rPr>
        <w:t xml:space="preserve">The model is forced to compress all investment strategies into just 5 broad themes. Genuinely different funds get assigned to the same theme simply because there are not enough themes to differentiate them. This directly increases false positives.</w:t>
      </w:r>
    </w:p>
    <w:p>
      <w:pPr>
        <w:spacing w:after="160" w:line="300"/>
      </w:pPr>
      <w:r>
        <w:rPr>
          <w:rFonts w:ascii="Arial" w:cs="Arial" w:eastAsia="Arial" w:hAnsi="Arial"/>
          <w:b/>
          <w:bCs/>
          <w:color w:val="1A1A1A"/>
          <w:sz w:val="22"/>
          <w:szCs w:val="22"/>
        </w:rPr>
        <w:t xml:space="preserve">Too many topics (e.g., K = 200): </w:t>
      </w:r>
      <w:r>
        <w:rPr>
          <w:rFonts w:ascii="Arial" w:cs="Arial" w:eastAsia="Arial" w:hAnsi="Arial"/>
          <w:color w:val="1A1A1A"/>
          <w:sz w:val="22"/>
          <w:szCs w:val="22"/>
        </w:rPr>
        <w:t xml:space="preserve">Each theme becomes so narrow that even genuinely similar funds might differ in their θ vectors because the model has over-partitioned the theme space. This increases false negatives but does not significantly increase false positives (which is acceptable for our purposes, since the downstream Markov chain step recovers FN).</w:t>
      </w:r>
    </w:p>
    <w:p>
      <w:pPr>
        <w:spacing w:after="160" w:line="300"/>
      </w:pPr>
      <w:r>
        <w:rPr>
          <w:rFonts w:ascii="Arial" w:cs="Arial" w:eastAsia="Arial" w:hAnsi="Arial"/>
          <w:b/>
          <w:bCs/>
          <w:color w:val="1A1A1A"/>
          <w:sz w:val="22"/>
          <w:szCs w:val="22"/>
        </w:rPr>
        <w:t xml:space="preserve">Recommended approach: </w:t>
      </w:r>
      <w:r>
        <w:rPr>
          <w:rFonts w:ascii="Arial" w:cs="Arial" w:eastAsia="Arial" w:hAnsi="Arial"/>
          <w:color w:val="1A1A1A"/>
          <w:sz w:val="22"/>
          <w:szCs w:val="22"/>
        </w:rPr>
        <w:t xml:space="preserve">Start with a domain-informed estimate. Ask: how many distinct investment strategies exist in the fund universe? Consider: sector funds (banking, IT, pharma, energy, ...), market-cap variants (large, mid, small), geographic focus (domestic, international, emerging), asset class (equity, debt, hybrid, commodity), factor strategies (value, growth, momentum). This typically yields 30–80 distinct strategies. Use this as your starting range for K.</w:t>
      </w:r>
    </w:p>
    <w:p>
      <w:pPr>
        <w:spacing w:after="160" w:line="300"/>
      </w:pPr>
      <w:r>
        <w:rPr>
          <w:rFonts w:ascii="Arial" w:cs="Arial" w:eastAsia="Arial" w:hAnsi="Arial"/>
          <w:color w:val="1A1A1A"/>
          <w:sz w:val="22"/>
          <w:szCs w:val="22"/>
        </w:rPr>
        <w:t xml:space="preserve">You can then sweep K within and around this range, evaluating using topic coherence (how interpretable are the discovered themes?) and, crucially, the downstream pairwise precision metric (described in Step 8). Since our objective is to minimize false positives, and higher K generally reduces FP at the cost of higher FN, err on the side of a higher K.</w:t>
      </w:r>
    </w:p>
    <w:p>
      <w:pPr>
        <w:pStyle w:val="Heading3"/>
      </w:pPr>
      <w:r>
        <w:t xml:space="preserve">Output</w:t>
      </w:r>
    </w:p>
    <w:p>
      <w:pPr>
        <w:spacing w:after="160" w:line="300"/>
      </w:pPr>
      <w:r>
        <w:rPr>
          <w:rFonts w:ascii="Arial" w:cs="Arial" w:eastAsia="Arial" w:hAnsi="Arial"/>
          <w:color w:val="1A1A1A"/>
          <w:sz w:val="22"/>
          <w:szCs w:val="22"/>
        </w:rPr>
        <w:t xml:space="preserve">A finalized set of hyperparameters: α, β, and K, ready for model training.</w:t>
      </w:r>
    </w:p>
    <w:p>
      <w:r>
        <w:br w:type="page"/>
      </w:r>
    </w:p>
    <w:p>
      <w:pPr>
        <w:pStyle w:val="Heading2"/>
      </w:pPr>
      <w:r>
        <w:t xml:space="preserve">3.4 Step 4: Run LDA via Gibbs Sampling</w:t>
      </w:r>
    </w:p>
    <w:p>
      <w:pPr>
        <w:pStyle w:val="Heading3"/>
      </w:pPr>
      <w:r>
        <w:t xml:space="preserve">Objective</w:t>
      </w:r>
    </w:p>
    <w:p>
      <w:pPr>
        <w:spacing w:after="160" w:line="300"/>
      </w:pPr>
      <w:r>
        <w:rPr>
          <w:rFonts w:ascii="Arial" w:cs="Arial" w:eastAsia="Arial" w:hAnsi="Arial"/>
          <w:color w:val="1A1A1A"/>
          <w:sz w:val="22"/>
          <w:szCs w:val="22"/>
        </w:rPr>
        <w:t xml:space="preserve">Train the LDA model on the pseudo-count matrix using collapsed Gibbs sampling to obtain posterior samples of the latent variables.</w:t>
      </w:r>
    </w:p>
    <w:p>
      <w:pPr>
        <w:pStyle w:val="Heading3"/>
      </w:pPr>
      <w:r>
        <w:t xml:space="preserve">Procedure</w:t>
      </w:r>
    </w:p>
    <w:p>
      <w:pPr>
        <w:spacing w:after="160" w:line="300"/>
      </w:pPr>
      <w:r>
        <w:rPr>
          <w:rFonts w:ascii="Arial" w:cs="Arial" w:eastAsia="Arial" w:hAnsi="Arial"/>
          <w:b/>
          <w:bCs/>
          <w:color w:val="1A1A1A"/>
          <w:sz w:val="22"/>
          <w:szCs w:val="22"/>
        </w:rPr>
        <w:t xml:space="preserve">1. Initialization: </w:t>
      </w:r>
      <w:r>
        <w:rPr>
          <w:rFonts w:ascii="Arial" w:cs="Arial" w:eastAsia="Arial" w:hAnsi="Arial"/>
          <w:color w:val="1A1A1A"/>
          <w:sz w:val="22"/>
          <w:szCs w:val="22"/>
        </w:rPr>
        <w:t xml:space="preserve">For every non-zero entry in the pseudo-count matrix (every asset-occurrence in every fund), randomly assign a topic from 1 to K. This is a random starting point for the sampler.</w:t>
      </w:r>
    </w:p>
    <w:p>
      <w:pPr>
        <w:spacing w:after="160" w:line="300"/>
      </w:pPr>
      <w:r>
        <w:rPr>
          <w:rFonts w:ascii="Arial" w:cs="Arial" w:eastAsia="Arial" w:hAnsi="Arial"/>
          <w:b/>
          <w:bCs/>
          <w:color w:val="1A1A1A"/>
          <w:sz w:val="22"/>
          <w:szCs w:val="22"/>
        </w:rPr>
        <w:t xml:space="preserve">2. Iteration: </w:t>
      </w:r>
      <w:r>
        <w:rPr>
          <w:rFonts w:ascii="Arial" w:cs="Arial" w:eastAsia="Arial" w:hAnsi="Arial"/>
          <w:color w:val="1A1A1A"/>
          <w:sz w:val="22"/>
          <w:szCs w:val="22"/>
        </w:rPr>
        <w:t xml:space="preserve">For each asset-occurrence, temporarily remove it from the model (decrement the relevant counts). Compute the conditional probability that this occurrence belongs to each of the K themes, using the formula:</w:t>
      </w:r>
    </w:p>
    <w:p>
      <w:pPr>
        <w:spacing w:after="160" w:line="300"/>
      </w:pPr>
      <w:r>
        <w:rPr>
          <w:rFonts w:ascii="Arial" w:cs="Arial" w:eastAsia="Arial" w:hAnsi="Arial"/>
          <w:color w:val="1A1A1A"/>
          <w:sz w:val="22"/>
          <w:szCs w:val="22"/>
        </w:rPr>
        <w:t xml:space="preserve">   P(z = k | rest) ∝ (n_dk + α) × (n_kw + β) / (n_k + A·β)</w:t>
      </w:r>
    </w:p>
    <w:p>
      <w:pPr>
        <w:spacing w:after="160" w:line="300"/>
      </w:pPr>
      <w:r>
        <w:rPr>
          <w:rFonts w:ascii="Arial" w:cs="Arial" w:eastAsia="Arial" w:hAnsi="Arial"/>
          <w:color w:val="1A1A1A"/>
          <w:sz w:val="22"/>
          <w:szCs w:val="22"/>
        </w:rPr>
        <w:t xml:space="preserve">   where n_dk = number of occurrences in fund d currently assigned to theme k, n_kw = number of occurrences of asset w currently assigned to theme k across all funds, n_k = total occurrences assigned to theme k, and A = total number of unique assets.</w:t>
      </w:r>
    </w:p>
    <w:p>
      <w:pPr>
        <w:spacing w:after="160" w:line="300"/>
      </w:pPr>
      <w:r>
        <w:rPr>
          <w:rFonts w:ascii="Arial" w:cs="Arial" w:eastAsia="Arial" w:hAnsi="Arial"/>
          <w:color w:val="1A1A1A"/>
          <w:sz w:val="22"/>
          <w:szCs w:val="22"/>
        </w:rPr>
        <w:t xml:space="preserve">   Sample a new topic assignment from this distribution and update the counts.</w:t>
      </w:r>
    </w:p>
    <w:p>
      <w:pPr>
        <w:spacing w:after="160" w:line="300"/>
      </w:pPr>
      <w:r>
        <w:rPr>
          <w:rFonts w:ascii="Arial" w:cs="Arial" w:eastAsia="Arial" w:hAnsi="Arial"/>
          <w:b/>
          <w:bCs/>
          <w:color w:val="1A1A1A"/>
          <w:sz w:val="22"/>
          <w:szCs w:val="22"/>
        </w:rPr>
        <w:t xml:space="preserve">3. Burn-in: </w:t>
      </w:r>
      <w:r>
        <w:rPr>
          <w:rFonts w:ascii="Arial" w:cs="Arial" w:eastAsia="Arial" w:hAnsi="Arial"/>
          <w:color w:val="1A1A1A"/>
          <w:sz w:val="22"/>
          <w:szCs w:val="22"/>
        </w:rPr>
        <w:t xml:space="preserve">Run for B iterations (typically 200–500) without recording any results. These early iterations are unreliable because the chain has not yet converged from its random initialization.</w:t>
      </w:r>
    </w:p>
    <w:p>
      <w:pPr>
        <w:spacing w:after="160" w:line="300"/>
      </w:pPr>
      <w:r>
        <w:rPr>
          <w:rFonts w:ascii="Arial" w:cs="Arial" w:eastAsia="Arial" w:hAnsi="Arial"/>
          <w:b/>
          <w:bCs/>
          <w:color w:val="1A1A1A"/>
          <w:sz w:val="22"/>
          <w:szCs w:val="22"/>
        </w:rPr>
        <w:t xml:space="preserve">4. Collection: </w:t>
      </w:r>
      <w:r>
        <w:rPr>
          <w:rFonts w:ascii="Arial" w:cs="Arial" w:eastAsia="Arial" w:hAnsi="Arial"/>
          <w:color w:val="1A1A1A"/>
          <w:sz w:val="22"/>
          <w:szCs w:val="22"/>
        </w:rPr>
        <w:t xml:space="preserve">After burn-in, continue running and collect samples at regular intervals (e.g., every 10th or 20th iteration) to reduce autocorrelation between successive samples. Collect S total samples (typically 50–200).</w:t>
      </w:r>
    </w:p>
    <w:p>
      <w:pPr>
        <w:pStyle w:val="Heading3"/>
      </w:pPr>
      <w:r>
        <w:t xml:space="preserve">What constitutes a “sample”?</w:t>
      </w:r>
    </w:p>
    <w:p>
      <w:pPr>
        <w:spacing w:after="160" w:line="300"/>
      </w:pPr>
      <w:r>
        <w:rPr>
          <w:rFonts w:ascii="Arial" w:cs="Arial" w:eastAsia="Arial" w:hAnsi="Arial"/>
          <w:color w:val="1A1A1A"/>
          <w:sz w:val="22"/>
          <w:szCs w:val="22"/>
        </w:rPr>
        <w:t xml:space="preserve">At each collected iteration, the complete set of topic assignments z across all funds and all assets defines one sample. From this sample, we can compute:</w:t>
      </w:r>
    </w:p>
    <w:p>
      <w:pPr>
        <w:spacing w:after="160" w:line="300"/>
      </w:pPr>
      <w:r>
        <w:rPr>
          <w:rFonts w:ascii="Arial" w:cs="Arial" w:eastAsia="Arial" w:hAnsi="Arial"/>
          <w:color w:val="1A1A1A"/>
          <w:sz w:val="22"/>
          <w:szCs w:val="22"/>
        </w:rPr>
        <w:t xml:space="preserve">   θ_dk = (n_dk + α) / (Σ_k n_dk + K·α)   — fund d’s weight on theme k</w:t>
      </w:r>
    </w:p>
    <w:p>
      <w:pPr>
        <w:spacing w:after="160" w:line="300"/>
      </w:pPr>
      <w:r>
        <w:rPr>
          <w:rFonts w:ascii="Arial" w:cs="Arial" w:eastAsia="Arial" w:hAnsi="Arial"/>
          <w:color w:val="1A1A1A"/>
          <w:sz w:val="22"/>
          <w:szCs w:val="22"/>
        </w:rPr>
        <w:t xml:space="preserve">   φ_kw = (n_kw + β) / (Σ_w n_kw + A·β)   — theme k’s weight on asset w</w:t>
      </w:r>
    </w:p>
    <w:p>
      <w:pPr>
        <w:spacing w:after="160" w:line="300"/>
      </w:pPr>
      <w:r>
        <w:rPr>
          <w:rFonts w:ascii="Arial" w:cs="Arial" w:eastAsia="Arial" w:hAnsi="Arial"/>
          <w:color w:val="1A1A1A"/>
          <w:sz w:val="22"/>
          <w:szCs w:val="22"/>
        </w:rPr>
        <w:t xml:space="preserve">Each collected iteration gives one such θ and φ. The collection of S such samples forms the posterior distribution.</w:t>
      </w:r>
    </w:p>
    <w:p>
      <w:pPr>
        <w:pStyle w:val="Heading3"/>
      </w:pPr>
      <w:r>
        <w:t xml:space="preserve">Convergence check</w:t>
      </w:r>
    </w:p>
    <w:p>
      <w:pPr>
        <w:spacing w:after="160" w:line="300"/>
      </w:pPr>
      <w:r>
        <w:rPr>
          <w:rFonts w:ascii="Arial" w:cs="Arial" w:eastAsia="Arial" w:hAnsi="Arial"/>
          <w:color w:val="1A1A1A"/>
          <w:sz w:val="22"/>
          <w:szCs w:val="22"/>
        </w:rPr>
        <w:t xml:space="preserve">Monitor the log-likelihood of the data under the model at each iteration. It should increase and stabilize. If it keeps fluctuating wildly after the burn-in period, increase the burn-in or check the hyperparameters.</w:t>
      </w:r>
    </w:p>
    <w:p>
      <w:pPr>
        <w:pStyle w:val="Heading3"/>
      </w:pPr>
      <w:r>
        <w:t xml:space="preserve">Output</w:t>
      </w:r>
    </w:p>
    <w:p>
      <w:pPr>
        <w:spacing w:after="160" w:line="300"/>
      </w:pPr>
      <w:r>
        <w:rPr>
          <w:rFonts w:ascii="Arial" w:cs="Arial" w:eastAsia="Arial" w:hAnsi="Arial"/>
          <w:color w:val="1A1A1A"/>
          <w:sz w:val="22"/>
          <w:szCs w:val="22"/>
        </w:rPr>
        <w:t xml:space="preserve">S posterior samples, each containing: a complete θ matrix (F × K) and a complete φ matrix (K × A). This gives us S different plausible estimates of every fund’s theme composition.</w:t>
      </w:r>
    </w:p>
    <w:p>
      <w:pPr>
        <w:pStyle w:val="Heading2"/>
      </w:pPr>
      <w:r>
        <w:t xml:space="preserve">3.5 Step 5: Extract Posterior Distributions</w:t>
      </w:r>
    </w:p>
    <w:p>
      <w:pPr>
        <w:pStyle w:val="Heading3"/>
      </w:pPr>
      <w:r>
        <w:t xml:space="preserve">Objective</w:t>
      </w:r>
    </w:p>
    <w:p>
      <w:pPr>
        <w:spacing w:after="160" w:line="300"/>
      </w:pPr>
      <w:r>
        <w:rPr>
          <w:rFonts w:ascii="Arial" w:cs="Arial" w:eastAsia="Arial" w:hAnsi="Arial"/>
          <w:color w:val="1A1A1A"/>
          <w:sz w:val="22"/>
          <w:szCs w:val="22"/>
        </w:rPr>
        <w:t xml:space="preserve">Organize the Gibbs sampling output into usable per-fund posterior distributions over the theme space.</w:t>
      </w:r>
    </w:p>
    <w:p>
      <w:pPr>
        <w:pStyle w:val="Heading3"/>
      </w:pPr>
      <w:r>
        <w:t xml:space="preserve">Procedure</w:t>
      </w:r>
    </w:p>
    <w:p>
      <w:pPr>
        <w:spacing w:after="160" w:line="300"/>
      </w:pPr>
      <w:r>
        <w:rPr>
          <w:rFonts w:ascii="Arial" w:cs="Arial" w:eastAsia="Arial" w:hAnsi="Arial"/>
          <w:color w:val="1A1A1A"/>
          <w:sz w:val="22"/>
          <w:szCs w:val="22"/>
        </w:rPr>
        <w:t xml:space="preserve">For each fund d, extract its S posterior θ vectors (one from each collected sample). Stack these into an S × K matrix. This matrix represents our uncertainty about fund d’s true theme composition.</w:t>
      </w:r>
    </w:p>
    <w:p>
      <w:pPr>
        <w:pStyle w:val="Heading3"/>
      </w:pPr>
      <w:r>
        <w:t xml:space="preserve">Interpreting the posterior: why this matters</w:t>
      </w:r>
    </w:p>
    <w:p>
      <w:pPr>
        <w:spacing w:after="160" w:line="300"/>
      </w:pPr>
      <w:r>
        <w:rPr>
          <w:rFonts w:ascii="Arial" w:cs="Arial" w:eastAsia="Arial" w:hAnsi="Arial"/>
          <w:color w:val="1A1A1A"/>
          <w:sz w:val="22"/>
          <w:szCs w:val="22"/>
        </w:rPr>
        <w:t xml:space="preserve">Consider a concrete example. Suppose K = 5 and we collected S = 100 posterior samples for Fund 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700"/>
        <w:gridCol w:w="1700"/>
        <w:gridCol w:w="1700"/>
        <w:gridCol w:w="1660"/>
      </w:tblGrid>
      <w:tr>
        <w:tc>
          <w:tcPr>
            <w:tcW w:type="dxa" w:w="9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Sample</w:t>
            </w:r>
          </w:p>
        </w:tc>
        <w:tc>
          <w:tcPr>
            <w:tcW w:type="dxa" w:w="17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Theme 1 (Banking)</w:t>
            </w:r>
          </w:p>
        </w:tc>
        <w:tc>
          <w:tcPr>
            <w:tcW w:type="dxa" w:w="17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Theme 2 (IT)</w:t>
            </w:r>
          </w:p>
        </w:tc>
        <w:tc>
          <w:tcPr>
            <w:tcW w:type="dxa" w:w="17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Theme 3 (Pharma)</w:t>
            </w:r>
          </w:p>
        </w:tc>
        <w:tc>
          <w:tcPr>
            <w:tcW w:type="dxa" w:w="17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Theme 4 (Energy)</w:t>
            </w:r>
          </w:p>
        </w:tc>
        <w:tc>
          <w:tcPr>
            <w:tcW w:type="dxa" w:w="166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Theme 5 (Debt)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0.55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0.02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0.01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0.02</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0.40</w:t>
            </w:r>
          </w:p>
        </w:tc>
      </w:tr>
      <w:tr>
        <w:tc>
          <w:tcPr>
            <w:tcW w:type="dxa" w:w="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2</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0.58</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0.01</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0.03</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0.01</w:t>
            </w:r>
          </w:p>
        </w:tc>
        <w:tc>
          <w:tcPr>
            <w:tcW w:type="dxa" w:w="1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0.37</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0.53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0.03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0.02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0.01</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0.41</w:t>
            </w:r>
          </w:p>
        </w:tc>
      </w:tr>
      <w:tr>
        <w:tc>
          <w:tcPr>
            <w:tcW w:type="dxa" w:w="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w:t>
            </w:r>
          </w:p>
        </w:tc>
        <w:tc>
          <w:tcPr>
            <w:tcW w:type="dxa" w:w="1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100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0.02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0.01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0.03</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0.38</w:t>
            </w:r>
          </w:p>
        </w:tc>
      </w:tr>
    </w:tbl>
    <w:p>
      <w:pPr>
        <w:spacing w:after="80"/>
      </w:pPr>
    </w:p>
    <w:p>
      <w:pPr>
        <w:spacing w:after="160" w:line="300"/>
      </w:pPr>
      <w:r>
        <w:rPr>
          <w:rFonts w:ascii="Arial" w:cs="Arial" w:eastAsia="Arial" w:hAnsi="Arial"/>
          <w:color w:val="1A1A1A"/>
          <w:sz w:val="22"/>
          <w:szCs w:val="22"/>
        </w:rPr>
        <w:t xml:space="preserve">The tight spread across samples tells us the model is confident: Fund A is predominantly a banking + debt fund. The mean θ could serve as a point estimate, but the full distribution is far more valuable.</w:t>
      </w:r>
    </w:p>
    <w:p>
      <w:pPr>
        <w:spacing w:after="160" w:line="300"/>
      </w:pPr>
      <w:r>
        <w:rPr>
          <w:rFonts w:ascii="Arial" w:cs="Arial" w:eastAsia="Arial" w:hAnsi="Arial"/>
          <w:color w:val="1A1A1A"/>
          <w:sz w:val="22"/>
          <w:szCs w:val="22"/>
        </w:rPr>
        <w:t xml:space="preserve">Now consider Fund B, where the posterior samples show wide variation: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700"/>
        <w:gridCol w:w="1700"/>
        <w:gridCol w:w="1700"/>
        <w:gridCol w:w="1660"/>
      </w:tblGrid>
      <w:tr>
        <w:tc>
          <w:tcPr>
            <w:tcW w:type="dxa" w:w="9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Sample</w:t>
            </w:r>
          </w:p>
        </w:tc>
        <w:tc>
          <w:tcPr>
            <w:tcW w:type="dxa" w:w="17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Theme 1 (Banking)</w:t>
            </w:r>
          </w:p>
        </w:tc>
        <w:tc>
          <w:tcPr>
            <w:tcW w:type="dxa" w:w="17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Theme 2 (IT)</w:t>
            </w:r>
          </w:p>
        </w:tc>
        <w:tc>
          <w:tcPr>
            <w:tcW w:type="dxa" w:w="17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Theme 3 (Pharma)</w:t>
            </w:r>
          </w:p>
        </w:tc>
        <w:tc>
          <w:tcPr>
            <w:tcW w:type="dxa" w:w="17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Theme 4 (Energy)</w:t>
            </w:r>
          </w:p>
        </w:tc>
        <w:tc>
          <w:tcPr>
            <w:tcW w:type="dxa" w:w="166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Theme 5 (Debt)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0.40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0.35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0.05</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0.10</w:t>
            </w:r>
          </w:p>
        </w:tc>
      </w:tr>
      <w:tr>
        <w:tc>
          <w:tcPr>
            <w:tcW w:type="dxa" w:w="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2</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0.25</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0.50</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0.05</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0.10</w:t>
            </w:r>
          </w:p>
        </w:tc>
        <w:tc>
          <w:tcPr>
            <w:tcW w:type="dxa" w:w="1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0.10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0.55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0.20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0.05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0.08</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0.12</w:t>
            </w:r>
          </w:p>
        </w:tc>
      </w:tr>
      <w:tr>
        <w:tc>
          <w:tcPr>
            <w:tcW w:type="dxa" w:w="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w:t>
            </w:r>
          </w:p>
        </w:tc>
        <w:tc>
          <w:tcPr>
            <w:tcW w:type="dxa" w:w="1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100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0.30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0.42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0.08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0.07</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0.13</w:t>
            </w:r>
          </w:p>
        </w:tc>
      </w:tr>
    </w:tbl>
    <w:p>
      <w:pPr>
        <w:spacing w:after="80"/>
      </w:pPr>
    </w:p>
    <w:p>
      <w:pPr>
        <w:spacing w:after="160" w:line="300"/>
      </w:pPr>
      <w:r>
        <w:rPr>
          <w:rFonts w:ascii="Arial" w:cs="Arial" w:eastAsia="Arial" w:hAnsi="Arial"/>
          <w:color w:val="1A1A1A"/>
          <w:sz w:val="22"/>
          <w:szCs w:val="22"/>
        </w:rPr>
        <w:t xml:space="preserve">Here the model is uncertain about Fund B’s exact theme mix. The mean might suggest it is similar to some other fund, but the high variance warns us not to trust that similarity judgment. If we had used only the mean (a point estimate, as NMF would give), we would miss this warning entirely and potentially create a false positive.</w:t>
      </w:r>
    </w:p>
    <w:p>
      <w:pPr>
        <w:pStyle w:val="Heading3"/>
      </w:pPr>
      <w:r>
        <w:t xml:space="preserve">Output</w:t>
      </w:r>
    </w:p>
    <w:p>
      <w:pPr>
        <w:spacing w:after="160" w:line="300"/>
      </w:pPr>
      <w:r>
        <w:rPr>
          <w:rFonts w:ascii="Arial" w:cs="Arial" w:eastAsia="Arial" w:hAnsi="Arial"/>
          <w:color w:val="1A1A1A"/>
          <w:sz w:val="22"/>
          <w:szCs w:val="22"/>
        </w:rPr>
        <w:t xml:space="preserve">For each of the F funds: an S × K matrix representing the posterior distribution of its theme composition. Additionally, for the φ distributions: S posterior samples of the K × A theme-asset matrix, which can be used for theme interpretation (examining which assets define each theme).</w:t>
      </w:r>
    </w:p>
    <w:p>
      <w:r>
        <w:br w:type="page"/>
      </w:r>
    </w:p>
    <w:p>
      <w:pPr>
        <w:pStyle w:val="Heading2"/>
      </w:pPr>
      <w:r>
        <w:t xml:space="preserve">3.6 Step 6: Compute Pairwise Distances with Uncertainty</w:t>
      </w:r>
    </w:p>
    <w:p>
      <w:pPr>
        <w:pStyle w:val="Heading3"/>
      </w:pPr>
      <w:r>
        <w:t xml:space="preserve">Objective</w:t>
      </w:r>
    </w:p>
    <w:p>
      <w:pPr>
        <w:spacing w:after="160" w:line="300"/>
      </w:pPr>
      <w:r>
        <w:rPr>
          <w:rFonts w:ascii="Arial" w:cs="Arial" w:eastAsia="Arial" w:hAnsi="Arial"/>
          <w:color w:val="1A1A1A"/>
          <w:sz w:val="22"/>
          <w:szCs w:val="22"/>
        </w:rPr>
        <w:t xml:space="preserve">Compute a robust, uncertainty-aware distance between every pair of funds in the theme space, using Jensen-Shannon Divergence applied across multiple posterior samples.</w:t>
      </w:r>
    </w:p>
    <w:p>
      <w:pPr>
        <w:pStyle w:val="Heading3"/>
      </w:pPr>
      <w:r>
        <w:t xml:space="preserve">Rationale</w:t>
      </w:r>
    </w:p>
    <w:p>
      <w:pPr>
        <w:spacing w:after="160" w:line="300"/>
      </w:pPr>
      <w:r>
        <w:rPr>
          <w:rFonts w:ascii="Arial" w:cs="Arial" w:eastAsia="Arial" w:hAnsi="Arial"/>
          <w:color w:val="1A1A1A"/>
          <w:sz w:val="22"/>
          <w:szCs w:val="22"/>
        </w:rPr>
        <w:t xml:space="preserve">A naive approach would compute JSD between the mean θ vectors of two funds. This ignores the uncertainty we so carefully preserved in Step 5. Two funds might have similar means but high variance, meaning the apparent similarity is unreliable. Using only the mean is equivalent to what NMF would give — and we chose LDA precisely to go beyond this.</w:t>
      </w:r>
    </w:p>
    <w:p>
      <w:pPr>
        <w:pStyle w:val="Heading3"/>
      </w:pPr>
      <w:r>
        <w:t xml:space="preserve">Procedure</w:t>
      </w:r>
    </w:p>
    <w:p>
      <w:pPr>
        <w:spacing w:after="160" w:line="300"/>
      </w:pPr>
      <w:r>
        <w:rPr>
          <w:rFonts w:ascii="Arial" w:cs="Arial" w:eastAsia="Arial" w:hAnsi="Arial"/>
          <w:color w:val="1A1A1A"/>
          <w:sz w:val="22"/>
          <w:szCs w:val="22"/>
        </w:rPr>
        <w:t xml:space="preserve">For every pair of funds (i, j):</w:t>
      </w:r>
    </w:p>
    <w:p>
      <w:pPr>
        <w:spacing w:after="160" w:line="300"/>
      </w:pPr>
      <w:r>
        <w:rPr>
          <w:rFonts w:ascii="Arial" w:cs="Arial" w:eastAsia="Arial" w:hAnsi="Arial"/>
          <w:b/>
          <w:bCs/>
          <w:color w:val="1A1A1A"/>
          <w:sz w:val="22"/>
          <w:szCs w:val="22"/>
        </w:rPr>
        <w:t xml:space="preserve">1. </w:t>
      </w:r>
      <w:r>
        <w:rPr>
          <w:rFonts w:ascii="Arial" w:cs="Arial" w:eastAsia="Arial" w:hAnsi="Arial"/>
          <w:color w:val="1A1A1A"/>
          <w:sz w:val="22"/>
          <w:szCs w:val="22"/>
        </w:rPr>
        <w:t xml:space="preserve">Take all S posterior samples for fund i: θᵢ¹, θᵢ², ..., θᵢˢ. Similarly for fund j: θⰼ¹, θⰼ², ..., θⰼˢ.</w:t>
      </w:r>
    </w:p>
    <w:p>
      <w:pPr>
        <w:spacing w:after="160" w:line="300"/>
      </w:pPr>
      <w:r>
        <w:rPr>
          <w:rFonts w:ascii="Arial" w:cs="Arial" w:eastAsia="Arial" w:hAnsi="Arial"/>
          <w:b/>
          <w:bCs/>
          <w:color w:val="1A1A1A"/>
          <w:sz w:val="22"/>
          <w:szCs w:val="22"/>
        </w:rPr>
        <w:t xml:space="preserve">2. </w:t>
      </w:r>
      <w:r>
        <w:rPr>
          <w:rFonts w:ascii="Arial" w:cs="Arial" w:eastAsia="Arial" w:hAnsi="Arial"/>
          <w:color w:val="1A1A1A"/>
          <w:sz w:val="22"/>
          <w:szCs w:val="22"/>
        </w:rPr>
        <w:t xml:space="preserve">Compute S pairwise JSD values: JSD(θᵢˢ, θⰼˢ) for each sample s = 1, 2, ..., S. Each of these S values is a plausible distance between the two funds under one draw from the posterior.</w:t>
      </w:r>
    </w:p>
    <w:p>
      <w:pPr>
        <w:spacing w:after="160" w:line="300"/>
      </w:pPr>
      <w:r>
        <w:rPr>
          <w:rFonts w:ascii="Arial" w:cs="Arial" w:eastAsia="Arial" w:hAnsi="Arial"/>
          <w:b/>
          <w:bCs/>
          <w:color w:val="1A1A1A"/>
          <w:sz w:val="22"/>
          <w:szCs w:val="22"/>
        </w:rPr>
        <w:t xml:space="preserve">3. </w:t>
      </w:r>
      <w:r>
        <w:rPr>
          <w:rFonts w:ascii="Arial" w:cs="Arial" w:eastAsia="Arial" w:hAnsi="Arial"/>
          <w:color w:val="1A1A1A"/>
          <w:sz w:val="22"/>
          <w:szCs w:val="22"/>
        </w:rPr>
        <w:t xml:space="preserve">We now have a distribution of S distance values for this pair. From this distribution, compute:</w:t>
      </w:r>
    </w:p>
    <w:p>
      <w:pPr>
        <w:spacing w:after="160" w:line="300"/>
      </w:pPr>
      <w:r>
        <w:rPr>
          <w:rFonts w:ascii="Arial" w:cs="Arial" w:eastAsia="Arial" w:hAnsi="Arial"/>
          <w:color w:val="1A1A1A"/>
          <w:sz w:val="22"/>
          <w:szCs w:val="22"/>
        </w:rPr>
        <w:t xml:space="preserve">   • The mean JSD: our best estimate of the distance.</w:t>
      </w:r>
    </w:p>
    <w:p>
      <w:pPr>
        <w:spacing w:after="160" w:line="300"/>
      </w:pPr>
      <w:r>
        <w:rPr>
          <w:rFonts w:ascii="Arial" w:cs="Arial" w:eastAsia="Arial" w:hAnsi="Arial"/>
          <w:color w:val="1A1A1A"/>
          <w:sz w:val="22"/>
          <w:szCs w:val="22"/>
        </w:rPr>
        <w:t xml:space="preserve">   • The standard deviation: how uncertain we are about the distance.</w:t>
      </w:r>
    </w:p>
    <w:p>
      <w:pPr>
        <w:spacing w:after="160" w:line="300"/>
      </w:pPr>
      <w:r>
        <w:rPr>
          <w:rFonts w:ascii="Arial" w:cs="Arial" w:eastAsia="Arial" w:hAnsi="Arial"/>
          <w:color w:val="1A1A1A"/>
          <w:sz w:val="22"/>
          <w:szCs w:val="22"/>
        </w:rPr>
        <w:t xml:space="preserve">   • A conservative distance estimate: mean + c × std, where c is a user-chosen confidence parameter (e.g., c = 1 or c = 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C8A" w:sz="2"/>
              <w:left w:val="single" w:color="2B5C8A" w:sz="6"/>
              <w:bottom w:val="single" w:color="2B5C8A" w:sz="2"/>
              <w:right w:val="single" w:color="2B5C8A" w:sz="2"/>
            </w:tcBorders>
            <w:shd w:fill="E8F0F8" w:val="clear"/>
            <w:tcMar>
              <w:top w:type="dxa" w:w="120"/>
              <w:left w:type="dxa" w:w="200"/>
              <w:bottom w:type="dxa" w:w="120"/>
              <w:right w:type="dxa" w:w="200"/>
            </w:tcMar>
          </w:tcPr>
          <w:p>
            <w:pPr>
              <w:spacing w:after="80"/>
            </w:pPr>
            <w:r>
              <w:rPr>
                <w:rFonts w:ascii="Arial" w:cs="Arial" w:eastAsia="Arial" w:hAnsi="Arial"/>
                <w:b/>
                <w:bCs/>
                <w:color w:val="2B5C8A"/>
                <w:sz w:val="22"/>
                <w:szCs w:val="22"/>
              </w:rPr>
              <w:t xml:space="preserve">Why use the conservative distance estimate?</w:t>
            </w:r>
          </w:p>
          <w:p>
            <w:pPr>
              <w:spacing w:after="100" w:line="280"/>
            </w:pPr>
            <w:r>
              <w:rPr>
                <w:rFonts w:ascii="Arial" w:cs="Arial" w:eastAsia="Arial" w:hAnsi="Arial"/>
                <w:color w:val="1A1A1A"/>
                <w:sz w:val="21"/>
                <w:szCs w:val="21"/>
              </w:rPr>
              <w:t xml:space="preserve">By adding a penalty proportional to the uncertainty (c × std), we are saying: “If I am unsure whether these two funds are similar, treat them as more different.” This directly targets our false positive minimization objective.</w:t>
            </w:r>
          </w:p>
          <w:p>
            <w:pPr>
              <w:spacing w:after="100" w:line="280"/>
            </w:pPr>
            <w:r>
              <w:rPr>
                <w:rFonts w:ascii="Arial" w:cs="Arial" w:eastAsia="Arial" w:hAnsi="Arial"/>
                <w:color w:val="1A1A1A"/>
                <w:sz w:val="21"/>
                <w:szCs w:val="21"/>
              </w:rPr>
              <w:t xml:space="preserve">Only pairs where the model is BOTH confident (low std) AND estimates a small distance (low mean JSD) will be considered similar. Pairs where the model is uncertain will have an inflated conservative distance and will not be clustered together.</w:t>
            </w:r>
          </w:p>
          <w:p>
            <w:pPr>
              <w:spacing w:after="0" w:line="280"/>
            </w:pPr>
            <w:r>
              <w:rPr>
                <w:rFonts w:ascii="Arial" w:cs="Arial" w:eastAsia="Arial" w:hAnsi="Arial"/>
                <w:color w:val="1A1A1A"/>
                <w:sz w:val="21"/>
                <w:szCs w:val="21"/>
              </w:rPr>
              <w:t xml:space="preserve">The parameter c controls the trade-off: higher c means more conservative (lower FP, higher FN). We recommend starting with c = 1 and adjusting based on the evaluation metrics in Step 8.</w:t>
            </w:r>
          </w:p>
        </w:tc>
      </w:tr>
    </w:tbl>
    <w:p>
      <w:pPr>
        <w:pStyle w:val="Heading3"/>
      </w:pPr>
      <w:r>
        <w:t xml:space="preserve">Computational note</w:t>
      </w:r>
    </w:p>
    <w:p>
      <w:pPr>
        <w:spacing w:after="160" w:line="300"/>
      </w:pPr>
      <w:r>
        <w:rPr>
          <w:rFonts w:ascii="Arial" w:cs="Arial" w:eastAsia="Arial" w:hAnsi="Arial"/>
          <w:color w:val="1A1A1A"/>
          <w:sz w:val="22"/>
          <w:szCs w:val="22"/>
        </w:rPr>
        <w:t xml:space="preserve">For F funds, there are F×(F-1)/2 unique pairs. For each pair, we compute S JSD values. If F = 500 and S = 100, that is 12.5 million JSD computations. Each JSD computation is O(K), so the total cost is O(F² × S × K). This is manageable with vectorized operations (NumPy/SciPy). Store the final F×F conservative distance matrix for use in Step 7.</w:t>
      </w:r>
    </w:p>
    <w:p>
      <w:pPr>
        <w:pStyle w:val="Heading3"/>
      </w:pPr>
      <w:r>
        <w:t xml:space="preserve">Output</w:t>
      </w:r>
    </w:p>
    <w:p>
      <w:pPr>
        <w:spacing w:after="160" w:line="300"/>
      </w:pPr>
      <w:r>
        <w:rPr>
          <w:rFonts w:ascii="Arial" w:cs="Arial" w:eastAsia="Arial" w:hAnsi="Arial"/>
          <w:color w:val="1A1A1A"/>
          <w:sz w:val="22"/>
          <w:szCs w:val="22"/>
        </w:rPr>
        <w:t xml:space="preserve">An F × F symmetric pairwise distance matrix (using the conservative distance estimate), suitable for hierarchical clustering.</w:t>
      </w:r>
    </w:p>
    <w:p>
      <w:pPr>
        <w:pStyle w:val="Heading2"/>
      </w:pPr>
      <w:r>
        <w:t xml:space="preserve">3.7 Step 7: Hierarchical Clustering</w:t>
      </w:r>
    </w:p>
    <w:p>
      <w:pPr>
        <w:pStyle w:val="Heading3"/>
      </w:pPr>
      <w:r>
        <w:t xml:space="preserve">Objective</w:t>
      </w:r>
    </w:p>
    <w:p>
      <w:pPr>
        <w:spacing w:after="160" w:line="300"/>
      </w:pPr>
      <w:r>
        <w:rPr>
          <w:rFonts w:ascii="Arial" w:cs="Arial" w:eastAsia="Arial" w:hAnsi="Arial"/>
          <w:color w:val="1A1A1A"/>
          <w:sz w:val="22"/>
          <w:szCs w:val="22"/>
        </w:rPr>
        <w:t xml:space="preserve">Group funds into clusters based on the conservative distance matrix, ensuring that only funds with high-confidence similarity are placed together.</w:t>
      </w:r>
    </w:p>
    <w:p>
      <w:pPr>
        <w:pStyle w:val="Heading3"/>
      </w:pPr>
      <w:r>
        <w:t xml:space="preserve">Why hierarchical clustering, not K-Means?</w:t>
      </w:r>
    </w:p>
    <w:p>
      <w:pPr>
        <w:spacing w:after="160" w:line="300"/>
      </w:pPr>
      <w:r>
        <w:rPr>
          <w:rFonts w:ascii="Arial" w:cs="Arial" w:eastAsia="Arial" w:hAnsi="Arial"/>
          <w:color w:val="1A1A1A"/>
          <w:sz w:val="22"/>
          <w:szCs w:val="22"/>
        </w:rPr>
        <w:t xml:space="preserve">K-Means forces every data point into exactly one of K clusters. This means even a truly unique fund — one that follows a strategy unlike anything else in the universe — gets assigned to its “nearest” cluster. This directly increases false positives. Hierarchical agglomerative clustering, by contrast, builds a tree (dendrogram) of merges and allows us to cut the tree at a specific distance threshold. Funds that are not close enough to any other fund simply remain as singletons (clusters of size 1). This is exactly the behavior we want: if in doubt, do not merge.</w:t>
      </w:r>
    </w:p>
    <w:p>
      <w:pPr>
        <w:pStyle w:val="Heading3"/>
      </w:pPr>
      <w:r>
        <w:t xml:space="preserve">Procedure</w:t>
      </w:r>
    </w:p>
    <w:p>
      <w:pPr>
        <w:spacing w:after="160" w:line="300"/>
      </w:pPr>
      <w:r>
        <w:rPr>
          <w:rFonts w:ascii="Arial" w:cs="Arial" w:eastAsia="Arial" w:hAnsi="Arial"/>
          <w:b/>
          <w:bCs/>
          <w:color w:val="1A1A1A"/>
          <w:sz w:val="22"/>
          <w:szCs w:val="22"/>
        </w:rPr>
        <w:t xml:space="preserve">1. </w:t>
      </w:r>
      <w:r>
        <w:rPr>
          <w:rFonts w:ascii="Arial" w:cs="Arial" w:eastAsia="Arial" w:hAnsi="Arial"/>
          <w:color w:val="1A1A1A"/>
          <w:sz w:val="22"/>
          <w:szCs w:val="22"/>
        </w:rPr>
        <w:t xml:space="preserve">Use the conservative distance matrix from Step 6 as input.</w:t>
      </w:r>
    </w:p>
    <w:p>
      <w:pPr>
        <w:spacing w:after="160" w:line="300"/>
      </w:pPr>
      <w:r>
        <w:rPr>
          <w:rFonts w:ascii="Arial" w:cs="Arial" w:eastAsia="Arial" w:hAnsi="Arial"/>
          <w:b/>
          <w:bCs/>
          <w:color w:val="1A1A1A"/>
          <w:sz w:val="22"/>
          <w:szCs w:val="22"/>
        </w:rPr>
        <w:t xml:space="preserve">2. </w:t>
      </w:r>
      <w:r>
        <w:rPr>
          <w:rFonts w:ascii="Arial" w:cs="Arial" w:eastAsia="Arial" w:hAnsi="Arial"/>
          <w:color w:val="1A1A1A"/>
          <w:sz w:val="22"/>
          <w:szCs w:val="22"/>
        </w:rPr>
        <w:t xml:space="preserve">Apply agglomerative hierarchical clustering with complete linkage. Complete linkage defines the distance between two clusters as the maximum distance between any pair of funds across the two clusters. This is the most conservative linkage: for two clusters to merge, every fund in one cluster must be close to every fund in the other cluster. This further suppresses false positives.</w:t>
      </w:r>
    </w:p>
    <w:p>
      <w:pPr>
        <w:spacing w:after="160" w:line="300"/>
      </w:pPr>
      <w:r>
        <w:rPr>
          <w:rFonts w:ascii="Arial" w:cs="Arial" w:eastAsia="Arial" w:hAnsi="Arial"/>
          <w:b/>
          <w:bCs/>
          <w:color w:val="1A1A1A"/>
          <w:sz w:val="22"/>
          <w:szCs w:val="22"/>
        </w:rPr>
        <w:t xml:space="preserve">3. </w:t>
      </w:r>
      <w:r>
        <w:rPr>
          <w:rFonts w:ascii="Arial" w:cs="Arial" w:eastAsia="Arial" w:hAnsi="Arial"/>
          <w:color w:val="1A1A1A"/>
          <w:sz w:val="22"/>
          <w:szCs w:val="22"/>
        </w:rPr>
        <w:t xml:space="preserve">Cut the dendrogram at a distance threshold T. Any merge that would require combining funds more than T apart is prevented. The choice of T is guided by the evaluation in Step 8.</w:t>
      </w:r>
    </w:p>
    <w:p>
      <w:pPr>
        <w:pStyle w:val="Heading3"/>
      </w:pPr>
      <w:r>
        <w:t xml:space="preserve">Choosing the threshold T</w:t>
      </w:r>
    </w:p>
    <w:p>
      <w:pPr>
        <w:spacing w:after="160" w:line="300"/>
      </w:pPr>
      <w:r>
        <w:rPr>
          <w:rFonts w:ascii="Arial" w:cs="Arial" w:eastAsia="Arial" w:hAnsi="Arial"/>
          <w:color w:val="1A1A1A"/>
          <w:sz w:val="22"/>
          <w:szCs w:val="22"/>
        </w:rPr>
        <w:t xml:space="preserve">JSD is bounded between 0 and 1. A reasonable starting range for T is 0.05–0.20. Lower T means stricter clustering (fewer, smaller clusters, lower FP, higher FN). Higher T means more permissive clustering.</w:t>
      </w:r>
    </w:p>
    <w:p>
      <w:pPr>
        <w:spacing w:after="160" w:line="300"/>
      </w:pPr>
      <w:r>
        <w:rPr>
          <w:rFonts w:ascii="Arial" w:cs="Arial" w:eastAsia="Arial" w:hAnsi="Arial"/>
          <w:color w:val="1A1A1A"/>
          <w:sz w:val="22"/>
          <w:szCs w:val="22"/>
        </w:rPr>
        <w:t xml:space="preserve">Strategy: sweep T across the range [0.01, 0.30] in small increments (e.g., 0.01) and compute pairwise precision, pairwise recall, ARI, and NMI at each threshold (using the synthetic labels). Select the T that maximizes pairwise precision while keeping recall at a reasonable level (or select based on F-beta score with β &lt; 1 to penalize FP more than FN).</w:t>
      </w:r>
    </w:p>
    <w:p>
      <w:pPr>
        <w:pStyle w:val="Heading3"/>
      </w:pPr>
      <w:r>
        <w:t xml:space="preserve">Output</w:t>
      </w:r>
    </w:p>
    <w:p>
      <w:pPr>
        <w:spacing w:after="160" w:line="300"/>
      </w:pPr>
      <w:r>
        <w:rPr>
          <w:rFonts w:ascii="Arial" w:cs="Arial" w:eastAsia="Arial" w:hAnsi="Arial"/>
          <w:color w:val="1A1A1A"/>
          <w:sz w:val="22"/>
          <w:szCs w:val="22"/>
        </w:rPr>
        <w:t xml:space="preserve">A cluster assignment for each fund. Some funds may be singletons (clusters of size 1). Each multi-fund cluster represents a group of funds that the model is confident share similar investment themes.</w:t>
      </w:r>
    </w:p>
    <w:p>
      <w:r>
        <w:br w:type="page"/>
      </w:r>
    </w:p>
    <w:p>
      <w:pPr>
        <w:pStyle w:val="Heading2"/>
      </w:pPr>
      <w:r>
        <w:t xml:space="preserve">3.8 Step 8: Evaluation with Synthetic Labels</w:t>
      </w:r>
    </w:p>
    <w:p>
      <w:pPr>
        <w:pStyle w:val="Heading3"/>
      </w:pPr>
      <w:r>
        <w:t xml:space="preserve">Objective</w:t>
      </w:r>
    </w:p>
    <w:p>
      <w:pPr>
        <w:spacing w:after="160" w:line="300"/>
      </w:pPr>
      <w:r>
        <w:rPr>
          <w:rFonts w:ascii="Arial" w:cs="Arial" w:eastAsia="Arial" w:hAnsi="Arial"/>
          <w:color w:val="1A1A1A"/>
          <w:sz w:val="22"/>
          <w:szCs w:val="22"/>
        </w:rPr>
        <w:t xml:space="preserve">Rigorously evaluate the quality of the clusters using the ground truth labels available in the synthetic dataset.</w:t>
      </w:r>
    </w:p>
    <w:p>
      <w:pPr>
        <w:pStyle w:val="Heading3"/>
      </w:pPr>
      <w:r>
        <w:t xml:space="preserve">Ground truth extraction</w:t>
      </w:r>
    </w:p>
    <w:p>
      <w:pPr>
        <w:spacing w:after="160" w:line="300"/>
      </w:pPr>
      <w:r>
        <w:rPr>
          <w:rFonts w:ascii="Arial" w:cs="Arial" w:eastAsia="Arial" w:hAnsi="Arial"/>
          <w:color w:val="1A1A1A"/>
          <w:sz w:val="22"/>
          <w:szCs w:val="22"/>
        </w:rPr>
        <w:t xml:space="preserve">From the synthetic data, extract the true labels from fund names and asset names. For example, if fund names contain their themes (“LargeCap_Banking_Fund_01”) and asset names contain their sectors (“HDFC_Bank_Banking”), define the ground truth grouping as: two funds are truly similar if they share the same primary theme label(s).</w:t>
      </w:r>
    </w:p>
    <w:p>
      <w:pPr>
        <w:pStyle w:val="Heading3"/>
      </w:pPr>
      <w:r>
        <w:t xml:space="preserve">Primary metric: Pairwise precision and recall</w:t>
      </w:r>
    </w:p>
    <w:p>
      <w:pPr>
        <w:spacing w:after="160" w:line="300"/>
      </w:pPr>
      <w:r>
        <w:rPr>
          <w:rFonts w:ascii="Arial" w:cs="Arial" w:eastAsia="Arial" w:hAnsi="Arial"/>
          <w:color w:val="1A1A1A"/>
          <w:sz w:val="22"/>
          <w:szCs w:val="22"/>
        </w:rPr>
        <w:t xml:space="preserve">For every possible pair of funds, classify it into one of the four categories from the confusion matrix introduced in Section 1.2: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58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Model: Same Cluster</w:t>
            </w:r>
          </w:p>
        </w:tc>
        <w:tc>
          <w:tcPr>
            <w:tcW w:type="dxa" w:w="358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Model: Different Clusters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Actually Similar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True Positive (TP)</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False Negative (FN)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Actually Different</w:t>
            </w:r>
          </w:p>
        </w:tc>
        <w:tc>
          <w:tcPr>
            <w:tcW w:type="dxa" w:w="35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False Positive (FP)</w:t>
            </w:r>
          </w:p>
        </w:tc>
        <w:tc>
          <w:tcPr>
            <w:tcW w:type="dxa" w:w="35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True Negative (TN)</w:t>
            </w:r>
          </w:p>
        </w:tc>
      </w:tr>
    </w:tbl>
    <w:p>
      <w:pPr>
        <w:spacing w:after="80"/>
      </w:pPr>
    </w:p>
    <w:p>
      <w:pPr>
        <w:spacing w:after="160" w:line="300"/>
      </w:pPr>
      <w:r>
        <w:rPr>
          <w:rFonts w:ascii="Arial" w:cs="Arial" w:eastAsia="Arial" w:hAnsi="Arial"/>
          <w:b/>
          <w:bCs/>
          <w:color w:val="1A1A1A"/>
          <w:sz w:val="22"/>
          <w:szCs w:val="22"/>
        </w:rPr>
        <w:t xml:space="preserve">Pairwise Precision = TP / (TP + FP): </w:t>
      </w:r>
      <w:r>
        <w:rPr>
          <w:rFonts w:ascii="Arial" w:cs="Arial" w:eastAsia="Arial" w:hAnsi="Arial"/>
          <w:color w:val="1A1A1A"/>
          <w:sz w:val="22"/>
          <w:szCs w:val="22"/>
        </w:rPr>
        <w:t xml:space="preserve">Our primary metric. Of all pairs placed in the same cluster, what fraction are truly similar? Target: &gt; 0.95.</w:t>
      </w:r>
    </w:p>
    <w:p>
      <w:pPr>
        <w:spacing w:after="160" w:line="300"/>
      </w:pPr>
      <w:r>
        <w:rPr>
          <w:rFonts w:ascii="Arial" w:cs="Arial" w:eastAsia="Arial" w:hAnsi="Arial"/>
          <w:b/>
          <w:bCs/>
          <w:color w:val="1A1A1A"/>
          <w:sz w:val="22"/>
          <w:szCs w:val="22"/>
        </w:rPr>
        <w:t xml:space="preserve">Pairwise Recall = TP / (TP + FN): </w:t>
      </w:r>
      <w:r>
        <w:rPr>
          <w:rFonts w:ascii="Arial" w:cs="Arial" w:eastAsia="Arial" w:hAnsi="Arial"/>
          <w:color w:val="1A1A1A"/>
          <w:sz w:val="22"/>
          <w:szCs w:val="22"/>
        </w:rPr>
        <w:t xml:space="preserve">Secondary metric. Of all truly similar pairs, what fraction did we correctly cluster together? This will be lower, which is acceptable given the downstream Markov chain step.</w:t>
      </w:r>
    </w:p>
    <w:p>
      <w:pPr>
        <w:pStyle w:val="Heading3"/>
      </w:pPr>
      <w:r>
        <w:t xml:space="preserve">Supplementary metrics</w:t>
      </w:r>
    </w:p>
    <w:p>
      <w:pPr>
        <w:spacing w:after="160" w:line="300"/>
      </w:pPr>
      <w:r>
        <w:rPr>
          <w:rFonts w:ascii="Arial" w:cs="Arial" w:eastAsia="Arial" w:hAnsi="Arial"/>
          <w:b/>
          <w:bCs/>
          <w:color w:val="1A1A1A"/>
          <w:sz w:val="22"/>
          <w:szCs w:val="22"/>
        </w:rPr>
        <w:t xml:space="preserve">Adjusted Rand Index (ARI): </w:t>
      </w:r>
      <w:r>
        <w:rPr>
          <w:rFonts w:ascii="Arial" w:cs="Arial" w:eastAsia="Arial" w:hAnsi="Arial"/>
          <w:color w:val="1A1A1A"/>
          <w:sz w:val="22"/>
          <w:szCs w:val="22"/>
        </w:rPr>
        <w:t xml:space="preserve">Measures overall agreement between the predicted clustering and the true labels, adjusted for chance. Ranges from -1 to 1, where 1 = perfect agreement and 0 = random agreement. ARI considers all pairs simultaneously and penalizes FP and FN equally, so it does not capture our asymmetric objective. Use it as a supplementary sanity check.</w:t>
      </w:r>
    </w:p>
    <w:p>
      <w:pPr>
        <w:spacing w:after="160" w:line="300"/>
      </w:pPr>
      <w:r>
        <w:rPr>
          <w:rFonts w:ascii="Arial" w:cs="Arial" w:eastAsia="Arial" w:hAnsi="Arial"/>
          <w:b/>
          <w:bCs/>
          <w:color w:val="1A1A1A"/>
          <w:sz w:val="22"/>
          <w:szCs w:val="22"/>
        </w:rPr>
        <w:t xml:space="preserve">Normalized Mutual Information (NMI): </w:t>
      </w:r>
      <w:r>
        <w:rPr>
          <w:rFonts w:ascii="Arial" w:cs="Arial" w:eastAsia="Arial" w:hAnsi="Arial"/>
          <w:color w:val="1A1A1A"/>
          <w:sz w:val="22"/>
          <w:szCs w:val="22"/>
        </w:rPr>
        <w:t xml:space="preserve">Measures how much information the cluster labels share with the true labels. Ranges from 0 to 1, where 1 = knowing the cluster perfectly predicts the true label. Like ARI, it is symmetric and does not prioritize precision over recall.</w:t>
      </w:r>
    </w:p>
    <w:p>
      <w:pPr>
        <w:pStyle w:val="Heading3"/>
      </w:pPr>
      <w:r>
        <w:t xml:space="preserve">Handling granularity mismatch</w:t>
      </w:r>
    </w:p>
    <w:p>
      <w:pPr>
        <w:spacing w:after="160" w:line="300"/>
      </w:pPr>
      <w:r>
        <w:rPr>
          <w:rFonts w:ascii="Arial" w:cs="Arial" w:eastAsia="Arial" w:hAnsi="Arial"/>
          <w:color w:val="1A1A1A"/>
          <w:sz w:val="22"/>
          <w:szCs w:val="22"/>
        </w:rPr>
        <w:t xml:space="preserve">If the synthetic data has T true theme labels but we set K (number of LDA topics) much higher than T, the LDA-derived clusters may be finer-grained than the ground truth. For example, the ground truth might have one “Banking” label, but LDA might split this into “Public Sector Banking,” “Private Sector Banking,” and “Small Finance Banking.”</w:t>
      </w:r>
    </w:p>
    <w:p>
      <w:pPr>
        <w:spacing w:after="160" w:line="300"/>
      </w:pPr>
      <w:r>
        <w:rPr>
          <w:rFonts w:ascii="Arial" w:cs="Arial" w:eastAsia="Arial" w:hAnsi="Arial"/>
          <w:color w:val="1A1A1A"/>
          <w:sz w:val="22"/>
          <w:szCs w:val="22"/>
        </w:rPr>
        <w:t xml:space="preserve">This is not a failure — the sub-clusters are all valid. In this case: pairwise precision should still be high (all funds in the “Private Sector Banking” sub-cluster truly are banking funds). ARI and NMI will be moderate (because the model’s clustering is more detailed than the ground truth). To handle this, consider also evaluating at a coarser level by merging LDA clusters that share the same ground truth label and checking alignment.</w:t>
      </w:r>
    </w:p>
    <w:p>
      <w:pPr>
        <w:pStyle w:val="Heading3"/>
      </w:pPr>
      <w:r>
        <w:t xml:space="preserve">Output</w:t>
      </w:r>
    </w:p>
    <w:p>
      <w:pPr>
        <w:spacing w:after="160" w:line="300"/>
      </w:pPr>
      <w:r>
        <w:rPr>
          <w:rFonts w:ascii="Arial" w:cs="Arial" w:eastAsia="Arial" w:hAnsi="Arial"/>
          <w:color w:val="1A1A1A"/>
          <w:sz w:val="22"/>
          <w:szCs w:val="22"/>
        </w:rPr>
        <w:t xml:space="preserve">A comprehensive evaluation report containing: pairwise precision and recall, ARI and NMI, the confusion matrix, and an analysis of the effect of the distance threshold T and confidence parameter c on all metrics.</w:t>
      </w:r>
    </w:p>
    <w:p>
      <w:r>
        <w:br w:type="page"/>
      </w:r>
    </w:p>
    <w:p>
      <w:pPr>
        <w:pStyle w:val="Heading1"/>
      </w:pPr>
      <w:r>
        <w:t xml:space="preserve">4. Using the Results</w:t>
      </w:r>
    </w:p>
    <w:p>
      <w:pPr>
        <w:spacing w:after="160" w:line="300"/>
      </w:pPr>
      <w:r>
        <w:rPr>
          <w:rFonts w:ascii="Arial" w:cs="Arial" w:eastAsia="Arial" w:hAnsi="Arial"/>
          <w:color w:val="1A1A1A"/>
          <w:sz w:val="22"/>
          <w:szCs w:val="22"/>
        </w:rPr>
        <w:t xml:space="preserve">The trained LDA model and the resulting clusters can be used in several ways beyond the immediate clustering objective.</w:t>
      </w:r>
    </w:p>
    <w:p>
      <w:pPr>
        <w:pStyle w:val="Heading2"/>
      </w:pPr>
      <w:r>
        <w:t xml:space="preserve">4.1 Primary Use: Fund Clusters for Downstream Markov Chain Analysis</w:t>
      </w:r>
    </w:p>
    <w:p>
      <w:pPr>
        <w:spacing w:after="160" w:line="300"/>
      </w:pPr>
      <w:r>
        <w:rPr>
          <w:rFonts w:ascii="Arial" w:cs="Arial" w:eastAsia="Arial" w:hAnsi="Arial"/>
          <w:color w:val="1A1A1A"/>
          <w:sz w:val="22"/>
          <w:szCs w:val="22"/>
        </w:rPr>
        <w:t xml:space="preserve">The clusters of similar funds produced by this pipeline are the input to a downstream analysis using Markov chain simulations (covered in a separate document). The key requirement from this step is high pairwise precision: the downstream step can discover additional similarities between clusters (recovering false negatives), but it cannot undo incorrect within-cluster groupings (false positives propagate irreversibly). Every design decision in this pipeline — low α, high K, conservative distance estimates, complete linkage, strict threshold — was made to serve this requirement.</w:t>
      </w:r>
    </w:p>
    <w:p>
      <w:pPr>
        <w:pStyle w:val="Heading2"/>
      </w:pPr>
      <w:r>
        <w:t xml:space="preserve">4.2 Theme Interpretation</w:t>
      </w:r>
    </w:p>
    <w:p>
      <w:pPr>
        <w:spacing w:after="160" w:line="300"/>
      </w:pPr>
      <w:r>
        <w:rPr>
          <w:rFonts w:ascii="Arial" w:cs="Arial" w:eastAsia="Arial" w:hAnsi="Arial"/>
          <w:color w:val="1A1A1A"/>
          <w:sz w:val="22"/>
          <w:szCs w:val="22"/>
        </w:rPr>
        <w:t xml:space="preserve">Each of the K learned themes can be interpreted by examining its φ distribution (the theme-asset distribution). For each theme, sort assets by their probability under that theme and examine the top 10–20 assets. This reveals what investment strategy the theme represents. For example, if Theme 3’s top assets are Infosys, TCS, Wipro, HCL Tech, and Tech Mahindra, it clearly represents an IT sector theme.</w:t>
      </w:r>
    </w:p>
    <w:p>
      <w:pPr>
        <w:spacing w:after="160" w:line="300"/>
      </w:pPr>
      <w:r>
        <w:rPr>
          <w:rFonts w:ascii="Arial" w:cs="Arial" w:eastAsia="Arial" w:hAnsi="Arial"/>
          <w:color w:val="1A1A1A"/>
          <w:sz w:val="22"/>
          <w:szCs w:val="22"/>
        </w:rPr>
        <w:t xml:space="preserve">This interpretation can be validated against the synthetic labels: do the top assets for a theme share the same sector label? This provides an additional qualitative check on model quality.</w:t>
      </w:r>
    </w:p>
    <w:p>
      <w:pPr>
        <w:pStyle w:val="Heading2"/>
      </w:pPr>
      <w:r>
        <w:t xml:space="preserve">4.3 Fold-in Inference for New Funds</w:t>
      </w:r>
    </w:p>
    <w:p>
      <w:pPr>
        <w:spacing w:after="160" w:line="300"/>
      </w:pPr>
      <w:r>
        <w:rPr>
          <w:rFonts w:ascii="Arial" w:cs="Arial" w:eastAsia="Arial" w:hAnsi="Arial"/>
          <w:color w:val="1A1A1A"/>
          <w:sz w:val="22"/>
          <w:szCs w:val="22"/>
        </w:rPr>
        <w:t xml:space="preserve">When a new mutual fund needs to be analyzed (one that was not in the training data):</w:t>
      </w:r>
    </w:p>
    <w:p>
      <w:pPr>
        <w:spacing w:after="160" w:line="300"/>
      </w:pPr>
      <w:r>
        <w:rPr>
          <w:rFonts w:ascii="Arial" w:cs="Arial" w:eastAsia="Arial" w:hAnsi="Arial"/>
          <w:b/>
          <w:bCs/>
          <w:color w:val="1A1A1A"/>
          <w:sz w:val="22"/>
          <w:szCs w:val="22"/>
        </w:rPr>
        <w:t xml:space="preserve">1. </w:t>
      </w:r>
      <w:r>
        <w:rPr>
          <w:rFonts w:ascii="Arial" w:cs="Arial" w:eastAsia="Arial" w:hAnsi="Arial"/>
          <w:color w:val="1A1A1A"/>
          <w:sz w:val="22"/>
          <w:szCs w:val="22"/>
        </w:rPr>
        <w:t xml:space="preserve">Take the new fund’s holdings and convert to pseudo-counts using the same scaling factor N.</w:t>
      </w:r>
    </w:p>
    <w:p>
      <w:pPr>
        <w:spacing w:after="160" w:line="300"/>
      </w:pPr>
      <w:r>
        <w:rPr>
          <w:rFonts w:ascii="Arial" w:cs="Arial" w:eastAsia="Arial" w:hAnsi="Arial"/>
          <w:b/>
          <w:bCs/>
          <w:color w:val="1A1A1A"/>
          <w:sz w:val="22"/>
          <w:szCs w:val="22"/>
        </w:rPr>
        <w:t xml:space="preserve">2. </w:t>
      </w:r>
      <w:r>
        <w:rPr>
          <w:rFonts w:ascii="Arial" w:cs="Arial" w:eastAsia="Arial" w:hAnsi="Arial"/>
          <w:color w:val="1A1A1A"/>
          <w:sz w:val="22"/>
          <w:szCs w:val="22"/>
        </w:rPr>
        <w:t xml:space="preserve">Hold the learned φ matrices fixed (use the posterior mean or median of the S samples).</w:t>
      </w:r>
    </w:p>
    <w:p>
      <w:pPr>
        <w:spacing w:after="160" w:line="300"/>
      </w:pPr>
      <w:r>
        <w:rPr>
          <w:rFonts w:ascii="Arial" w:cs="Arial" w:eastAsia="Arial" w:hAnsi="Arial"/>
          <w:b/>
          <w:bCs/>
          <w:color w:val="1A1A1A"/>
          <w:sz w:val="22"/>
          <w:szCs w:val="22"/>
        </w:rPr>
        <w:t xml:space="preserve">3. </w:t>
      </w:r>
      <w:r>
        <w:rPr>
          <w:rFonts w:ascii="Arial" w:cs="Arial" w:eastAsia="Arial" w:hAnsi="Arial"/>
          <w:color w:val="1A1A1A"/>
          <w:sz w:val="22"/>
          <w:szCs w:val="22"/>
        </w:rPr>
        <w:t xml:space="preserve">Run Gibbs sampling on only this new fund’s data, sampling its topic assignments z while keeping φ fixed.</w:t>
      </w:r>
    </w:p>
    <w:p>
      <w:pPr>
        <w:spacing w:after="160" w:line="300"/>
      </w:pPr>
      <w:r>
        <w:rPr>
          <w:rFonts w:ascii="Arial" w:cs="Arial" w:eastAsia="Arial" w:hAnsi="Arial"/>
          <w:b/>
          <w:bCs/>
          <w:color w:val="1A1A1A"/>
          <w:sz w:val="22"/>
          <w:szCs w:val="22"/>
        </w:rPr>
        <w:t xml:space="preserve">4. </w:t>
      </w:r>
      <w:r>
        <w:rPr>
          <w:rFonts w:ascii="Arial" w:cs="Arial" w:eastAsia="Arial" w:hAnsi="Arial"/>
          <w:color w:val="1A1A1A"/>
          <w:sz w:val="22"/>
          <w:szCs w:val="22"/>
        </w:rPr>
        <w:t xml:space="preserve">Collect posterior samples of the new fund’s θ vector.</w:t>
      </w:r>
    </w:p>
    <w:p>
      <w:pPr>
        <w:spacing w:after="160" w:line="300"/>
      </w:pPr>
      <w:r>
        <w:rPr>
          <w:rFonts w:ascii="Arial" w:cs="Arial" w:eastAsia="Arial" w:hAnsi="Arial"/>
          <w:b/>
          <w:bCs/>
          <w:color w:val="1A1A1A"/>
          <w:sz w:val="22"/>
          <w:szCs w:val="22"/>
        </w:rPr>
        <w:t xml:space="preserve">5. </w:t>
      </w:r>
      <w:r>
        <w:rPr>
          <w:rFonts w:ascii="Arial" w:cs="Arial" w:eastAsia="Arial" w:hAnsi="Arial"/>
          <w:color w:val="1A1A1A"/>
          <w:sz w:val="22"/>
          <w:szCs w:val="22"/>
        </w:rPr>
        <w:t xml:space="preserve">Compute the conservative JSD between this new fund and existing cluster centroids (or representative funds) using the same posterior-aware distance computation from Step 6.</w:t>
      </w:r>
    </w:p>
    <w:p>
      <w:pPr>
        <w:spacing w:after="160" w:line="300"/>
      </w:pPr>
      <w:r>
        <w:rPr>
          <w:rFonts w:ascii="Arial" w:cs="Arial" w:eastAsia="Arial" w:hAnsi="Arial"/>
          <w:b/>
          <w:bCs/>
          <w:color w:val="1A1A1A"/>
          <w:sz w:val="22"/>
          <w:szCs w:val="22"/>
        </w:rPr>
        <w:t xml:space="preserve">6. </w:t>
      </w:r>
      <w:r>
        <w:rPr>
          <w:rFonts w:ascii="Arial" w:cs="Arial" w:eastAsia="Arial" w:hAnsi="Arial"/>
          <w:color w:val="1A1A1A"/>
          <w:sz w:val="22"/>
          <w:szCs w:val="22"/>
        </w:rPr>
        <w:t xml:space="preserve">Assign the new fund to the nearest cluster (if the distance is below threshold T) or flag it as a novel strategy (if no cluster is close enough).</w:t>
      </w:r>
    </w:p>
    <w:p>
      <w:pPr>
        <w:spacing w:after="160" w:line="300"/>
      </w:pPr>
      <w:r>
        <w:rPr>
          <w:rFonts w:ascii="Arial" w:cs="Arial" w:eastAsia="Arial" w:hAnsi="Arial"/>
          <w:color w:val="1A1A1A"/>
          <w:sz w:val="22"/>
          <w:szCs w:val="22"/>
        </w:rPr>
        <w:t xml:space="preserve">This entire process requires no retraining and completes in seconds, making it suitable for real-time or periodic batch applications. This is a capability that NMF cannot provide in a principled way.</w:t>
      </w:r>
    </w:p>
    <w:p>
      <w:pPr>
        <w:pStyle w:val="Heading2"/>
      </w:pPr>
      <w:r>
        <w:t xml:space="preserve">4.4 Generating Synthetic Fund Portfolios</w:t>
      </w:r>
    </w:p>
    <w:p>
      <w:pPr>
        <w:spacing w:after="160" w:line="300"/>
      </w:pPr>
      <w:r>
        <w:rPr>
          <w:rFonts w:ascii="Arial" w:cs="Arial" w:eastAsia="Arial" w:hAnsi="Arial"/>
          <w:color w:val="1A1A1A"/>
          <w:sz w:val="22"/>
          <w:szCs w:val="22"/>
        </w:rPr>
        <w:t xml:space="preserve">To generate a new fund with a specific theme profile:</w:t>
      </w:r>
    </w:p>
    <w:p>
      <w:pPr>
        <w:spacing w:after="160" w:line="300"/>
      </w:pPr>
      <w:r>
        <w:rPr>
          <w:rFonts w:ascii="Arial" w:cs="Arial" w:eastAsia="Arial" w:hAnsi="Arial"/>
          <w:b/>
          <w:bCs/>
          <w:color w:val="1A1A1A"/>
          <w:sz w:val="22"/>
          <w:szCs w:val="22"/>
        </w:rPr>
        <w:t xml:space="preserve">1. </w:t>
      </w:r>
      <w:r>
        <w:rPr>
          <w:rFonts w:ascii="Arial" w:cs="Arial" w:eastAsia="Arial" w:hAnsi="Arial"/>
          <w:color w:val="1A1A1A"/>
          <w:sz w:val="22"/>
          <w:szCs w:val="22"/>
        </w:rPr>
        <w:t xml:space="preserve">Specify a desired θ vector (e.g., [0.6 banking, 0.3 IT, 0.1 debt]).</w:t>
      </w:r>
    </w:p>
    <w:p>
      <w:pPr>
        <w:spacing w:after="160" w:line="300"/>
      </w:pPr>
      <w:r>
        <w:rPr>
          <w:rFonts w:ascii="Arial" w:cs="Arial" w:eastAsia="Arial" w:hAnsi="Arial"/>
          <w:b/>
          <w:bCs/>
          <w:color w:val="1A1A1A"/>
          <w:sz w:val="22"/>
          <w:szCs w:val="22"/>
        </w:rPr>
        <w:t xml:space="preserve">2. </w:t>
      </w:r>
      <w:r>
        <w:rPr>
          <w:rFonts w:ascii="Arial" w:cs="Arial" w:eastAsia="Arial" w:hAnsi="Arial"/>
          <w:color w:val="1A1A1A"/>
          <w:sz w:val="22"/>
          <w:szCs w:val="22"/>
        </w:rPr>
        <w:t xml:space="preserve">Compute the expected portfolio weights as w = θ × φ (using the posterior mean of φ).</w:t>
      </w:r>
    </w:p>
    <w:p>
      <w:pPr>
        <w:spacing w:after="160" w:line="300"/>
      </w:pPr>
      <w:r>
        <w:rPr>
          <w:rFonts w:ascii="Arial" w:cs="Arial" w:eastAsia="Arial" w:hAnsi="Arial"/>
          <w:b/>
          <w:bCs/>
          <w:color w:val="1A1A1A"/>
          <w:sz w:val="22"/>
          <w:szCs w:val="22"/>
        </w:rPr>
        <w:t xml:space="preserve">3. </w:t>
      </w:r>
      <w:r>
        <w:rPr>
          <w:rFonts w:ascii="Arial" w:cs="Arial" w:eastAsia="Arial" w:hAnsi="Arial"/>
          <w:color w:val="1A1A1A"/>
          <w:sz w:val="22"/>
          <w:szCs w:val="22"/>
        </w:rPr>
        <w:t xml:space="preserve">The resulting vector w automatically sums to 1, giving valid portfolio weights. No renormalization needed.</w:t>
      </w:r>
    </w:p>
    <w:p>
      <w:pPr>
        <w:spacing w:after="160" w:line="300"/>
      </w:pPr>
      <w:r>
        <w:rPr>
          <w:rFonts w:ascii="Arial" w:cs="Arial" w:eastAsia="Arial" w:hAnsi="Arial"/>
          <w:color w:val="1A1A1A"/>
          <w:sz w:val="22"/>
          <w:szCs w:val="22"/>
        </w:rPr>
        <w:t xml:space="preserve">While these synthetic portfolios may not satisfy all real-world constraints (regulatory limits, minimum lot sizes, liquidity requirements), they provide a principled starting point for “What would a fund with this theme mix look like?” analysis. This generative capability is unique to LDA and is not available with NMF or SVD.</w:t>
      </w:r>
    </w:p>
    <w:p>
      <w:pPr>
        <w:pStyle w:val="Heading2"/>
      </w:pPr>
      <w:r>
        <w:t xml:space="preserve">4.5 Uncertainty-Based Fund Classification</w:t>
      </w:r>
    </w:p>
    <w:p>
      <w:pPr>
        <w:spacing w:after="160" w:line="300"/>
      </w:pPr>
      <w:r>
        <w:rPr>
          <w:rFonts w:ascii="Arial" w:cs="Arial" w:eastAsia="Arial" w:hAnsi="Arial"/>
          <w:color w:val="1A1A1A"/>
          <w:sz w:val="22"/>
          <w:szCs w:val="22"/>
        </w:rPr>
        <w:t xml:space="preserve">The posterior distributions enable a richer classification than simple cluster labels. For each fund, we can report: the most likely theme composition (posterior mean of θ), a confidence score for this composition (posterior standard deviation — low std = high confidence), and a probabilistic cluster membership (e.g., “85% probability of belonging to the Banking cluster, 10% to the Diversified cluster, 5% to no cluster”).</w:t>
      </w:r>
    </w:p>
    <w:p>
      <w:pPr>
        <w:spacing w:after="160" w:line="300"/>
      </w:pPr>
      <w:r>
        <w:rPr>
          <w:rFonts w:ascii="Arial" w:cs="Arial" w:eastAsia="Arial" w:hAnsi="Arial"/>
          <w:color w:val="1A1A1A"/>
          <w:sz w:val="22"/>
          <w:szCs w:val="22"/>
        </w:rPr>
        <w:t xml:space="preserve">This probabilistic view is especially valuable for funds near cluster boundaries, where hard assignment would be misleading. It also flags funds where the model itself is unsure, which may warrant manual review.</w:t>
      </w:r>
    </w:p>
    <w:p>
      <w:r>
        <w:br w:type="page"/>
      </w:r>
    </w:p>
    <w:p>
      <w:pPr>
        <w:pStyle w:val="Heading1"/>
      </w:pPr>
      <w:r>
        <w:t xml:space="preserve">5. Summary and Implementation Checklist</w:t>
      </w:r>
    </w:p>
    <w:p>
      <w:pPr>
        <w:spacing w:after="160" w:line="300"/>
      </w:pPr>
      <w:r>
        <w:rPr>
          <w:rFonts w:ascii="Arial" w:cs="Arial" w:eastAsia="Arial" w:hAnsi="Arial"/>
          <w:color w:val="1A1A1A"/>
          <w:sz w:val="22"/>
          <w:szCs w:val="22"/>
        </w:rPr>
        <w:t xml:space="preserve">This section provides a condensed reference for the implementer.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800"/>
        <w:gridCol w:w="3360"/>
      </w:tblGrid>
      <w:tr>
        <w:tc>
          <w:tcPr>
            <w:tcW w:type="dxa" w:w="6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Key Action</w:t>
            </w:r>
          </w:p>
        </w:tc>
        <w:tc>
          <w:tcPr>
            <w:tcW w:type="dxa" w:w="28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Key Parameters</w:t>
            </w:r>
          </w:p>
        </w:tc>
        <w:tc>
          <w:tcPr>
            <w:tcW w:type="dxa" w:w="336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20"/>
                <w:szCs w:val="20"/>
              </w:rPr>
              <w:t xml:space="preserve">Watch Out For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Build fund-asset weight matrix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None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Rows must sum to 1; no preprocessing/pruning needed</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2</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Multiply weights by N and round</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N = 1,000–10,000</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Verify row sums ≈ N; larger N = finer granularity but slower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Set α, β, 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α ≤ 0.1, β ≤ 0.01, K = 30–80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K too low → higher FP; K too high → higher FN (acceptable)</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4</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Run Gibbs sampling</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Burn-in: 200–500, Samples: 50–200, Thin: every 10–20</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Monitor log-likelihood convergence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Extract S posterior θ vectors per fund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 = collected samples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Store full S×K matrix per fund, NOT just means</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6</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Compute conservative JSD distances</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Confidence param c = 1–2</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Use posterior samples, not point estimates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Hierarchical clustering with threshold 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 = 0.05–0.20, complete linkage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Singletons are expected and acceptable</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8</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Evaluate: pairwise precision, ARI, NMI</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Ground truth from synthetic labels</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color w:val="1A1A1A"/>
                <w:sz w:val="20"/>
                <w:szCs w:val="20"/>
              </w:rPr>
              <w:t xml:space="preserve">Expect granularity mismatch if K &gt;&gt; true themes</w:t>
            </w:r>
          </w:p>
        </w:tc>
      </w:tr>
    </w:tbl>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C8A" w:sz="2"/>
              <w:left w:val="single" w:color="2B5C8A" w:sz="6"/>
              <w:bottom w:val="single" w:color="2B5C8A" w:sz="2"/>
              <w:right w:val="single" w:color="2B5C8A" w:sz="2"/>
            </w:tcBorders>
            <w:shd w:fill="E8F0F8" w:val="clear"/>
            <w:tcMar>
              <w:top w:type="dxa" w:w="120"/>
              <w:left w:type="dxa" w:w="200"/>
              <w:bottom w:type="dxa" w:w="120"/>
              <w:right w:type="dxa" w:w="200"/>
            </w:tcMar>
          </w:tcPr>
          <w:p>
            <w:pPr>
              <w:spacing w:after="80"/>
            </w:pPr>
            <w:r>
              <w:rPr>
                <w:rFonts w:ascii="Arial" w:cs="Arial" w:eastAsia="Arial" w:hAnsi="Arial"/>
                <w:b/>
                <w:bCs/>
                <w:color w:val="2B5C8A"/>
                <w:sz w:val="22"/>
                <w:szCs w:val="22"/>
              </w:rPr>
              <w:t xml:space="preserve">Next Step: Markov Chain Similarity Analysis</w:t>
            </w:r>
          </w:p>
          <w:p>
            <w:pPr>
              <w:spacing w:after="100" w:line="280"/>
            </w:pPr>
            <w:r>
              <w:rPr>
                <w:rFonts w:ascii="Arial" w:cs="Arial" w:eastAsia="Arial" w:hAnsi="Arial"/>
                <w:color w:val="1A1A1A"/>
                <w:sz w:val="21"/>
                <w:szCs w:val="21"/>
              </w:rPr>
              <w:t xml:space="preserve">The clusters of funds produced by this pipeline serve as input to the downstream Markov chain similarity analysis (covered in a separate document).</w:t>
            </w:r>
          </w:p>
          <w:p>
            <w:pPr>
              <w:spacing w:after="100" w:line="280"/>
            </w:pPr>
            <w:r>
              <w:rPr>
                <w:rFonts w:ascii="Arial" w:cs="Arial" w:eastAsia="Arial" w:hAnsi="Arial"/>
                <w:color w:val="1A1A1A"/>
                <w:sz w:val="21"/>
                <w:szCs w:val="21"/>
              </w:rPr>
              <w:t xml:space="preserve">The design choices made throughout this pipeline — particularly the emphasis on high pairwise precision at the expense of recall — are specifically tailored for compatibility with that downstream step, which is designed to recover the missed similarities (false negatives) while preserving the high-confidence groupings from this step.</w:t>
            </w:r>
          </w:p>
          <w:p>
            <w:pPr>
              <w:spacing w:after="0" w:line="280"/>
            </w:pPr>
            <w:r>
              <w:rPr>
                <w:rFonts w:ascii="Arial" w:cs="Arial" w:eastAsia="Arial" w:hAnsi="Arial"/>
                <w:color w:val="1A1A1A"/>
                <w:sz w:val="21"/>
                <w:szCs w:val="21"/>
              </w:rPr>
              <w:t xml:space="preserve">False positives from this step propagate irreversibly. False negatives are recoverable. This asymmetry is the single most important principle underlying every design decision in this document.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026"/>
      </w:tabs>
    </w:pPr>
    <w:r>
      <w:rPr>
        <w:rFonts w:ascii="Arial" w:cs="Arial" w:eastAsia="Arial" w:hAnsi="Arial"/>
        <w:color w:val="666666"/>
        <w:sz w:val="18"/>
        <w:szCs w:val="18"/>
      </w:rPr>
      <w:t xml:space="preserve">LDA for Mutual Fund Similarity</w:t>
    </w:r>
    <w:r>
      <w:rPr>
        <w:rFonts w:ascii="Arial" w:cs="Arial" w:eastAsia="Arial" w:hAnsi="Arial"/>
        <w:color w:val="666666"/>
        <w:sz w:val="18"/>
        <w:szCs w:val="18"/>
      </w:rPr>
      <w:t xml:space="preserve">	Implementation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B5C8A" w:sz="4" w:space="4"/>
      </w:pBdr>
      <w:spacing w:after="200" w:before="360"/>
      <w:outlineLvl w:val="0"/>
    </w:pPr>
    <w:rPr>
      <w:rFonts w:ascii="Arial" w:cs="Arial" w:eastAsia="Arial" w:hAnsi="Arial"/>
      <w:b/>
      <w:bCs/>
      <w:color w:val="2B5C8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5C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7A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2026-04-14T04:06:48.300Z</dcterms:created>
  <dcterms:modified xsi:type="dcterms:W3CDTF">2026-04-14T04:06:48.301Z</dcterms:modified>
</cp:coreProperties>
</file>

<file path=docProps/custom.xml><?xml version="1.0" encoding="utf-8"?>
<Properties xmlns="http://schemas.openxmlformats.org/officeDocument/2006/custom-properties" xmlns:vt="http://schemas.openxmlformats.org/officeDocument/2006/docPropsVTypes"/>
</file>