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/>
          <w:b/>
          <w:color w:val="1F4E79"/>
          <w:sz w:val="50"/>
        </w:rPr>
        <w:t>ГРАНИЦЫ РЕЛИЗА</w:t>
      </w:r>
    </w:p>
    <w:p>
      <w:pPr>
        <w:spacing w:after="320"/>
        <w:jc w:val="center"/>
      </w:pPr>
      <w:r>
        <w:rPr>
          <w:rFonts w:ascii="Liberation Sans" w:hAnsi="Liberation Sans"/>
          <w:b/>
          <w:sz w:val="40"/>
        </w:rPr>
        <w:t>Virtugenium Laboratory v1.1</w:t>
      </w:r>
    </w:p>
    <w:p>
      <w:pPr>
        <w:jc w:val="center"/>
      </w:pPr>
      <w:r>
        <w:rPr>
          <w:rFonts w:ascii="Liberation Sans" w:hAnsi="Liberation Sans"/>
          <w:color w:val="595959"/>
          <w:sz w:val="26"/>
        </w:rPr>
        <w:t>Полный релиз для Windows и Android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Статус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Проект для утверждения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Дата начала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27 июля 2026 года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Жёсткий дедлайн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15 октября 2026 года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Целевые платформы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Windows и Android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Ответственные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Иван и Сергей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Версия документа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22"/>
              </w:rPr>
              <w:t>Дедлайн является фиксированным. Все обязательные функции и релизные артефакты должны быть готовы не позднее 15 октября 2026 года.</w:t>
            </w:r>
          </w:p>
        </w:tc>
      </w:tr>
    </w:tbl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фиксирует обязательный объём полного релиза Virtugenium Laboratory, границы ответственности, релизные артефакты, контрольные конфигурации, метрики качества и правила изменения объёма. После утверждения он является основанием для закрытия карточки VL-001 и запуска прямых последователей.</w:t>
      </w:r>
    </w:p>
    <w:p>
      <w:pPr>
        <w:pStyle w:val="Heading1"/>
      </w:pPr>
      <w:r>
        <w:t>2. Цель продукта</w:t>
      </w:r>
    </w:p>
    <w:p>
      <w:r>
        <w:t>Virtugenium Laboratory — устанавливаемое приложение виртуальной химической лаборатории. Пользователь перемещается между фиксированными зонами одной 360°-лаборатории, выбирает реактивы и оборудование, выполняет химические эксперименты и получает результат с оценкой действий и ошибок.</w:t>
      </w:r>
    </w:p>
    <w:p>
      <w:r>
        <w:t>Цель релиза v1.0 — предоставить завершённый учебный продукт для Windows и Android, работающий без браузерного запуска и без установленного Node.js.</w:t>
      </w:r>
    </w:p>
    <w:p>
      <w:pPr>
        <w:pStyle w:val="Heading1"/>
      </w:pPr>
      <w:r>
        <w:t>3. Состав полного релиза</w:t>
      </w:r>
    </w:p>
    <w:p>
      <w:pPr>
        <w:pStyle w:val="Heading2"/>
      </w:pPr>
      <w:r>
        <w:t>3.1. Лаборатория</w:t>
      </w:r>
    </w:p>
    <w:p>
      <w:pPr>
        <w:pStyle w:val="ListBullet"/>
        <w:spacing w:after="40"/>
      </w:pPr>
      <w:r>
        <w:rPr>
          <w:rFonts w:ascii="Liberation Sans" w:hAnsi="Liberation Sans"/>
        </w:rPr>
        <w:t>одна 360°-лаборатория;</w:t>
      </w:r>
    </w:p>
    <w:p>
      <w:pPr>
        <w:pStyle w:val="ListBullet"/>
        <w:spacing w:after="40"/>
      </w:pPr>
      <w:r>
        <w:rPr>
          <w:rFonts w:ascii="Liberation Sans" w:hAnsi="Liberation Sans"/>
        </w:rPr>
        <w:t>общий обзор с вращением камеры;</w:t>
      </w:r>
    </w:p>
    <w:p>
      <w:pPr>
        <w:pStyle w:val="ListBullet"/>
        <w:spacing w:after="40"/>
      </w:pPr>
      <w:r>
        <w:rPr>
          <w:rFonts w:ascii="Liberation Sans" w:hAnsi="Liberation Sans"/>
        </w:rPr>
        <w:t>фиксированные интерактивные зоны и плавная фокусировка;</w:t>
      </w:r>
    </w:p>
    <w:p>
      <w:pPr>
        <w:pStyle w:val="ListBullet"/>
        <w:spacing w:after="40"/>
      </w:pPr>
      <w:r>
        <w:rPr>
          <w:rFonts w:ascii="Liberation Sans" w:hAnsi="Liberation Sans"/>
        </w:rPr>
        <w:t>возврат из зоны к общему обзору;</w:t>
      </w:r>
    </w:p>
    <w:p>
      <w:pPr>
        <w:pStyle w:val="ListBullet"/>
        <w:spacing w:after="40"/>
      </w:pPr>
      <w:r>
        <w:rPr>
          <w:rFonts w:ascii="Liberation Sans" w:hAnsi="Liberation Sans"/>
        </w:rPr>
        <w:t>шкаф реактивов и шкаф химической посуды;</w:t>
      </w:r>
    </w:p>
    <w:p>
      <w:pPr>
        <w:pStyle w:val="ListBullet"/>
        <w:spacing w:after="40"/>
      </w:pPr>
      <w:r>
        <w:rPr>
          <w:rFonts w:ascii="Liberation Sans" w:hAnsi="Liberation Sans"/>
        </w:rPr>
        <w:t>вытяжной шкаф;</w:t>
      </w:r>
    </w:p>
    <w:p>
      <w:pPr>
        <w:pStyle w:val="ListBullet"/>
        <w:spacing w:after="40"/>
      </w:pPr>
      <w:r>
        <w:rPr>
          <w:rFonts w:ascii="Liberation Sans" w:hAnsi="Liberation Sans"/>
        </w:rPr>
        <w:t>трёхмерный рабочий стол;</w:t>
      </w:r>
    </w:p>
    <w:p>
      <w:pPr>
        <w:pStyle w:val="ListBullet"/>
        <w:spacing w:after="40"/>
      </w:pPr>
      <w:r>
        <w:rPr>
          <w:rFonts w:ascii="Liberation Sans" w:hAnsi="Liberation Sans"/>
        </w:rPr>
        <w:t>планшет управления;</w:t>
      </w:r>
    </w:p>
    <w:p>
      <w:pPr>
        <w:pStyle w:val="ListBullet"/>
        <w:spacing w:after="40"/>
      </w:pPr>
      <w:r>
        <w:rPr>
          <w:rFonts w:ascii="Liberation Sans" w:hAnsi="Liberation Sans"/>
        </w:rPr>
        <w:t>автоматическое размещение выбранных предметов на рабочем столе;</w:t>
      </w:r>
    </w:p>
    <w:p>
      <w:pPr>
        <w:pStyle w:val="ListBullet"/>
        <w:spacing w:after="40"/>
      </w:pPr>
      <w:r>
        <w:rPr>
          <w:rFonts w:ascii="Liberation Sans" w:hAnsi="Liberation Sans"/>
        </w:rPr>
        <w:t>управление мышью на Windows и касанием на Android.</w:t>
      </w:r>
    </w:p>
    <w:p>
      <w:r>
        <w:t>Свободное перемещение по лаборатории, управление WASD и отдельный режим первого лица в релиз не входят.</w:t>
      </w:r>
    </w:p>
    <w:p>
      <w:pPr>
        <w:pStyle w:val="Heading2"/>
      </w:pPr>
      <w:r>
        <w:t>3.2. Режимы</w:t>
      </w:r>
    </w:p>
    <w:p>
      <w:pPr>
        <w:pStyle w:val="ListBullet"/>
        <w:spacing w:after="40"/>
      </w:pPr>
      <w:r>
        <w:rPr>
          <w:rFonts w:ascii="Liberation Sans" w:hAnsi="Liberation Sans"/>
        </w:rPr>
        <w:t>обучающий режим;</w:t>
      </w:r>
    </w:p>
    <w:p>
      <w:pPr>
        <w:pStyle w:val="ListBullet"/>
        <w:spacing w:after="40"/>
      </w:pPr>
      <w:r>
        <w:rPr>
          <w:rFonts w:ascii="Liberation Sans" w:hAnsi="Liberation Sans"/>
        </w:rPr>
        <w:t>классический режим;</w:t>
      </w:r>
    </w:p>
    <w:p>
      <w:pPr>
        <w:pStyle w:val="ListBullet"/>
        <w:spacing w:after="40"/>
      </w:pPr>
      <w:r>
        <w:rPr>
          <w:rFonts w:ascii="Liberation Sans" w:hAnsi="Liberation Sans"/>
        </w:rPr>
        <w:t>режим чистого эксперимента.</w:t>
      </w:r>
    </w:p>
    <w:p>
      <w:pPr>
        <w:pStyle w:val="Heading2"/>
      </w:pPr>
      <w:r>
        <w:t>3.3. Эксперименты</w:t>
      </w:r>
    </w:p>
    <w:p>
      <w:pPr>
        <w:pStyle w:val="ListNumber"/>
        <w:spacing w:after="40"/>
      </w:pPr>
      <w:r>
        <w:t>Медь и разбавленная азотная кислота.</w:t>
      </w:r>
    </w:p>
    <w:p>
      <w:pPr>
        <w:pStyle w:val="ListNumber"/>
        <w:spacing w:after="40"/>
      </w:pPr>
      <w:r>
        <w:t>Нитрат серебра и хлорид натрия.</w:t>
      </w:r>
    </w:p>
    <w:p>
      <w:pPr>
        <w:pStyle w:val="ListNumber"/>
        <w:spacing w:after="40"/>
      </w:pPr>
      <w:r>
        <w:t>Хлорид бария и сульфат калия.</w:t>
      </w:r>
    </w:p>
    <w:p>
      <w:pPr>
        <w:pStyle w:val="ListNumber"/>
        <w:spacing w:after="40"/>
      </w:pPr>
      <w:r>
        <w:t>Серная кислота, сульфит натрия и перманганат калия.</w:t>
      </w:r>
    </w:p>
    <w:p>
      <w:r>
        <w:t>Для каждого эксперимента обязательны:</w:t>
      </w:r>
    </w:p>
    <w:p>
      <w:pPr>
        <w:pStyle w:val="ListBullet"/>
        <w:spacing w:after="40"/>
      </w:pPr>
      <w:r>
        <w:rPr>
          <w:rFonts w:ascii="Liberation Sans" w:hAnsi="Liberation Sans"/>
        </w:rPr>
        <w:t>выбор необходимых реактивов и оборудования;</w:t>
      </w:r>
    </w:p>
    <w:p>
      <w:pPr>
        <w:pStyle w:val="ListBullet"/>
        <w:spacing w:after="40"/>
      </w:pPr>
      <w:r>
        <w:rPr>
          <w:rFonts w:ascii="Liberation Sans" w:hAnsi="Liberation Sans"/>
        </w:rPr>
        <w:t>корректная последовательность действий;</w:t>
      </w:r>
    </w:p>
    <w:p>
      <w:pPr>
        <w:pStyle w:val="ListBullet"/>
        <w:spacing w:after="40"/>
      </w:pPr>
      <w:r>
        <w:rPr>
          <w:rFonts w:ascii="Liberation Sans" w:hAnsi="Liberation Sans"/>
        </w:rPr>
        <w:t>визуальные признаки химической реакции;</w:t>
      </w:r>
    </w:p>
    <w:p>
      <w:pPr>
        <w:pStyle w:val="ListBullet"/>
        <w:spacing w:after="40"/>
      </w:pPr>
      <w:r>
        <w:rPr>
          <w:rFonts w:ascii="Liberation Sans" w:hAnsi="Liberation Sans"/>
        </w:rPr>
        <w:t>завершение сценария и экран результата;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подсчёт баллов;</w:t>
      </w:r>
    </w:p>
    <w:p>
      <w:pPr>
        <w:pStyle w:val="ListBullet"/>
        <w:spacing w:after="40"/>
      </w:pPr>
      <w:r>
        <w:rPr>
          <w:rFonts w:ascii="Liberation Sans" w:hAnsi="Liberation Sans"/>
        </w:rPr>
        <w:t>фиксация обязательных ошибок;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повторный запуск.</w:t>
      </w:r>
    </w:p>
    <w:p>
      <w:pPr>
        <w:pStyle w:val="Heading2"/>
      </w:pPr>
      <w:r>
        <w:t>3.4. Моделируемые ошибки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1. Неправильная ориентация этикетки реактива.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2. Нагревание пробирки без держателя.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3. Неправильный порядок смешивания веществ.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4. Отсутствие предварительного нагревания.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5. Выполнение опыта без средств индивидуальной защиты.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6. Работа с токсичным газом вне вытяжного шкафа.</w:t>
      </w:r>
    </w:p>
    <w:p>
      <w:pPr>
        <w:pStyle w:val="Heading2"/>
      </w:pPr>
      <w:r>
        <w:t>3.5. Интерфейс и настройки</w:t>
      </w:r>
    </w:p>
    <w:p>
      <w:pPr>
        <w:pStyle w:val="ListBullet"/>
        <w:spacing w:after="40"/>
      </w:pPr>
      <w:r>
        <w:rPr>
          <w:rFonts w:ascii="Liberation Sans" w:hAnsi="Liberation Sans"/>
        </w:rPr>
        <w:t>главное меню;</w:t>
      </w:r>
    </w:p>
    <w:p>
      <w:pPr>
        <w:pStyle w:val="ListBullet"/>
        <w:spacing w:after="40"/>
      </w:pPr>
      <w:r>
        <w:rPr>
          <w:rFonts w:ascii="Liberation Sans" w:hAnsi="Liberation Sans"/>
        </w:rPr>
        <w:t>выбор режима;</w:t>
      </w:r>
    </w:p>
    <w:p>
      <w:pPr>
        <w:pStyle w:val="ListBullet"/>
        <w:spacing w:after="40"/>
      </w:pPr>
      <w:r>
        <w:rPr>
          <w:rFonts w:ascii="Liberation Sans" w:hAnsi="Liberation Sans"/>
        </w:rPr>
        <w:t>интерфейс планшета;</w:t>
      </w:r>
    </w:p>
    <w:p>
      <w:pPr>
        <w:pStyle w:val="ListBullet"/>
        <w:spacing w:after="40"/>
      </w:pPr>
      <w:r>
        <w:rPr>
          <w:rFonts w:ascii="Liberation Sans" w:hAnsi="Liberation Sans"/>
        </w:rPr>
        <w:t>экран результата;</w:t>
      </w:r>
    </w:p>
    <w:p>
      <w:pPr>
        <w:pStyle w:val="ListBullet"/>
        <w:spacing w:after="40"/>
      </w:pPr>
      <w:r>
        <w:rPr>
          <w:rFonts w:ascii="Liberation Sans" w:hAnsi="Liberation Sans"/>
        </w:rPr>
        <w:t>общая громкость и включение/выключение звука;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подтверждение выхода на Windows;</w:t>
      </w:r>
    </w:p>
    <w:p>
      <w:pPr>
        <w:pStyle w:val="ListBullet"/>
        <w:spacing w:after="40"/>
      </w:pPr>
      <w:r>
        <w:rPr>
          <w:rFonts w:ascii="Liberation Sans" w:hAnsi="Liberation Sans"/>
        </w:rPr>
        <w:t>корректная обработка кнопки «Назад», сворачивания и восстановления на Android.</w:t>
      </w:r>
    </w:p>
    <w:p>
      <w:r>
        <w:t>Пользовательские настройки качества графики отсутствуют. Качество адаптируется автоматически по внутренним профилям производительности.</w:t>
      </w:r>
    </w:p>
    <w:p>
      <w:pPr>
        <w:pStyle w:val="Heading1"/>
      </w:pPr>
      <w:r>
        <w:t>4. Исключения из объёма</w:t>
      </w:r>
    </w:p>
    <w:p>
      <w:pPr>
        <w:pStyle w:val="ListBullet"/>
        <w:spacing w:after="40"/>
      </w:pPr>
      <w:r>
        <w:rPr>
          <w:rFonts w:ascii="Liberation Sans" w:hAnsi="Liberation Sans"/>
        </w:rPr>
        <w:t>авторизация и учётные записи;</w:t>
      </w:r>
    </w:p>
    <w:p>
      <w:pPr>
        <w:pStyle w:val="ListBullet"/>
        <w:spacing w:after="40"/>
      </w:pPr>
      <w:r>
        <w:rPr>
          <w:rFonts w:ascii="Liberation Sans" w:hAnsi="Liberation Sans"/>
        </w:rPr>
        <w:t>облачное или постоянное сохранение прогресса;</w:t>
      </w:r>
    </w:p>
    <w:p>
      <w:pPr>
        <w:pStyle w:val="ListBullet"/>
        <w:spacing w:after="40"/>
      </w:pPr>
      <w:r>
        <w:rPr>
          <w:rFonts w:ascii="Liberation Sans" w:hAnsi="Liberation Sans"/>
        </w:rPr>
        <w:t>творческий режим;</w:t>
      </w:r>
    </w:p>
    <w:p>
      <w:pPr>
        <w:pStyle w:val="ListBullet"/>
        <w:spacing w:after="40"/>
      </w:pPr>
      <w:r>
        <w:rPr>
          <w:rFonts w:ascii="Liberation Sans" w:hAnsi="Liberation Sans"/>
        </w:rPr>
        <w:t>кабинет учителя;</w:t>
      </w:r>
    </w:p>
    <w:p>
      <w:pPr>
        <w:pStyle w:val="ListBullet"/>
        <w:spacing w:after="40"/>
      </w:pPr>
      <w:r>
        <w:rPr>
          <w:rFonts w:ascii="Liberation Sans" w:hAnsi="Liberation Sans"/>
        </w:rPr>
        <w:t>конструктор пользовательских заданий;</w:t>
      </w:r>
    </w:p>
    <w:p>
      <w:pPr>
        <w:pStyle w:val="ListBullet"/>
        <w:spacing w:after="40"/>
      </w:pPr>
      <w:r>
        <w:rPr>
          <w:rFonts w:ascii="Liberation Sans" w:hAnsi="Liberation Sans"/>
        </w:rPr>
        <w:t>многопользовательский режим;</w:t>
      </w:r>
    </w:p>
    <w:p>
      <w:pPr>
        <w:pStyle w:val="ListBullet"/>
        <w:spacing w:after="40"/>
      </w:pPr>
      <w:r>
        <w:rPr>
          <w:rFonts w:ascii="Liberation Sans" w:hAnsi="Liberation Sans"/>
        </w:rPr>
        <w:t>свободное перемещение по лаборатории;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поддержка iPhone и iOS;</w:t>
      </w:r>
    </w:p>
    <w:p>
      <w:pPr>
        <w:pStyle w:val="ListBullet"/>
        <w:spacing w:after="40"/>
      </w:pPr>
      <w:r>
        <w:rPr>
          <w:rFonts w:ascii="Liberation Sans" w:hAnsi="Liberation Sans"/>
        </w:rPr>
        <w:t>браузерная и PWA-версия;</w:t>
      </w:r>
    </w:p>
    <w:p>
      <w:pPr>
        <w:pStyle w:val="ListBullet"/>
        <w:spacing w:after="40"/>
      </w:pPr>
      <w:r>
        <w:rPr>
          <w:rFonts w:ascii="Liberation Sans" w:hAnsi="Liberation Sans"/>
        </w:rPr>
        <w:t>публикация в Microsoft Store и Google Play;</w:t>
      </w:r>
    </w:p>
    <w:p>
      <w:pPr>
        <w:pStyle w:val="ListBullet"/>
        <w:spacing w:after="40"/>
      </w:pPr>
      <w:r>
        <w:rPr>
          <w:rFonts w:ascii="Liberation Sans" w:hAnsi="Liberation Sans"/>
        </w:rPr>
        <w:t>обязательный Android AAB;</w:t>
      </w:r>
    </w:p>
    <w:p>
      <w:pPr>
        <w:pStyle w:val="ListBullet"/>
        <w:spacing w:after="40"/>
      </w:pPr>
      <w:r>
        <w:rPr>
          <w:rFonts w:ascii="Liberation Sans" w:hAnsi="Liberation Sans"/>
        </w:rPr>
        <w:t>аналитика пользователей и сетевые функции.</w:t>
      </w:r>
    </w:p>
    <w:p>
      <w:r>
        <w:t>Добавление любой из перечисленных функций требует отдельного письменного решения и пересчёта трудоёмкости, зависимостей и графика.</w:t>
      </w:r>
    </w:p>
    <w:p>
      <w:pPr>
        <w:pStyle w:val="Heading1"/>
      </w:pPr>
      <w:r>
        <w:t>5. Релизные артефакты</w:t>
      </w:r>
    </w:p>
    <w:p>
      <w:pPr>
        <w:pStyle w:val="Heading2"/>
      </w:pPr>
      <w:r>
        <w:t>5.1. Windows</w:t>
      </w:r>
    </w:p>
    <w:p>
      <w:pPr>
        <w:pStyle w:val="ListBullet"/>
        <w:spacing w:after="40"/>
      </w:pPr>
      <w:r>
        <w:rPr>
          <w:rFonts w:ascii="Liberation Sans" w:hAnsi="Liberation Sans"/>
        </w:rPr>
        <w:t>устанавливаемый Windows-инсталлятор;</w:t>
      </w:r>
    </w:p>
    <w:p>
      <w:pPr>
        <w:pStyle w:val="ListBullet"/>
        <w:spacing w:after="40"/>
      </w:pPr>
      <w:r>
        <w:rPr>
          <w:rFonts w:ascii="Liberation Sans" w:hAnsi="Liberation Sans"/>
        </w:rPr>
        <w:t>номер версии и исходный коммит;</w:t>
      </w:r>
    </w:p>
    <w:p>
      <w:pPr>
        <w:pStyle w:val="ListBullet"/>
        <w:spacing w:after="40"/>
      </w:pPr>
      <w:r>
        <w:rPr>
          <w:rFonts w:ascii="Liberation Sans" w:hAnsi="Liberation Sans"/>
        </w:rPr>
        <w:t>контрольная сумма SHA-256;</w:t>
      </w:r>
    </w:p>
    <w:p>
      <w:pPr>
        <w:pStyle w:val="ListBullet"/>
        <w:spacing w:after="40"/>
      </w:pPr>
      <w:r>
        <w:rPr>
          <w:rFonts w:ascii="Liberation Sans" w:hAnsi="Liberation Sans"/>
        </w:rPr>
        <w:t>инструкция по установке;</w:t>
      </w:r>
    </w:p>
    <w:p>
      <w:pPr>
        <w:pStyle w:val="ListBullet"/>
        <w:spacing w:after="40"/>
      </w:pPr>
      <w:r>
        <w:rPr>
          <w:rFonts w:ascii="Liberation Sans" w:hAnsi="Liberation Sans"/>
        </w:rPr>
        <w:t>release notes;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подпись с timestamp либо утверждённый unsigned-сценарий с инструкцией по SmartScreen.</w:t>
      </w:r>
    </w:p>
    <w:p>
      <w:pPr>
        <w:pStyle w:val="Heading2"/>
      </w:pPr>
      <w:r>
        <w:t>5.2. Android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подписанный Android APK;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постоянный release-keystore и проверенная резервная копия;</w:t>
      </w:r>
    </w:p>
    <w:p>
      <w:pPr>
        <w:pStyle w:val="ListBullet"/>
        <w:spacing w:after="40"/>
      </w:pPr>
      <w:r>
        <w:rPr>
          <w:rFonts w:ascii="Liberation Sans" w:hAnsi="Liberation Sans"/>
        </w:rPr>
        <w:t>номер версии, versionCode и исходный коммит;</w:t>
      </w:r>
    </w:p>
    <w:p>
      <w:pPr>
        <w:pStyle w:val="ListBullet"/>
        <w:spacing w:after="40"/>
      </w:pPr>
      <w:r>
        <w:rPr>
          <w:rFonts w:ascii="Liberation Sans" w:hAnsi="Liberation Sans"/>
        </w:rPr>
        <w:t>контрольная сумма SHA-256;</w:t>
      </w:r>
    </w:p>
    <w:p>
      <w:pPr>
        <w:pStyle w:val="ListBullet"/>
        <w:spacing w:after="40"/>
      </w:pPr>
      <w:r>
        <w:rPr>
          <w:rFonts w:ascii="Liberation Sans" w:hAnsi="Liberation Sans"/>
        </w:rPr>
        <w:t>инструкция по установке;</w:t>
      </w:r>
    </w:p>
    <w:p>
      <w:pPr>
        <w:pStyle w:val="ListBullet"/>
        <w:spacing w:after="40"/>
      </w:pPr>
      <w:r>
        <w:rPr>
          <w:rFonts w:ascii="Liberation Sans" w:hAnsi="Liberation Sans"/>
        </w:rPr>
        <w:t>release notes.</w:t>
      </w:r>
    </w:p>
    <w:p>
      <w:r>
        <w:t>AAB допускается только как дополнительный архивный артефакт и не является условием готовности релиза.</w:t>
      </w:r>
    </w:p>
    <w:p>
      <w:pPr>
        <w:pStyle w:val="Heading1"/>
      </w:pPr>
      <w:r>
        <w:t>6. Контрольные конфигурации</w:t>
      </w:r>
    </w:p>
    <w:p>
      <w:r>
        <w:t>Приёмка производительности и установки проводится минимум на двух контрольных конфигурациях.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Платформа</w:t>
            </w:r>
          </w:p>
        </w:tc>
        <w:tc>
          <w:tcPr>
            <w:tcW w:type="dxa" w:w="199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ОС</w:t>
            </w:r>
          </w:p>
        </w:tc>
        <w:tc>
          <w:tcPr>
            <w:tcW w:type="dxa" w:w="199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Процессор / SoC</w:t>
            </w:r>
          </w:p>
        </w:tc>
        <w:tc>
          <w:tcPr>
            <w:tcW w:type="dxa" w:w="199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Память</w:t>
            </w:r>
          </w:p>
        </w:tc>
        <w:tc>
          <w:tcPr>
            <w:tcW w:type="dxa" w:w="199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Экран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Windows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Windows 10 22H2, 64-bit или новее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Intel Core i3 6-го поколения или эквивалент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ГБ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1366×768 или выше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Android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Android 10 или новее, ARM64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Snapdragon 665 / Helio G80 или эквивалент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ГБ</w:t>
            </w:r>
          </w:p>
        </w:tc>
        <w:tc>
          <w:tcPr>
            <w:tcW w:type="dxa" w:w="19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1920×1080, альбомная ориентация</w:t>
            </w:r>
          </w:p>
        </w:tc>
      </w:tr>
    </w:tbl>
    <w:p>
      <w:r>
        <w:t>Фактические модели устройств, на которых проводится итоговая приёмка, указываются в release manifest и финальном чек-листе.</w:t>
      </w:r>
    </w:p>
    <w:p>
      <w:pPr>
        <w:pStyle w:val="Heading1"/>
      </w:pPr>
      <w:r>
        <w:t>7. Показатели качества</w:t>
      </w:r>
    </w:p>
    <w:p>
      <w:pPr>
        <w:pStyle w:val="ListBullet"/>
        <w:spacing w:after="40"/>
      </w:pPr>
      <w:r>
        <w:rPr>
          <w:rFonts w:ascii="Liberation Sans" w:hAnsi="Liberation Sans"/>
        </w:rPr>
        <w:t>средняя частота кадров — не ниже 30 FPS;</w:t>
      </w:r>
    </w:p>
    <w:p>
      <w:pPr>
        <w:pStyle w:val="ListBullet"/>
        <w:spacing w:after="40"/>
      </w:pPr>
      <w:r>
        <w:rPr>
          <w:rFonts w:ascii="Liberation Sans" w:hAnsi="Liberation Sans"/>
        </w:rPr>
        <w:t>показатель 1% low — не ниже 24 FPS;</w:t>
      </w:r>
    </w:p>
    <w:p>
      <w:pPr>
        <w:pStyle w:val="ListBullet"/>
        <w:spacing w:after="40"/>
      </w:pPr>
      <w:r>
        <w:rPr>
          <w:rFonts w:ascii="Liberation Sans" w:hAnsi="Liberation Sans"/>
        </w:rPr>
        <w:t>отсутствие аварийного завершения при прохождении всех четырёх экспериментов;</w:t>
      </w:r>
    </w:p>
    <w:p>
      <w:pPr>
        <w:pStyle w:val="ListBullet"/>
        <w:spacing w:after="40"/>
      </w:pPr>
      <w:r>
        <w:rPr>
          <w:rFonts w:ascii="Liberation Sans" w:hAnsi="Liberation Sans"/>
        </w:rPr>
        <w:t>отсутствие постоянного роста используемой памяти после пяти повторных запусков;</w:t>
      </w:r>
    </w:p>
    <w:p>
      <w:pPr>
        <w:pStyle w:val="ListBullet"/>
        <w:spacing w:after="40"/>
      </w:pPr>
      <w:r>
        <w:rPr>
          <w:rFonts w:ascii="Liberation Sans" w:hAnsi="Liberation Sans"/>
        </w:rPr>
        <w:t>доступность всех интерактивных зон мышью или касанием;</w:t>
      </w:r>
    </w:p>
    <w:p>
      <w:pPr>
        <w:pStyle w:val="ListBullet"/>
        <w:spacing w:after="40"/>
      </w:pPr>
      <w:r>
        <w:rPr>
          <w:rFonts w:ascii="Liberation Sans" w:hAnsi="Liberation Sans"/>
        </w:rPr>
        <w:t>различимость химических признаков после автоматической оптимизации;</w:t>
      </w:r>
    </w:p>
    <w:p>
      <w:pPr>
        <w:pStyle w:val="ListBullet"/>
        <w:spacing w:after="40"/>
      </w:pPr>
      <w:r>
        <w:rPr>
          <w:rFonts w:ascii="Liberation Sans" w:hAnsi="Liberation Sans"/>
        </w:rPr>
        <w:t>установка и запуск без Node.js и браузера;</w:t>
      </w:r>
    </w:p>
    <w:p>
      <w:pPr>
        <w:pStyle w:val="ListBullet"/>
        <w:spacing w:after="40"/>
      </w:pPr>
      <w:r>
        <w:rPr>
          <w:rFonts w:ascii="Liberation Sans" w:hAnsi="Liberation Sans"/>
        </w:rPr>
        <w:t>доступность всех обязательных ассетов без подключения к интернету.</w:t>
      </w:r>
    </w:p>
    <w:p>
      <w:pPr>
        <w:pStyle w:val="Heading1"/>
      </w:pPr>
      <w:r>
        <w:t>8.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Смысл</w:t>
            </w:r>
          </w:p>
        </w:tc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Примеры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P0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Блокирует поставку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Приложение не запускается; сборка не устанавливается; невозможно завершить обязательный эксперимент.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P1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Обязателен к исправлению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Неверная химическая логика; неправильные баллы; серьёзный дефект управления; FPS ниже цели.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P2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Переносим при наличии fallback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Косметическая проблема; небольшое визуальное расхождение; необязательное улучшение.</w:t>
            </w:r>
          </w:p>
        </w:tc>
      </w:tr>
    </w:tbl>
    <w:p>
      <w:r>
        <w:t>В поставке не допускаются открытые дефекты P0 и P1. P2 допускается только при наличии понятного рабочего fallback и письменной фиксации ограничения.</w:t>
      </w:r>
    </w:p>
    <w:p>
      <w:pPr>
        <w:pStyle w:val="Heading1"/>
      </w:pPr>
      <w:r>
        <w:t>9. Владельцы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498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Владелец решения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Границы продукта и итоговая поставка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Архитектура приложения и программная реализация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Химическая корректность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 и Сергей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3D-модели и материалы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Сергей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Визуальное качество лаборатории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Сергей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Производительность и сборки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Изменение объёма проекта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 и Сергей совместно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Приёмка полного релиза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 и Сергей совместно</w:t>
            </w:r>
          </w:p>
        </w:tc>
      </w:tr>
    </w:tbl>
    <w:p>
      <w:pPr>
        <w:pStyle w:val="Heading1"/>
      </w:pPr>
      <w:r>
        <w:t>10. Управление изменениями</w:t>
      </w:r>
    </w:p>
    <w:p>
      <w:r>
        <w:t>После утверждения документа новая функция не добавляется в текущий релиз без отдельного решения. Для изменения объёма необходимо: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1. описать предлагаемое изменение и причину;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2. оценить дополнительную трудоёмкость;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3. определить затронутые зависимости;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4. пересчитать прогноз завершения;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5. указать, какая работа будет перенесена или какой ресурс добавлен;</w:t>
      </w:r>
    </w:p>
    <w:p>
      <w:pPr>
        <w:spacing w:after="40"/>
        <w:ind w:left="0" w:firstLine="0"/>
      </w:pPr>
      <w:r>
        <w:rPr>
          <w:rFonts w:ascii="Liberation Sans" w:hAnsi="Liberation Sans"/>
        </w:rPr>
        <w:t>6. зафиксировать решение обоих участников.</w:t>
      </w:r>
    </w:p>
    <w:p>
      <w:r>
        <w:br w:type="page"/>
      </w:r>
    </w:p>
    <w:p>
      <w:pPr>
        <w:pStyle w:val="Heading1"/>
      </w:pPr>
      <w:r>
        <w:t>11. Календарный план и дедлайн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Начало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27 июля 2026 года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Жёсткий дедлайн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15 октября 2026 года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Рабочих дней в интервале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59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Общая трудоёмкость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614 часов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Иван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338 часов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Сергей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276 часов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Ресурсный baseline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57 рабочих дней</w:t>
            </w:r>
          </w:p>
        </w:tc>
      </w:tr>
      <w:tr>
        <w:tc>
          <w:tcPr>
            <w:tcW w:type="dxa" w:w="498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Фактический календарный резерв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 рабочих дня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</w:rPr>
              <w:t>Правило дедлайна: разработка и основная регрессия должны быть завершены не позднее 13 октября; 14 октября отведено на финальные сборки и установку; 15 октября — на устранение блокирующих дефектов и фиксацию поставки.</w:t>
            </w:r>
          </w:p>
        </w:tc>
      </w:tr>
    </w:tbl>
    <w:p>
      <w:r>
        <w:t>Проектный буфер из расчётной модели не создаёт дополнительные дни после 15 октября. При прогнозе выхода критического пути за 13 октября новые функции не добавляются, задачи P2 замораживаются, а изменение обязательного объёма фиксируется отдельным решением.</w:t>
      </w:r>
    </w:p>
    <w:p>
      <w:pPr>
        <w:pStyle w:val="Heading1"/>
        <w:spacing w:after="80"/>
      </w:pPr>
      <w:r>
        <w:t>12. Фиксация и проверка результата задачи</w:t>
      </w:r>
    </w:p>
    <w:p>
      <w:pPr>
        <w:spacing w:after="80"/>
      </w:pPr>
      <w:r>
        <w:t>Ссылка на результат нужна для того, чтобы второй участник мог быстро найти выполненную работу, проверить её по критериям карточки и при необходимости вернуться к конкретной версии результата. Ежедневный учёт остатка часов не является обязательным.</w:t>
      </w:r>
    </w:p>
    <w:p>
      <w:pPr>
        <w:spacing w:after="80"/>
      </w:pPr>
      <w:r>
        <w:t>Для задач P0 и P1 ссылка на проверяемый результат обязательна. Для небольшой задачи P2 ссылка может не указываться, если результат однозначно виден в общей принятой сборке.</w:t>
      </w:r>
    </w:p>
    <w:p>
      <w:pPr>
        <w:pStyle w:val="Heading2"/>
        <w:spacing w:after="80"/>
      </w:pPr>
      <w:r>
        <w:t>12.1. Общий формат комментария</w:t>
      </w:r>
    </w:p>
    <w:p>
      <w:pPr>
        <w:pStyle w:val="ListBullet"/>
        <w:spacing w:after="40"/>
      </w:pPr>
      <w:r>
        <w:t>Результат: ссылка на основной артефакт задачи.</w:t>
      </w:r>
    </w:p>
    <w:p>
      <w:pPr>
        <w:pStyle w:val="ListBullet"/>
        <w:spacing w:after="40"/>
      </w:pPr>
      <w:r>
        <w:t>Сделано: одно-два предложения о фактическом результате.</w:t>
      </w:r>
    </w:p>
    <w:p>
      <w:pPr>
        <w:pStyle w:val="ListBullet"/>
        <w:spacing w:after="40"/>
      </w:pPr>
      <w:r>
        <w:t>Как проверить: короткая последовательность действий для приёмки.</w:t>
      </w:r>
    </w:p>
    <w:p>
      <w:pPr>
        <w:pStyle w:val="ListBullet"/>
        <w:spacing w:after="40"/>
      </w:pPr>
      <w:r>
        <w:t>Ограничения: «нет» либо перечень известных ограничений и временных заглушек.</w:t>
      </w:r>
    </w:p>
    <w:p>
      <w:pPr>
        <w:spacing w:after="80"/>
      </w:pPr>
      <w:r>
        <w:t>Если задача временно остановлена, отдельно указывается блокер — конкретная причина, из-за которой работу нельзя продолжить или принять. Когда блокера нет, это поле можно не писать.</w:t>
      </w:r>
    </w:p>
    <w:p>
      <w:pPr>
        <w:pStyle w:val="Heading2"/>
        <w:spacing w:after="80"/>
      </w:pPr>
      <w:r>
        <w:t>12.2. Результаты задач Ивана</w:t>
      </w:r>
    </w:p>
    <w:p>
      <w:pPr>
        <w:spacing w:after="80"/>
      </w:pPr>
      <w:r>
        <w:t>Для программной логики, интерфейсов и исправлений основной ссылкой является pull request, commit или ветка GitHub. В комментарии указываются затронутый сценарий, способ запуска и действия для проверки на Windows и Android.</w:t>
      </w:r>
    </w:p>
    <w:p>
      <w:pPr>
        <w:spacing w:after="80"/>
      </w:pPr>
      <w:r>
        <w:t>Для архитектуры и конфигураций используется ссылка на документ или файл в репозитории, например описание схемы данных, конфигурацию эксперимента или инструкцию по сборке.</w:t>
      </w:r>
    </w:p>
    <w:p>
      <w:pPr>
        <w:spacing w:after="80"/>
      </w:pPr>
      <w:r>
        <w:t>Для Windows- и Android-сборок используется ссылка на GitHub Release или папку с релизным артефактом. Обязательно указываются версия, имя файла, контрольная сумма SHA-256 и краткая инструкция по установке.</w:t>
      </w:r>
    </w:p>
    <w:p>
      <w:pPr>
        <w:spacing w:after="80"/>
      </w:pPr>
      <w:r>
        <w:t>Для тестирования и оптимизации используется ссылка на таблицу замеров или отчёт. В комментарии фиксируются устройство, проверенный сценарий, средний FPS, 1% low и итог прохождения критерия.</w:t>
      </w:r>
    </w:p>
    <w:p>
      <w:pPr>
        <w:pStyle w:val="Heading2"/>
        <w:spacing w:after="80"/>
      </w:pPr>
      <w:r>
        <w:t>Пример для программной задачи:</w:t>
      </w:r>
    </w:p>
    <w:p>
      <w:pPr>
        <w:pStyle w:val="ListBullet"/>
        <w:spacing w:after="40"/>
      </w:pPr>
      <w:r>
        <w:t>Результат: ссылка на pull request.</w:t>
      </w:r>
    </w:p>
    <w:p>
      <w:pPr>
        <w:pStyle w:val="ListBullet"/>
        <w:spacing w:after="40"/>
      </w:pPr>
      <w:r>
        <w:t>Сделано: реализовано перетаскивание предметов мышью и касанием.</w:t>
      </w:r>
    </w:p>
    <w:p>
      <w:pPr>
        <w:pStyle w:val="ListBullet"/>
        <w:spacing w:after="40"/>
      </w:pPr>
      <w:r>
        <w:t>Как проверить: запустить ветку, перенести пробирку на рабочий стол на Windows и Android.</w:t>
      </w:r>
    </w:p>
    <w:p>
      <w:pPr>
        <w:pStyle w:val="ListBullet"/>
        <w:spacing w:after="40"/>
      </w:pPr>
      <w:r>
        <w:t>Ограничения: нет.</w:t>
      </w:r>
    </w:p>
    <w:p>
      <w:pPr>
        <w:pStyle w:val="Heading2"/>
        <w:spacing w:after="80"/>
      </w:pPr>
      <w:r>
        <w:t>12.3. Результаты задач Сергея</w:t>
      </w:r>
    </w:p>
    <w:p>
      <w:pPr>
        <w:spacing w:after="80"/>
      </w:pPr>
      <w:r>
        <w:t>Для новой 3D-модели основной ссылкой является папка с исходником Blender, экспортом GLB и используемыми текстурами. В комментарии указываются название объекта, масштаб, приблизительное число треугольников и способ проверки.</w:t>
      </w:r>
    </w:p>
    <w:p>
      <w:pPr>
        <w:spacing w:after="80"/>
      </w:pPr>
      <w:r>
        <w:t>Небольшие оптимизированные ассеты могут храниться в GitHub через Git LFS. Крупные исходники Blender, панорамы, HDR и видео допускается хранить в общей облачной папке проекта; в GitHub размещается ссылка и описание версии.</w:t>
      </w:r>
    </w:p>
    <w:p>
      <w:pPr>
        <w:spacing w:after="80"/>
      </w:pPr>
      <w:r>
        <w:t>Для материалов, освещения и панорамы к основной ссылке прикладывается короткое видео или набор скриншотов из тестовой сцены, если по самому файлу невозможно быстро оценить визуальный результат.</w:t>
      </w:r>
    </w:p>
    <w:p>
      <w:pPr>
        <w:pStyle w:val="Heading2"/>
        <w:spacing w:after="80"/>
      </w:pPr>
      <w:r>
        <w:t>Пример для 3D-задачи:</w:t>
      </w:r>
    </w:p>
    <w:p>
      <w:pPr>
        <w:pStyle w:val="ListBullet"/>
        <w:spacing w:after="40"/>
      </w:pPr>
      <w:r>
        <w:t>Результат: ссылка на папку с test_tube.blend, test_tube.glb и текстурами.</w:t>
      </w:r>
    </w:p>
    <w:p>
      <w:pPr>
        <w:pStyle w:val="ListBullet"/>
        <w:spacing w:after="40"/>
      </w:pPr>
      <w:r>
        <w:t>Сделано: подготовлена модель пробирки с материалом прозрачного стекла.</w:t>
      </w:r>
    </w:p>
    <w:p>
      <w:pPr>
        <w:pStyle w:val="ListBullet"/>
        <w:spacing w:after="40"/>
      </w:pPr>
      <w:r>
        <w:t>Как проверить: импортировать GLB в тестовую сцену и осмотреть модель со всех сторон.</w:t>
      </w:r>
    </w:p>
    <w:p>
      <w:pPr>
        <w:pStyle w:val="ListBullet"/>
        <w:spacing w:after="40"/>
      </w:pPr>
      <w:r>
        <w:t>Ограничения: финальная прозрачность уточняется после профилирования.</w:t>
      </w:r>
    </w:p>
    <w:p>
      <w:pPr>
        <w:pStyle w:val="Heading2"/>
        <w:spacing w:after="80"/>
      </w:pPr>
      <w:r>
        <w:t>12.4. Совместные задачи</w:t>
      </w:r>
    </w:p>
    <w:p>
      <w:pPr>
        <w:spacing w:after="80"/>
      </w:pPr>
      <w:r>
        <w:t>Когда Сергей создаёт ассет, а Иван подключает его в приложение, в карточке указываются две ссылки: на исходный ассет и на pull request с интеграцией. Карточка закрывается только после проверки итогового результата в приложении, а не после простой передачи файла.</w:t>
      </w:r>
    </w:p>
    <w:p>
      <w:pPr>
        <w:pStyle w:val="Heading2"/>
        <w:spacing w:after="80"/>
      </w:pPr>
      <w:r>
        <w:t>12.5. Правила хранения</w:t>
      </w:r>
    </w:p>
    <w:p>
      <w:pPr>
        <w:pStyle w:val="ListBullet"/>
        <w:spacing w:after="40"/>
      </w:pPr>
      <w:r>
        <w:t>Исходный код, конфигурации и документация хранятся в GitHub.</w:t>
      </w:r>
    </w:p>
    <w:p>
      <w:pPr>
        <w:pStyle w:val="ListBullet"/>
        <w:spacing w:after="40"/>
      </w:pPr>
      <w:r>
        <w:t>Большие бинарные ассеты репозитория хранятся через Git LFS либо в общей облачной папке.</w:t>
      </w:r>
    </w:p>
    <w:p>
      <w:pPr>
        <w:pStyle w:val="ListBullet"/>
        <w:spacing w:after="40"/>
      </w:pPr>
      <w:r>
        <w:t>Готовые установщики размещаются в GitHub Releases или в релизной папке проекта.</w:t>
      </w:r>
    </w:p>
    <w:p>
      <w:pPr>
        <w:pStyle w:val="ListBullet"/>
        <w:spacing w:after="40"/>
      </w:pPr>
      <w:r>
        <w:t>Пароли, токены, закрытые ключи, Android keystore и файлы с секретами не загружаются в GitHub и не прикладываются к карточкам.</w:t>
      </w:r>
    </w:p>
    <w:p>
      <w:pPr>
        <w:pStyle w:val="ListBullet"/>
        <w:spacing w:after="40"/>
      </w:pPr>
      <w:r>
        <w:t>Основной ссылкой считается одна ссылка, по которой проще всего проверить результат; дополнительные ссылки добавляются только при необходимости.</w:t>
      </w:r>
    </w:p>
    <w:p>
      <w:pPr>
        <w:pStyle w:val="Heading2"/>
        <w:spacing w:after="80"/>
      </w:pPr>
      <w:r>
        <w:t>12.6. Короткий шаблон для YouGile</w:t>
      </w:r>
    </w:p>
    <w:p>
      <w:pPr>
        <w:pStyle w:val="ListBullet"/>
        <w:spacing w:after="40"/>
      </w:pPr>
      <w:r>
        <w:t>Результат: __</w:t>
      </w:r>
    </w:p>
    <w:p>
      <w:pPr>
        <w:pStyle w:val="ListBullet"/>
        <w:spacing w:after="40"/>
      </w:pPr>
      <w:r>
        <w:t>Сделано: __</w:t>
      </w:r>
    </w:p>
    <w:p>
      <w:pPr>
        <w:pStyle w:val="ListBullet"/>
        <w:spacing w:after="40"/>
      </w:pPr>
      <w:r>
        <w:t>Как проверить: __</w:t>
      </w:r>
    </w:p>
    <w:p>
      <w:pPr>
        <w:pStyle w:val="ListBullet"/>
        <w:spacing w:after="40"/>
      </w:pPr>
      <w:r>
        <w:t>Ограничения: нет / __</w:t>
      </w:r>
    </w:p>
    <w:p>
      <w:pPr>
        <w:spacing w:after="80"/>
      </w:pPr>
      <w:r>
        <w:t>Для блокирующей ситуации дополнительно: Блокер: __. После устранения блокера комментарий обновляется или добавляется новый комментарий с результатом.</w:t>
      </w:r>
    </w:p>
    <w:p>
      <w:pPr>
        <w:pStyle w:val="Heading1"/>
      </w:pPr>
      <w:r>
        <w:t>13. Условия утверждения</w:t>
      </w:r>
    </w:p>
    <w:p>
      <w:r>
        <w:t>Документ считается утверждённым после подтверждения обоими участниками. Утверждение означает согласие с границами релиза, обязательными артефактами, контрольными конфигурациями и датой поставки 15 октября 2026 года.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Участник</w:t>
            </w:r>
          </w:p>
        </w:tc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Подпись / подтверждение</w:t>
            </w:r>
          </w:p>
        </w:tc>
        <w:tc>
          <w:tcPr>
            <w:tcW w:type="dxa" w:w="33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Дата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Иван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 / ____ / 2026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Сергей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 / ____ / 2026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b/>
          <w:color w:val="1F4E79"/>
        </w:rPr>
        <w:t>После утверждения прикрепить документ к карточке VL-001 и указать ссылку в поле «Ссылка на результат».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F7F7F"/>
        <w:sz w:val="16"/>
      </w:rPr>
      <w:t>Границы релиза v1.1 • Windows + Android • дедлайн 15.10.2026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F7F7F"/>
        <w:sz w:val="16"/>
      </w:rPr>
      <w:t>VIRTUGENIUM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