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NUMBER : 1</w:t>
      </w:r>
    </w:p>
    <w:p>
      <w:r>
        <w:t>Experiment Identification: Friday, December 13, 2024, 10:06 AM</w:t>
      </w:r>
    </w:p>
    <w:p>
      <w:r>
        <w:t>Run ID: #20241213_1006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625</w:t>
        <w:br/>
        <w:t>3. Catalyst thickness: 1.719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0.000000</w:t>
        <w:br/>
        <w:t>2. Highest growth rate: 0.002498</w:t>
        <w:br/>
        <w:t>3. Average growth rate: 0.001227</w:t>
        <w:br/>
        <w:t>4. Final height: 1.474062 micrometers</w:t>
        <w:br/>
        <w:t>5. Height in 10 minutes: 0.731683 micrometers</w:t>
        <w:br/>
        <w:t>6. Time to reach 90% growth: 1088 seconds</w:t>
        <w:br/>
        <w:t>7. 90% of Total growth: 1.326656 micrometers</w:t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0.002498 micrometers/s, with saturation occurring around 1088 seconds. The final height reached 1.474062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