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 – II</w:t>
      </w:r>
    </w:p>
    <w:p w:rsidR="00000000" w:rsidDel="00000000" w:rsidP="00000000" w:rsidRDefault="00000000" w:rsidRPr="00000000" w14:paraId="00000002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5.0" w:type="dxa"/>
        <w:jc w:val="center"/>
        <w:tblLayout w:type="fixed"/>
        <w:tblLook w:val="0400"/>
      </w:tblPr>
      <w:tblGrid>
        <w:gridCol w:w="1862"/>
        <w:gridCol w:w="9023"/>
        <w:tblGridChange w:id="0">
          <w:tblGrid>
            <w:gridCol w:w="1862"/>
            <w:gridCol w:w="9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following functional requirements define the major features and capabilities of the </w:t>
      </w:r>
      <w:r w:rsidDel="00000000" w:rsidR="00000000" w:rsidRPr="00000000">
        <w:rPr>
          <w:b w:val="1"/>
          <w:bCs w:val="1"/>
          <w:rtl w:val="0"/>
        </w:rPr>
        <w:t xml:space="preserve">EduGenie Learning Assistant</w:t>
      </w:r>
      <w:r w:rsidDel="00000000" w:rsidR="00000000" w:rsidRPr="00000000">
        <w:rPr>
          <w:rtl w:val="0"/>
        </w:rPr>
        <w:t xml:space="preserve">. These requirements describe how users interact with the system and the services provided by the application.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51"/>
        <w:gridCol w:w="2894"/>
        <w:gridCol w:w="5809"/>
        <w:tblGridChange w:id="0">
          <w:tblGrid>
            <w:gridCol w:w="651"/>
            <w:gridCol w:w="2894"/>
            <w:gridCol w:w="58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using Name, Email, and Password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Login and Authentication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Secure User Session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Submit Educational Questions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Generate AI-Powered Answers using Google Gemini 1.5 Pro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Display Accurate Educational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Enter Topic for 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Generate Simplified Explanations using LaMini-Flan-T5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Display Beginner-Friendly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Generate Multiple Choice Questions (MCQs)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Display Four Options with Correct 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Store Quiz Results in Database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Accept Long Educational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Generate Concise AI-Based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Display Summary for Quick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Accept Learning Topic from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Generate Beginner, Intermediate, and Advanced Learning Roadmap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Recommend Learning Resources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Backend API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Develop REST APIs using 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Connect Frontend with AI Modules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Return JSON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Store User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Store Queries, AI Responses, Quizzes, Summaries, and Learning Paths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Maintain Data Integrity Using Primary and Foreign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Frontend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Responsive HTML, CSS, and Jinja2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User Input Forms for All Educational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Display AI Responses Dynamically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Run Application using Uvicorn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 All Functionalities Successfully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following non-functional requirements ensure that EduGenie provides a secure, reliable, efficient, and scalable learning platform.</w:t>
      </w:r>
    </w:p>
    <w:tbl>
      <w:tblPr>
        <w:tblStyle w:val="Table3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25"/>
        <w:gridCol w:w="1946"/>
        <w:gridCol w:w="6783"/>
        <w:tblGridChange w:id="0">
          <w:tblGrid>
            <w:gridCol w:w="625"/>
            <w:gridCol w:w="1946"/>
            <w:gridCol w:w="6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simple, intuitive, and user-friendly interface that enables students, educators, and self-learners to access AI-powered educational features with minimal effort.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User credentials should be securely stored, API keys should be protected using environment variables, and communication between frontend and backend should be secure.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consistently provide accurate AI-generated responses and handle errors gracefully without affecting user experience.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generate educational responses quickly using FastAPI and optimized AI model integration while maintaining low response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EduGenie should remain available whenever the local server or deployment environment is running, allowing uninterrupted access to educational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The modular architecture should support future enhancements such as multilingual learning, student progress tracking, LMS integration, mobile applications, voice interaction, and cloud database migration.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The project should follow a modular folder structure and clean coding practices to simplify debugging, testing, and future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run on Windows, Linux, and macOS with minimal configuration using Python, FastAPI, and Uvicorn.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EduGenie should be compatible with modern web browsers and support SQLite, PostgreSQL, or MySQL databases.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The architecture should allow new AI-powered educational modules and APIs to be integrated without major modifications to the existing system.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functional requirements define the core educational services of </w:t>
      </w:r>
      <w:r w:rsidDel="00000000" w:rsidR="00000000" w:rsidRPr="00000000">
        <w:rPr>
          <w:b w:val="1"/>
          <w:bCs w:val="1"/>
          <w:rtl w:val="0"/>
        </w:rPr>
        <w:t xml:space="preserve">EduGenie</w:t>
      </w:r>
      <w:r w:rsidDel="00000000" w:rsidR="00000000" w:rsidRPr="00000000">
        <w:rPr>
          <w:rtl w:val="0"/>
        </w:rPr>
        <w:t xml:space="preserve">, including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Personalized Learning Recommendations, User Management, Database Integration, and Frontend-Backend Communication</w:t>
      </w:r>
      <w:r w:rsidDel="00000000" w:rsidR="00000000" w:rsidRPr="00000000">
        <w:rPr>
          <w:rtl w:val="0"/>
        </w:rPr>
        <w:t xml:space="preserve">. The non-functional requirements ensure the application is </w:t>
      </w:r>
      <w:r w:rsidDel="00000000" w:rsidR="00000000" w:rsidRPr="00000000">
        <w:rPr>
          <w:b w:val="1"/>
          <w:bCs w:val="1"/>
          <w:rtl w:val="0"/>
        </w:rPr>
        <w:t xml:space="preserve">secure, reliable, scalable, maintainable, high-performing, and user-friendly</w:t>
      </w:r>
      <w:r w:rsidDel="00000000" w:rsidR="00000000" w:rsidRPr="00000000">
        <w:rPr>
          <w:rtl w:val="0"/>
        </w:rPr>
        <w:t xml:space="preserve">, making it suitable for AI-powered educational assistance and future enhancements.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