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Cộng hòa nhân dân Trung Hoa (Trung Quốc)</w:t>
      </w:r>
    </w:p>
    <w:p>
      <w:r>
        <w:rPr>
          <w:b/>
        </w:rPr>
        <w:t>Giải Địa lí 11 Cộng hòa nhân dân Trung Hoa (Trung Quốc)</w:t>
      </w:r>
      <w:r>
        <w:br/>
      </w:r>
      <w:r>
        <w:rPr>
          <w:b/>
        </w:rPr>
        <w:t>Bài 25: Vị trí địa lí, điều kiện tự nhiên, dân cư và xã hội Trung Quốc</w:t>
      </w:r>
      <w:r>
        <w:br/>
      </w:r>
      <w:r>
        <w:rPr>
          <w:b/>
        </w:rPr>
        <w:t>Bài 26: Kinh tế Trung Quốc</w:t>
      </w:r>
      <w:r>
        <w:br/>
      </w:r>
      <w:r>
        <w:rPr>
          <w:b/>
        </w:rPr>
        <w:t>Bài 27: Thực hành: Tìm hiểu sự thay đổi của nền kinh tế tại vùng duyên hải Trung Quốc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Ô-Xtrây-Li-A</w:t>
      </w:r>
      <w:r>
        <w:br/>
      </w:r>
      <w:r>
        <w:t>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