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Cộng hoà Nam Phi</w:t>
      </w:r>
    </w:p>
    <w:p>
      <w:r>
        <w:rPr>
          <w:b/>
        </w:rPr>
        <w:t>Giải Địa lí 11 Cộng hoà Nam Phi</w:t>
      </w:r>
      <w:r>
        <w:br/>
      </w:r>
      <w:r>
        <w:rPr>
          <w:b/>
        </w:rPr>
        <w:t>Bài 29: Vị trí địa lí, điều kiện tự nhiên, dân cư và xã hội Cộng hoà Nam Phi</w:t>
      </w:r>
      <w:r>
        <w:br/>
      </w:r>
      <w:r>
        <w:rPr>
          <w:b/>
        </w:rPr>
        <w:t>Bài 30: Kinh tế Cộng hoà Nam Phi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Cộng hòa nhân dân Trung Hoa (Trung Quốc)</w:t>
      </w:r>
      <w:r>
        <w:br/>
      </w:r>
      <w:r>
        <w:t>Ô-Xtrây-Li-A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