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Khu vực Đông Nam Á</w:t>
      </w:r>
    </w:p>
    <w:p>
      <w:r>
        <w:rPr>
          <w:b/>
        </w:rPr>
        <w:t>Mục lục Lý thuyết Địa Lí 11 Khu vực Đông Nam Á - Chân trời sáng tạo</w:t>
      </w:r>
      <w:r>
        <w:br/>
      </w:r>
      <w:r>
        <w:rPr>
          <w:b/>
        </w:rPr>
        <w:t>Lý thuyết Bài 12: Tự nhiên, dân cư, xã hội và kinh tế Đông Nam Á</w:t>
      </w:r>
      <w:r>
        <w:br/>
      </w:r>
      <w:r>
        <w:rPr>
          <w:b/>
        </w:rPr>
        <w:t>Lý thuyết Bài 13: Hiệp hội các quốc gia Đông Nam Á</w:t>
      </w:r>
      <w:r>
        <w:br/>
      </w:r>
      <w:r>
        <w:rPr>
          <w:b/>
        </w:rPr>
        <w:t>Lý thuyết Bài 14: Thực hành: Tìm hiểu hoạt động kinh tế đối ngoại Đông Nam Á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Khu vực Tây Nam Á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