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Liên Bang Nga</w:t>
      </w:r>
    </w:p>
    <w:p>
      <w:r>
        <w:rPr>
          <w:b/>
        </w:rPr>
        <w:t>Mục lục Lý thuyết Địa Lí 11 Liên Bang Nga - Chân trời sáng tạo</w:t>
      </w:r>
      <w:r>
        <w:br/>
      </w:r>
      <w:r>
        <w:rPr>
          <w:b/>
        </w:rPr>
        <w:t>Lý thuyết Bài 19: Vị trí địa lí, điều kiện tự nhiên, dân cư và xã hội Liên Bang Nga</w:t>
      </w:r>
      <w:r>
        <w:br/>
      </w:r>
      <w:r>
        <w:rPr>
          <w:b/>
        </w:rPr>
        <w:t>Lý thuyết Bài 20: Kinh tế Liên Bang Nga</w:t>
      </w:r>
      <w:r>
        <w:br/>
      </w:r>
      <w:r>
        <w:rPr>
          <w:b/>
        </w:rPr>
        <w:t>Lý thuyết Bài 21: Thực hành: Tìm hiểu tình hình kinh tế xã hội Liên Bang Nga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  <w:r>
        <w:t>Lý thuyết Địa Lí 11 Ô-Xtrây-Li-A</w:t>
      </w:r>
      <w:r>
        <w:br/>
      </w:r>
      <w:r>
        <w:t>Lý thuyết Địa Lí 11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