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Số trung bình và mốt của mẫu số liệu ghép nhóm</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276725"/>
            <wp:docPr id="1" name="Picture 1"/>
            <wp:cNvGraphicFramePr>
              <a:graphicFrameLocks noChangeAspect="1"/>
            </wp:cNvGraphicFramePr>
            <a:graphic>
              <a:graphicData uri="http://schemas.openxmlformats.org/drawingml/2006/picture">
                <pic:pic>
                  <pic:nvPicPr>
                    <pic:cNvPr id="0" name="temp_inline_32bf66df5e29415b9d09a7221c8763b6.jpg"/>
                    <pic:cNvPicPr/>
                  </pic:nvPicPr>
                  <pic:blipFill>
                    <a:blip r:embed="rId9"/>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2" name="Picture 2"/>
            <wp:cNvGraphicFramePr>
              <a:graphicFrameLocks noChangeAspect="1"/>
            </wp:cNvGraphicFramePr>
            <a:graphic>
              <a:graphicData uri="http://schemas.openxmlformats.org/drawingml/2006/picture">
                <pic:pic>
                  <pic:nvPicPr>
                    <pic:cNvPr id="0" name="temp_inline_f9a1682260274437806e03eff8023afe.jpg"/>
                    <pic:cNvPicPr/>
                  </pic:nvPicPr>
                  <pic:blipFill>
                    <a:blip r:embed="rId10"/>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3" name="Picture 3"/>
            <wp:cNvGraphicFramePr>
              <a:graphicFrameLocks noChangeAspect="1"/>
            </wp:cNvGraphicFramePr>
            <a:graphic>
              <a:graphicData uri="http://schemas.openxmlformats.org/drawingml/2006/picture">
                <pic:pic>
                  <pic:nvPicPr>
                    <pic:cNvPr id="0" name="temp_inline_bd259a6fb46a4e18abf1eb5ef6f70cea.jpg"/>
                    <pic:cNvPicPr/>
                  </pic:nvPicPr>
                  <pic:blipFill>
                    <a:blip r:embed="rId11"/>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4" name="Picture 4"/>
            <wp:cNvGraphicFramePr>
              <a:graphicFrameLocks noChangeAspect="1"/>
            </wp:cNvGraphicFramePr>
            <a:graphic>
              <a:graphicData uri="http://schemas.openxmlformats.org/drawingml/2006/picture">
                <pic:pic>
                  <pic:nvPicPr>
                    <pic:cNvPr id="0" name="temp_inline_2fd0fb59d11143bfac43960ff5a2e746.jpg"/>
                    <pic:cNvPicPr/>
                  </pic:nvPicPr>
                  <pic:blipFill>
                    <a:blip r:embed="rId12"/>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5" name="Picture 5"/>
            <wp:cNvGraphicFramePr>
              <a:graphicFrameLocks noChangeAspect="1"/>
            </wp:cNvGraphicFramePr>
            <a:graphic>
              <a:graphicData uri="http://schemas.openxmlformats.org/drawingml/2006/picture">
                <pic:pic>
                  <pic:nvPicPr>
                    <pic:cNvPr id="0" name="temp_inline_6646f142fc4c46b493c5ab3c24727ba7.jpg"/>
                    <pic:cNvPicPr/>
                  </pic:nvPicPr>
                  <pic:blipFill>
                    <a:blip r:embed="rId13"/>
                    <a:stretch>
                      <a:fillRect/>
                    </a:stretch>
                  </pic:blipFill>
                  <pic:spPr>
                    <a:xfrm>
                      <a:off x="0" y="0"/>
                      <a:ext cx="7620000" cy="4276725"/>
                    </a:xfrm>
                    <a:prstGeom prst="rect"/>
                  </pic:spPr>
                </pic:pic>
              </a:graphicData>
            </a:graphic>
          </wp:inline>
        </w:drawing>
      </w:r>
      <w:r>
        <w:br/>
      </w:r>
      <w:r>
        <w:t>................................</w:t>
      </w:r>
      <w:r>
        <w:br/>
      </w:r>
      <w:r>
        <w:t>................................</w:t>
      </w:r>
      <w:r>
        <w:br/>
      </w:r>
      <w:r>
        <w:t>................................</w:t>
      </w:r>
      <w:r>
        <w:br/>
      </w:r>
      <w:r>
        <w:rPr>
          <w:b/>
        </w:rPr>
        <w:t>Giáo án Toán 11 Bài 1 (Chân trời sáng tạo): Số trung bình và mốt của mẫu số liệu ghép nhóm</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Tính được các số đặc trưng đo xu thế trung tâm của mẫu số liệu ghép nhóm: số trung bình cộng và mốt.</w:t>
      </w:r>
      <w:r>
        <w:br/>
      </w:r>
      <w:r>
        <w:t>-</w:t>
      </w:r>
      <w:r>
        <w:t xml:space="preserve"> </w:t>
      </w:r>
      <w:r>
        <w:t>Hiểu ý nghĩa và vai trò của các số đặc trưng trên của mẫu số liệu trong bài toán thực tế.</w:t>
      </w:r>
      <w:r>
        <w:br/>
      </w:r>
      <w:r>
        <w:t>-</w:t>
      </w:r>
      <w:r>
        <w:t xml:space="preserve"> </w:t>
      </w:r>
      <w:r>
        <w:t>Rút ra được kết luận nhờ ý nghĩa của các số đặc trưng nói trên của mẫu số liệu trong trường hợp đơn giản.</w:t>
      </w:r>
      <w:r>
        <w:br/>
      </w:r>
      <w:r>
        <w:t>-</w:t>
      </w:r>
      <w:r>
        <w:t xml:space="preserve"> </w:t>
      </w:r>
      <w:r>
        <w:t>Nhận biết được mối liên hệ giữa thống kê với những kiến thức của các môn học khác trong chương trình lớp 11 và trong thực tiễn.</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So sánh, phân tích dữ liệu tìm ra mối liên hệ trong quá trình hình thành cách tính số đặc trưng, ý nghĩa của số đặc trưng.</w:t>
      </w:r>
      <w:r>
        <w:br/>
      </w:r>
      <w:r>
        <w:t>-</w:t>
      </w:r>
      <w:r>
        <w:t xml:space="preserve"> </w:t>
      </w:r>
      <w:r>
        <w:t>Giải quyết vấn đề toán học: giải thích, ghép nhóm mẫu số liệu, tính được số trung bình và mốt của mẫu số liệu.</w:t>
      </w:r>
      <w:r>
        <w:br/>
      </w:r>
      <w:r>
        <w:t>-</w:t>
      </w:r>
      <w:r>
        <w:t xml:space="preserve"> </w:t>
      </w:r>
      <w:r>
        <w:t>Mô hình hóa toán học: Hiểu ý nghĩa và và trò của các số đặc trưng trên của mẫu số liệu trong bài toán thực tế.</w:t>
      </w:r>
      <w:r>
        <w:br/>
      </w:r>
      <w:r>
        <w:t>-</w:t>
      </w:r>
      <w:r>
        <w:t xml:space="preserve"> </w:t>
      </w:r>
      <w:r>
        <w:t>Giao tiếp toán học: đọc, trao đổi thông tin.</w:t>
      </w:r>
      <w:r>
        <w:br/>
      </w:r>
      <w:r>
        <w:t>-</w:t>
      </w:r>
      <w:r>
        <w:t xml:space="preserve"> </w:t>
      </w:r>
      <w:r>
        <w:t>Sử dụng công cụ, phương tiện học toán.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đọc tình huống mở đầu:</w:t>
      </w:r>
      <w:r>
        <w:br/>
      </w:r>
      <w:r>
        <w:t>Một đại lí bảo hiểm đã thống kê số lượng khách mua bảo hiểm nhân thọ trong một ngày ở biểu đồ bên.</w:t>
      </w:r>
      <w:r>
        <w:br/>
      </w:r>
      <w:r>
        <w:t>Hãy so sánh độ tuổi trung bình của khách hàng nam và khách hàng nữ.</w:t>
      </w:r>
      <w:r>
        <w:br/>
      </w:r>
      <w:r>
        <w:drawing>
          <wp:inline xmlns:a="http://schemas.openxmlformats.org/drawingml/2006/main" xmlns:pic="http://schemas.openxmlformats.org/drawingml/2006/picture">
            <wp:extent cx="4010025" cy="2105025"/>
            <wp:docPr id="6" name="Picture 6"/>
            <wp:cNvGraphicFramePr>
              <a:graphicFrameLocks noChangeAspect="1"/>
            </wp:cNvGraphicFramePr>
            <a:graphic>
              <a:graphicData uri="http://schemas.openxmlformats.org/drawingml/2006/picture">
                <pic:pic>
                  <pic:nvPicPr>
                    <pic:cNvPr id="0" name="temp_inline_8b2c36a689a94bb9867de1dcb12d1128.jpg"/>
                    <pic:cNvPicPr/>
                  </pic:nvPicPr>
                  <pic:blipFill>
                    <a:blip r:embed="rId14"/>
                    <a:stretch>
                      <a:fillRect/>
                    </a:stretch>
                  </pic:blipFill>
                  <pic:spPr>
                    <a:xfrm>
                      <a:off x="0" y="0"/>
                      <a:ext cx="4010025" cy="2105025"/>
                    </a:xfrm>
                    <a:prstGeom prst="rect"/>
                  </pic:spPr>
                </pic:pic>
              </a:graphicData>
            </a:graphic>
          </wp:inline>
        </w:drawing>
      </w:r>
      <w:r>
        <w:br/>
      </w:r>
      <w:r>
        <w:t>- GV có thể gợi mở thêm:</w:t>
      </w:r>
      <w:r>
        <w:br/>
      </w:r>
      <w:r>
        <w:rPr>
          <w:i/>
        </w:rPr>
        <w:t>+ Có thể biết được số khách nữ và nam trong từng khoảng tuổi được không?</w:t>
      </w:r>
      <w:r>
        <w:br/>
      </w:r>
      <w:r>
        <w:rPr>
          <w:i/>
        </w:rPr>
        <w:t>+ Nhưng ta có thể tính được luôn độ tuổi trung bình của khách hàng nam và nữ được không?</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“Quan sát biểu đồ, có thể nhận biết số lượng khách hàng nam và nữ ở từng khoảng tuổi. Tuy nhiên chưa thể so sánh được ngay độ tuổi trung bình của khách hàng nam và nữ. Ta cùng đi tìm câu trả lời trong bài học này.”</w:t>
      </w:r>
      <w:r>
        <w:br/>
      </w:r>
      <w:r>
        <w:rPr>
          <w:b/>
        </w:rPr>
        <w:t>B.</w:t>
      </w:r>
      <w:r>
        <w:t xml:space="preserve"> </w:t>
      </w:r>
      <w:r>
        <w:rPr>
          <w:b/>
        </w:rPr>
        <w:t>HÌNH THÀNH KIẾN THỨC MỚI</w:t>
      </w:r>
      <w:r>
        <w:br/>
      </w:r>
      <w:r>
        <w:rPr>
          <w:b/>
        </w:rPr>
        <w:t>Hoạt động 1: Số liệu ghép nhóm.</w:t>
      </w:r>
      <w:r>
        <w:br/>
      </w:r>
      <w:r>
        <w:rPr>
          <w:b/>
        </w:rPr>
        <w:t>a) Mục tiêu:</w:t>
      </w:r>
      <w:r>
        <w:br/>
      </w:r>
      <w:r>
        <w:t>- HS nhận biết số liệu ghép nhóm, giá trị đại diện của nhóm, độ dài của nhóm.</w:t>
      </w:r>
      <w:r>
        <w:br/>
      </w:r>
      <w:r>
        <w:t>- HS thực hiện ghép nhóm mẫu số liệu.</w:t>
      </w:r>
      <w:r>
        <w:br/>
      </w:r>
      <w:r>
        <w:rPr>
          <w:b/>
        </w:rPr>
        <w:t>b) Nội dung:</w:t>
      </w:r>
      <w:r>
        <w:br/>
      </w:r>
      <w:r>
        <w:t>HS đọc SGK, nghe giảng, thực hiện các nhiệm vụ được giao, suy nghĩ trả lời câu hỏi, thực hiện các hoạt động mục 1.</w:t>
      </w:r>
      <w:r>
        <w:br/>
      </w:r>
      <w:r>
        <w:rPr>
          <w:b/>
        </w:rPr>
        <w:t xml:space="preserve">c) Sản phẩm: </w:t>
      </w:r>
      <w:r>
        <w:t>HS hình thành được kiến thức bài học về mẫu số liệu ghép nhóm,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hoàn thành </w:t>
      </w:r>
      <w:r>
        <w:rPr>
          <w:b/>
        </w:rPr>
        <w:t>HĐKP 1.</w:t>
      </w:r>
      <w:r>
        <w:br/>
      </w:r>
      <w:r>
        <w:t>- GV giới thiệu về bảng số liệu ghép nhóm</w:t>
      </w:r>
      <w:r>
        <w:br/>
      </w:r>
      <w:r>
        <w:t>+ Các nhóm, tần số tương ứng, cỡ mẫu, giá trị đại diện, độ dài của nhóm.</w:t>
      </w:r>
      <w:r>
        <w:br/>
      </w:r>
      <w:r>
        <w:br/>
      </w:r>
      <w:r>
        <w:br/>
      </w:r>
      <w:r>
        <w:rPr>
          <w:b/>
        </w:rPr>
        <w:t>1. Số liệu ghép nhóm</w:t>
      </w:r>
      <w:r>
        <w:br/>
      </w:r>
      <w:r>
        <w:rPr>
          <w:b/>
        </w:rPr>
        <w:t>HĐKP 1</w:t>
      </w:r>
      <w:r>
        <w:br/>
      </w:r>
      <w:r>
        <w:t>Bảng dưới</w:t>
      </w:r>
      <w:r>
        <w:br/>
      </w:r>
      <w:r>
        <w:rPr>
          <w:b/>
        </w:rPr>
        <w:t>Kết luận</w:t>
      </w:r>
      <w:r>
        <w:br/>
      </w:r>
      <w:r>
        <w:rPr>
          <w:b/>
        </w:rPr>
        <w:t>Mẫu số liệu ghép nhóm thường được trình bày dưới dạng bảng thống kê có dạng</w:t>
      </w:r>
      <w:r>
        <w:br/>
      </w:r>
      <w:r>
        <w:br/>
      </w:r>
      <w:r>
        <w:br/>
      </w:r>
      <w:r>
        <w:br/>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