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3: Một số vấn đề về pháp luật lao động</w:t>
      </w:r>
    </w:p>
    <w:p>
      <w:r>
        <w:rPr>
          <w:b/>
        </w:rPr>
        <w:t>Giải Chuyên đề KTPL 11 Chuyên đề 3: Một số vấn đề về pháp luật lao động</w:t>
      </w:r>
      <w:r>
        <w:br/>
      </w:r>
      <w:r>
        <w:rPr>
          <w:b/>
        </w:rPr>
        <w:t>Bài 6: Khái quát về pháp luật lao động</w:t>
      </w:r>
      <w:r>
        <w:br/>
      </w:r>
      <w:r>
        <w:t>Xem lời giải</w:t>
      </w:r>
      <w:r>
        <w:br/>
      </w:r>
      <w:r>
        <w:rPr>
          <w:b/>
        </w:rPr>
        <w:t>Bài 7: Hợp đồng lao động, tiền lương và thưởng, bảo hiểm xã hội, tranh chấp và giải quyết tranh chấp lao động</w:t>
      </w:r>
      <w:r>
        <w:br/>
      </w:r>
      <w:r>
        <w:t>Xem lời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