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5: Trách nhiệm xã hội của doanh nghiệp</w:t>
      </w:r>
    </w:p>
    <w:p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Chủ đề 5</w:t>
      </w:r>
      <w:r>
        <w:rPr>
          <w:b/>
        </w:rPr>
        <w:t>: Trách nhiệm xã hội của doanh nghiệp</w:t>
      </w:r>
      <w:r>
        <w:br/>
      </w:r>
      <w:r>
        <w:rPr>
          <w:b/>
        </w:rPr>
        <w:t>Bài 6: Trách nhiệm xã hội của doanh nghiệp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Kinh tế pháp luật 12</w:t>
      </w:r>
      <w:r>
        <w:t xml:space="preserve"> </w:t>
      </w:r>
      <w:r>
        <w:rPr>
          <w:b/>
        </w:rPr>
        <w:t xml:space="preserve">Kết nối tri thức </w:t>
      </w:r>
      <w:r>
        <w:rPr>
          <w:b/>
        </w:rPr>
        <w:t xml:space="preserve">hay, chi tiết khác: </w:t>
      </w:r>
      <w:r>
        <w:br/>
      </w:r>
      <w:r>
        <w:rPr>
          <w:b/>
        </w:rPr>
        <w:t>Chủ đề 4: Lập kế hoạch kinh doanh</w:t>
      </w:r>
      <w:r>
        <w:br/>
      </w:r>
      <w:r>
        <w:rPr>
          <w:b/>
        </w:rPr>
        <w:t>Chủ đề 6: Quản lí thu, chi trong gia đình</w:t>
      </w:r>
      <w:r>
        <w:br/>
      </w:r>
      <w:r>
        <w:rPr>
          <w:b/>
        </w:rPr>
        <w:t>Chủ đề 7: Một số quyền và nghĩa vụ của công dân về kinh tế</w:t>
      </w:r>
      <w:r>
        <w:br/>
      </w:r>
      <w:r>
        <w:rPr>
          <w:b/>
        </w:rPr>
        <w:t>Chủ đề 8: Quyền và nghĩa vụ của công dân về văn hóa, xã hội</w:t>
      </w:r>
      <w:r>
        <w:br/>
      </w:r>
      <w:r>
        <w:rPr>
          <w:b/>
        </w:rPr>
        <w:t>Chủ đề 9: Một số vấn đề cơ bản của Luật quốc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