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1: Mệnh đề và tập hợp</w:t>
      </w:r>
    </w:p>
    <w:p>
      <w:r>
        <w:rPr>
          <w:b/>
        </w:rPr>
        <w:t>Mục lục lý thuyết Toán 10 Chương 1: Mệnh đề và tập hợp - Chân trời sáng tạo</w:t>
      </w:r>
      <w:r>
        <w:br/>
      </w:r>
      <w:r>
        <w:rPr>
          <w:b/>
        </w:rPr>
        <w:t>Lý thuyết Bài 1: Mệnh đề</w:t>
      </w:r>
      <w:r>
        <w:br/>
      </w:r>
      <w:r>
        <w:rPr>
          <w:b/>
        </w:rPr>
        <w:t>Lý thuyết Bài 2: Tập hợp</w:t>
      </w:r>
      <w:r>
        <w:br/>
      </w:r>
      <w:r>
        <w:rPr>
          <w:b/>
        </w:rPr>
        <w:t>Lý thuyết Bài 3: Các phép toán trên tập hợp</w:t>
      </w:r>
      <w:r>
        <w:br/>
      </w:r>
      <w:r>
        <w:rPr>
          <w:b/>
        </w:rPr>
        <w:t>Lý thuyết Bài tập cuối chương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