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3: Hàm số bậc hai và đồ thị</w:t>
      </w:r>
    </w:p>
    <w:p>
      <w:r>
        <w:rPr>
          <w:b/>
        </w:rPr>
        <w:t>Mục lục lý thuyết Toán 10 Chương 3: Hàm số bậc hai và đồ thị - Chân trời sáng tạo</w:t>
      </w:r>
      <w:r>
        <w:br/>
      </w:r>
      <w:r>
        <w:rPr>
          <w:b/>
        </w:rPr>
        <w:t>Lý thuyết Bài 1: Hàm số và đồ thị</w:t>
      </w:r>
      <w:r>
        <w:br/>
      </w:r>
      <w:r>
        <w:rPr>
          <w:b/>
        </w:rPr>
        <w:t>Lý thuyết Bài 2: Hàm số bậc hai</w:t>
      </w:r>
      <w:r>
        <w:br/>
      </w:r>
      <w:r>
        <w:rPr>
          <w:b/>
        </w:rPr>
        <w:t>Lý thuyết Bài tập cuối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