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Các số đặc trưng của mẫu số liệu không ghép nhóm</w:t>
      </w:r>
    </w:p>
    <w:p>
      <w:r>
        <w:rPr>
          <w:b/>
        </w:rPr>
        <w:t xml:space="preserve">Mục lục Giải bài tập </w:t>
      </w:r>
      <w:r>
        <w:rPr>
          <w:b/>
        </w:rPr>
        <w:t xml:space="preserve">Toán lớp 10 </w:t>
      </w:r>
      <w:r>
        <w:rPr>
          <w:b/>
        </w:rPr>
        <w:t>Chương 5: Các số đặc trưng của mẫu số liệu không ghép nhóm</w:t>
      </w:r>
      <w:r>
        <w:br/>
      </w:r>
      <w:r>
        <w:rPr>
          <w:b/>
        </w:rPr>
        <w:t>Bài 12: Số gần đúng và sai số</w:t>
      </w:r>
      <w:r>
        <w:br/>
      </w:r>
      <w:r>
        <w:rPr>
          <w:b/>
        </w:rPr>
        <w:t>Bài 13: Các số đặc trưng đo xu thế trung tâm</w:t>
      </w:r>
      <w:r>
        <w:br/>
      </w:r>
      <w:r>
        <w:rPr>
          <w:b/>
        </w:rPr>
        <w:t>Bài 14: Các số đặc trưng. Đo độ phân tán</w:t>
      </w:r>
      <w:r>
        <w:br/>
      </w:r>
      <w:r>
        <w:rPr>
          <w:b/>
        </w:rPr>
        <w:t>Bài ôn tập cuối chương 5</w:t>
      </w:r>
      <w:r>
        <w:br/>
      </w:r>
      <w:r>
        <w:rPr>
          <w:b/>
        </w:rPr>
        <w:t xml:space="preserve">Xem thêm lời giải bài tập Toán lớp 10 Kết nối tri thức với cuộc sống hay, chi tiết khác: 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Hệ thức lượng trong tam giác</w:t>
      </w:r>
      <w:r>
        <w:br/>
      </w:r>
      <w:r>
        <w:t>Chương 4: Vecto</w:t>
      </w:r>
      <w:r>
        <w:br/>
      </w:r>
      <w:r>
        <w:t>Hoạt động thực hành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