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2: Dãy số. Cấp số cộng. Cấp số nhân</w:t>
      </w:r>
    </w:p>
    <w:p>
      <w:r>
        <w:rPr>
          <w:b/>
        </w:rPr>
        <w:t>Lý thuyết Toán 11 Chương 2: Dãy số. Cấp số cộng. Cấp số nhân - Chân trời sáng tạo</w:t>
      </w:r>
      <w:r>
        <w:br/>
      </w:r>
      <w:r>
        <w:rPr>
          <w:b/>
        </w:rPr>
        <w:t>Bài 1: Dãy số</w:t>
      </w:r>
      <w:r>
        <w:br/>
      </w:r>
      <w:r>
        <w:rPr>
          <w:b/>
        </w:rPr>
        <w:t>Bài 2: Cấp số cộng</w:t>
      </w:r>
      <w:r>
        <w:br/>
      </w:r>
      <w:r>
        <w:rPr>
          <w:b/>
        </w:rPr>
        <w:t>Bài 3: Cấp số nhân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3: Giới hạn. Hàm số liên tục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5: Các số đặc trưng đo xu thế trung tâm cho mẫu số liệu ghép nhóm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