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Các số đặc trưng đo mức độ phân tán cho mẫu số liệu ghép nhóm</w:t>
      </w:r>
    </w:p>
    <w:p>
      <w:r>
        <w:rPr>
          <w:b/>
        </w:rPr>
        <w:t>Giải SBT Toán lớp 12 Chương 3: Các số đặc trưng đo mức độ phân tán cho mẫu số liệu ghép nhóm</w:t>
      </w:r>
      <w:r>
        <w:br/>
      </w:r>
      <w:r>
        <w:rPr>
          <w:b/>
        </w:rPr>
        <w:t>Bài 1: Khoảng biến thiên, khoảng tứ phân vị của mẫu số liệu ghép nhóm</w:t>
      </w:r>
      <w:r>
        <w:br/>
      </w:r>
      <w:r>
        <w:rPr>
          <w:b/>
        </w:rPr>
        <w:t>Bài 2: Phương sai, độ lệch chuẩn của mẫu số liệu ghép nhóm</w:t>
      </w:r>
      <w:r>
        <w:br/>
      </w:r>
      <w:r>
        <w:rPr>
          <w:b/>
        </w:rPr>
        <w:t>Bài tập cuối chương 3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