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2C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汇报思路流程</w:t>
      </w:r>
    </w:p>
    <w:p w14:paraId="49F6DDB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数据处理：</w:t>
      </w:r>
    </w:p>
    <w:p w14:paraId="1F56C15A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介绍数据（CQSkyEyeX）以及数据的5个场景、数据的分流、清洗、补全、平滑、欧氏距离转换和变道样本截取。</w:t>
      </w:r>
    </w:p>
    <w:p w14:paraId="6E415DD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构建变道以及运行安全指标</w:t>
      </w:r>
    </w:p>
    <w:p w14:paraId="5058C9E0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运行指标有跟车距离、车头时距、碰撞时间等，变道安全指标有扩展碰撞时间、后侵入时间、危险停车距离等。</w:t>
      </w:r>
    </w:p>
    <w:p w14:paraId="2BAD5548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数据可视化生成分析</w:t>
      </w:r>
    </w:p>
    <w:p w14:paraId="14478842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对五个场景的样本相关数据的分布进行分析，样本速度、碰撞时间分布等相关安全指标。</w:t>
      </w:r>
    </w:p>
    <w:p w14:paraId="547A11C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换道安全评估</w:t>
      </w:r>
    </w:p>
    <w:p w14:paraId="541C698A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参考现有的安全指标，对换道安全进行评分。</w:t>
      </w:r>
    </w:p>
    <w:p w14:paraId="5BDE949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模型对比分析</w:t>
      </w:r>
    </w:p>
    <w:p w14:paraId="3EE67A46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使用集成学习（XGboost）、随机森林（RandForest）、多层感知机（MLP）以及长短期记忆网（LSTM）对安全评估标签进行训练预测。</w:t>
      </w:r>
    </w:p>
    <w:p w14:paraId="684C0421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083413"/>
    <w:multiLevelType w:val="multilevel"/>
    <w:tmpl w:val="C3083413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811BC"/>
    <w:rsid w:val="5E21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2026-05-23T07:11:58Z</dcterms:created>
  <dc:creator>20425</dc:creator>
  <cp:lastModifiedBy>A王京</cp:lastModifiedBy>
  <dcterms:modified xsi:type="dcterms:W3CDTF">2026-05-23T07:48:17Z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eyJoZGlkIjoiZDY5MTdiNDhkMzUxMTk5ZTFjZDMzNDFhNjY2M2FkYjEiLCJ1c2VySWQiOiI2NDMxMTUyODgifQ==</vt:lpwstr>
  </property>
  <property fmtid="{D5CDD505-2E9C-101B-9397-08002B2CF9AE}" pid="4" name="ICV">
    <vt:lpwstr>BE07E31914744606BA50DEBFFF9F8861_12</vt:lpwstr>
  </property>
</Properties>
</file>