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Adarsh Agreement Builder</w:t>
      </w:r>
    </w:p>
    <w:p>
      <w:r>
        <w:t>Product requirements document for a native iOS application</w:t>
      </w:r>
    </w:p>
    <w:p>
      <w:r>
        <w:t>Version 1.0 | 2 October 2026 | Prepared for Ankit Verma</w:t>
      </w:r>
    </w:p>
    <w:p>
      <w:pPr>
        <w:pStyle w:val="Heading2"/>
      </w:pPr>
      <w:r>
        <w:t>Purpose</w:t>
      </w:r>
    </w:p>
    <w:p>
      <w:r>
        <w:t>Build a Swift iOS app that converts the supplied Adarsh construction agreement into a guided form. The user selects work titles, chooses one or more specifications, fills project details, reviews the resulting agreement, saves it in the app, and exports the same document as a PDF.</w:t>
      </w:r>
    </w:p>
    <w:p>
      <w:r>
        <w:t>This document is an implementation brief for a developer or coding AI. The source of agreement content and visual styling is the supplied six-page new one.pdf. The PRD itself is not an agreement template.</w:t>
      </w:r>
    </w:p>
    <w:p>
      <w:pPr>
        <w:pStyle w:val="Heading2"/>
      </w:pPr>
      <w:r>
        <w:t>Product decisions</w:t>
      </w:r>
    </w:p>
    <w:p>
      <w:pPr>
        <w:pStyle w:val="ListBullet"/>
      </w:pPr>
      <w:r>
        <w:t>Title means a work section such as Civil Work or Plumbing. The initial document type is Memorandum of Agreement; separate quotation templates are a later extension.</w:t>
      </w:r>
    </w:p>
    <w:p>
      <w:pPr>
        <w:pStyle w:val="ListBullet"/>
      </w:pPr>
      <w:r>
        <w:t>All reference sections and clauses must be available. A complete reference preset is selected by default, and users can change selections or edit wording.</w:t>
      </w:r>
    </w:p>
    <w:p>
      <w:pPr>
        <w:pStyle w:val="ListBullet"/>
      </w:pPr>
      <w:r>
        <w:t>Use one local owner workspace in the first release. No tenant accounts, client portal, or mandatory login are needed.</w:t>
      </w:r>
    </w:p>
    <w:p>
      <w:pPr>
        <w:pStyle w:val="ListBullet"/>
      </w:pPr>
      <w:r>
        <w:t>Save editable document data locally. Optional iCloud sync can be added without preventing offline creation or export.</w:t>
      </w:r>
    </w:p>
    <w:p>
      <w:pPr>
        <w:pStyle w:val="Heading2"/>
      </w:pPr>
      <w:r>
        <w:t>Success criteria</w:t>
      </w:r>
    </w:p>
    <w:p>
      <w:pPr>
        <w:pStyle w:val="ListBullet"/>
      </w:pPr>
      <w:r>
        <w:t>A user can create a complete agreement without copying content into a separate editor.</w:t>
      </w:r>
    </w:p>
    <w:p>
      <w:pPr>
        <w:pStyle w:val="ListBullet"/>
      </w:pPr>
      <w:r>
        <w:t>The PDF retains the reference branding and typography, handles long text safely, and matches the preview exactly.</w:t>
      </w:r>
    </w:p>
    <w:p>
      <w:pPr>
        <w:pStyle w:val="ListBullet"/>
      </w:pPr>
      <w:r>
        <w:t>Closing and reopening the app restores saved documents and the latest saved draft.</w:t>
      </w:r>
    </w:p>
    <w:p>
      <w:pPr>
        <w:pStyle w:val="Heading2"/>
      </w:pPr>
      <w:r>
        <w:t>Scope boundary</w:t>
      </w:r>
    </w:p>
    <w:p>
      <w:r>
        <w:t>Include guided forms, selectable specifications, custom values, pricing, payment milestones, reference terms, signature placeholders, preview, saving, editing, duplication, deletion and PDF export. Online signing, payment collection, invoicing, team collaboration and legally verified contract wording are outside the first release.</w:t>
      </w:r>
    </w:p>
    <w:p>
      <w:r>
        <w:br w:type="page"/>
      </w:r>
    </w:p>
    <w:p>
      <w:pPr>
        <w:pStyle w:val="Heading1"/>
      </w:pPr>
      <w:r>
        <w:t>User journey and screens</w:t>
      </w:r>
    </w:p>
    <w:p>
      <w:pPr>
        <w:pStyle w:val="Heading2"/>
      </w:pPr>
      <w:r>
        <w:t>Home</w:t>
      </w:r>
    </w:p>
    <w:p>
      <w:r>
        <w:t>Show Create Document and Saved Documents as prominent buttons. Display recent documents with client name, project title, status and last modified time. Provide Company Settings. The requested save button on Home is labelled Saved Documents so its purpose is clear.</w:t>
      </w:r>
    </w:p>
    <w:p>
      <w:pPr>
        <w:pStyle w:val="Heading2"/>
      </w:pPr>
      <w:r>
        <w:t>Guided creation</w:t>
      </w:r>
    </w:p>
    <w:p>
      <w:r>
        <w:t>Create Document opens the default agreement preset. The wizard follows this order: client and project details; work section selection; specifications for each selected section A through J; fees K; terms; extra work; payment schedule; signatures; review; PDF preview.</w:t>
      </w:r>
    </w:p>
    <w:p>
      <w:pPr>
        <w:pStyle w:val="ListBullet"/>
      </w:pPr>
      <w:r>
        <w:t>Display Step X of Y with the current title. Work section selection may include multiple sections; preserve the reference order even if selected in a different order.</w:t>
      </w:r>
    </w:p>
    <w:p>
      <w:pPr>
        <w:pStyle w:val="ListBullet"/>
      </w:pPr>
      <w:r>
        <w:t>Every step provides Back, Next and Save Draft. Back does not erase input. Save Draft permits incomplete fields and returns a visible saved confirmation.</w:t>
      </w:r>
    </w:p>
    <w:p>
      <w:pPr>
        <w:pStyle w:val="ListBullet"/>
      </w:pPr>
      <w:r>
        <w:t>Autosave after changes settle and when the app moves to the background. If a write fails, keep the screen data and offer Retry.</w:t>
      </w:r>
    </w:p>
    <w:p>
      <w:pPr>
        <w:pStyle w:val="ListBullet"/>
      </w:pPr>
      <w:r>
        <w:t>Show errors beside the relevant fields. Block completion on required errors, while allowing navigation back and saving a draft.</w:t>
      </w:r>
    </w:p>
    <w:p>
      <w:pPr>
        <w:pStyle w:val="Heading2"/>
      </w:pPr>
      <w:r>
        <w:t>Work section options</w:t>
      </w:r>
    </w:p>
    <w:p>
      <w:r>
        <w:t>Opening a title displays grouped checkbox options plus text and numeric fields. Multiple selection is supported for brands, compatible work items and extra work. A single-value field remains single-value when alternatives cannot coexist, such as a selected glass thickness. Add Custom Option supports a label and document wording.</w:t>
      </w:r>
    </w:p>
    <w:p>
      <w:r>
        <w:t>Selecting Ultratech and Prism produces Cement: Ultratech, Prism in the generated agreement. Options appear once in catalog order; custom options follow. Clearing a selection removes it from the next PDF but preserves its draft value until explicitly cleared.</w:t>
      </w:r>
    </w:p>
    <w:p>
      <w:pPr>
        <w:pStyle w:val="Heading2"/>
      </w:pPr>
      <w:r>
        <w:t>Saved documents</w:t>
      </w:r>
    </w:p>
    <w:p>
      <w:r>
        <w:t>List Draft and Ready documents. Search by client, document title or project location. Open a draft to resume; open a ready document to preview. Actions are Edit, Duplicate, Export and Delete. Confirm deletion. Duplicating creates a new identity and does not overwrite the original.</w:t>
      </w:r>
    </w:p>
    <w:p>
      <w:pPr>
        <w:pStyle w:val="Heading2"/>
      </w:pPr>
      <w:r>
        <w:t>Review and preview</w:t>
      </w:r>
    </w:p>
    <w:p>
      <w:r>
        <w:t>Review displays every section and an Edit action that jumps to its step. Generate Preview creates a PDF from the validated data. Preview supports zoom and page navigation, Save Document, Download PDF and Share. Any edit marks the previous PDF as out of date and regenerates it before preview or export.</w:t>
      </w:r>
    </w:p>
    <w:p>
      <w:r>
        <w:br w:type="page"/>
      </w:r>
    </w:p>
    <w:p>
      <w:pPr>
        <w:pStyle w:val="Heading1"/>
      </w:pPr>
      <w:r>
        <w:t>Client and construction specifications</w:t>
      </w:r>
    </w:p>
    <w:p>
      <w:r>
        <w:t>The following catalog covers sections A through E and the introductory information. Reference spellings may be normalized in the option labels, but emitted clause wording must be editable and approved rather than silently corrected.</w:t>
      </w:r>
    </w:p>
    <w:tbl>
      <w:tblPr>
        <w:tblW w:type="auto" w:w="0"/>
        <w:tblLayout w:type="fixed"/>
        <w:tblLook w:firstColumn="1" w:firstRow="1" w:lastColumn="0" w:lastRow="0" w:noHBand="0" w:noVBand="1" w:val="04A0"/>
      </w:tblPr>
      <w:tblGrid>
        <w:gridCol w:w="2448"/>
        <w:gridCol w:w="7632"/>
      </w:tblGrid>
      <w:tr>
        <w:trPr>
          <w:tblHeader/>
        </w:trPr>
        <w:tc>
          <w:tcPr>
            <w:tcW w:type="dxa" w:w="2448"/>
            <w:tcBorders>
              <w:top w:val="single" w:sz="4" w:color="D9D9D9"/>
              <w:left w:val="single" w:sz="4" w:color="D9D9D9"/>
              <w:bottom w:val="single" w:sz="4" w:color="D9D9D9"/>
              <w:right w:val="single" w:sz="4" w:color="D9D9D9"/>
            </w:tcBorders>
            <w:shd w:fill="E7EDF4"/>
          </w:tcPr>
          <w:p>
            <w:r>
              <w:t>Group</w:t>
            </w:r>
          </w:p>
        </w:tc>
        <w:tc>
          <w:tcPr>
            <w:tcW w:type="dxa" w:w="7632"/>
            <w:tcBorders>
              <w:top w:val="single" w:sz="4" w:color="D9D9D9"/>
              <w:left w:val="single" w:sz="4" w:color="D9D9D9"/>
              <w:bottom w:val="single" w:sz="4" w:color="D9D9D9"/>
              <w:right w:val="single" w:sz="4" w:color="D9D9D9"/>
            </w:tcBorders>
            <w:shd w:fill="E7EDF4"/>
          </w:tcPr>
          <w:p>
            <w:r>
              <w:t>Fields and reference defaults</w:t>
            </w:r>
          </w:p>
        </w:tc>
      </w:tr>
      <w:tr>
        <w:tc>
          <w:tcPr>
            <w:tcW w:type="dxa" w:w="2448"/>
            <w:tcBorders>
              <w:top w:val="single" w:sz="4" w:color="D9D9D9"/>
              <w:left w:val="single" w:sz="4" w:color="D9D9D9"/>
              <w:bottom w:val="single" w:sz="4" w:color="D9D9D9"/>
              <w:right w:val="single" w:sz="4" w:color="D9D9D9"/>
            </w:tcBorders>
          </w:tcPr>
          <w:p>
            <w:r>
              <w:t>Introduction</w:t>
            </w:r>
          </w:p>
        </w:tc>
        <w:tc>
          <w:tcPr>
            <w:tcW w:type="dxa" w:w="7632"/>
            <w:tcBorders>
              <w:top w:val="single" w:sz="4" w:color="D9D9D9"/>
              <w:left w:val="single" w:sz="4" w:color="D9D9D9"/>
              <w:bottom w:val="single" w:sz="4" w:color="D9D9D9"/>
              <w:right w:val="single" w:sz="4" w:color="D9D9D9"/>
            </w:tcBorders>
          </w:tcPr>
          <w:p>
            <w:r>
              <w:t>Document title: MEMORANDUM OF AGREEMENT. Client name, address, mobile, subject and project location. Preserve Dear Sir/Mam and the paragraph describing work under the client direction and architect approval. Example abc, Lucknow and 1234567890 are sample values, not new-document defaults.</w:t>
            </w:r>
          </w:p>
        </w:tc>
      </w:tr>
      <w:tr>
        <w:tc>
          <w:tcPr>
            <w:tcW w:type="dxa" w:w="2448"/>
            <w:tcBorders>
              <w:top w:val="single" w:sz="4" w:color="D9D9D9"/>
              <w:left w:val="single" w:sz="4" w:color="D9D9D9"/>
              <w:bottom w:val="single" w:sz="4" w:color="D9D9D9"/>
              <w:right w:val="single" w:sz="4" w:color="D9D9D9"/>
            </w:tcBorders>
          </w:tcPr>
          <w:p>
            <w:r>
              <w:t>A Structure</w:t>
            </w:r>
          </w:p>
        </w:tc>
        <w:tc>
          <w:tcPr>
            <w:tcW w:type="dxa" w:w="7632"/>
            <w:tcBorders>
              <w:top w:val="single" w:sz="4" w:color="D9D9D9"/>
              <w:left w:val="single" w:sz="4" w:color="D9D9D9"/>
              <w:bottom w:val="single" w:sz="4" w:color="D9D9D9"/>
              <w:right w:val="single" w:sz="4" w:color="D9D9D9"/>
            </w:tcBorders>
          </w:tcPr>
          <w:p>
            <w:r>
              <w:t>As per Approved Drawings. Frame structure; RCC slab thickness and steel as per structural drawing or architect; superstructure brickwork 4.5 inches. Editable dimensions and clause wording.</w:t>
            </w:r>
          </w:p>
        </w:tc>
      </w:tr>
      <w:tr>
        <w:tc>
          <w:tcPr>
            <w:tcW w:type="dxa" w:w="2448"/>
            <w:tcBorders>
              <w:top w:val="single" w:sz="4" w:color="D9D9D9"/>
              <w:left w:val="single" w:sz="4" w:color="D9D9D9"/>
              <w:bottom w:val="single" w:sz="4" w:color="D9D9D9"/>
              <w:right w:val="single" w:sz="4" w:color="D9D9D9"/>
            </w:tcBorders>
          </w:tcPr>
          <w:p>
            <w:r>
              <w:t>B Civil work</w:t>
            </w:r>
          </w:p>
        </w:tc>
        <w:tc>
          <w:tcPr>
            <w:tcW w:type="dxa" w:w="7632"/>
            <w:tcBorders>
              <w:top w:val="single" w:sz="4" w:color="D9D9D9"/>
              <w:left w:val="single" w:sz="4" w:color="D9D9D9"/>
              <w:bottom w:val="single" w:sz="4" w:color="D9D9D9"/>
              <w:right w:val="single" w:sz="4" w:color="D9D9D9"/>
            </w:tcBorders>
          </w:tcPr>
          <w:p>
            <w:r>
              <w:t>Coarse sand: first class. Cement: Ultratech, Prism. Brick: first class. Reinforcement: Gallant, RHL. Multiple brand selections and custom brands.</w:t>
            </w:r>
          </w:p>
        </w:tc>
      </w:tr>
      <w:tr>
        <w:tc>
          <w:tcPr>
            <w:tcW w:type="dxa" w:w="2448"/>
            <w:tcBorders>
              <w:top w:val="single" w:sz="4" w:color="D9D9D9"/>
              <w:left w:val="single" w:sz="4" w:color="D9D9D9"/>
              <w:bottom w:val="single" w:sz="4" w:color="D9D9D9"/>
              <w:right w:val="single" w:sz="4" w:color="D9D9D9"/>
            </w:tcBorders>
          </w:tcPr>
          <w:p>
            <w:r>
              <w:t>C Plaster</w:t>
            </w:r>
          </w:p>
        </w:tc>
        <w:tc>
          <w:tcPr>
            <w:tcW w:type="dxa" w:w="7632"/>
            <w:tcBorders>
              <w:top w:val="single" w:sz="4" w:color="D9D9D9"/>
              <w:left w:val="single" w:sz="4" w:color="D9D9D9"/>
              <w:bottom w:val="single" w:sz="4" w:color="D9D9D9"/>
              <w:right w:val="single" w:sz="4" w:color="D9D9D9"/>
            </w:tcBorders>
          </w:tcPr>
          <w:p>
            <w:r>
              <w:t>Inside plaster and elevation plaster on walls. Both available as independent work options.</w:t>
            </w:r>
          </w:p>
        </w:tc>
      </w:tr>
      <w:tr>
        <w:tc>
          <w:tcPr>
            <w:tcW w:type="dxa" w:w="2448"/>
            <w:tcBorders>
              <w:top w:val="single" w:sz="4" w:color="D9D9D9"/>
              <w:left w:val="single" w:sz="4" w:color="D9D9D9"/>
              <w:bottom w:val="single" w:sz="4" w:color="D9D9D9"/>
              <w:right w:val="single" w:sz="4" w:color="D9D9D9"/>
            </w:tcBorders>
          </w:tcPr>
          <w:p>
            <w:r>
              <w:t>D Plumbing</w:t>
            </w:r>
          </w:p>
        </w:tc>
        <w:tc>
          <w:tcPr>
            <w:tcW w:type="dxa" w:w="7632"/>
            <w:tcBorders>
              <w:top w:val="single" w:sz="4" w:color="D9D9D9"/>
              <w:left w:val="single" w:sz="4" w:color="D9D9D9"/>
              <w:bottom w:val="single" w:sz="4" w:color="D9D9D9"/>
              <w:right w:val="single" w:sz="4" w:color="D9D9D9"/>
            </w:tcBorders>
          </w:tcPr>
          <w:p>
            <w:r>
              <w:t>Drainage/down pipes: PVC, Astrol or Supreme. Water supply: CPVC, Astrol or Supreme. Inspection chambers, manholes and gully traps as per drawing. Cera, Parryware or equivalent economical fixtures. WC quantity 1; basin quantity 1 without platform; tap quantity 1; diverter or L band. Allow editable quantities and brand choices.</w:t>
            </w:r>
          </w:p>
        </w:tc>
      </w:tr>
      <w:tr>
        <w:tc>
          <w:tcPr>
            <w:tcW w:type="dxa" w:w="2448"/>
            <w:tcBorders>
              <w:top w:val="single" w:sz="4" w:color="D9D9D9"/>
              <w:left w:val="single" w:sz="4" w:color="D9D9D9"/>
              <w:bottom w:val="single" w:sz="4" w:color="D9D9D9"/>
              <w:right w:val="single" w:sz="4" w:color="D9D9D9"/>
            </w:tcBorders>
          </w:tcPr>
          <w:p>
            <w:r>
              <w:t>E Electrical</w:t>
            </w:r>
          </w:p>
        </w:tc>
        <w:tc>
          <w:tcPr>
            <w:tcW w:type="dxa" w:w="7632"/>
            <w:tcBorders>
              <w:top w:val="single" w:sz="4" w:color="D9D9D9"/>
              <w:left w:val="single" w:sz="4" w:color="D9D9D9"/>
              <w:bottom w:val="single" w:sz="4" w:color="D9D9D9"/>
              <w:right w:val="single" w:sz="4" w:color="D9D9D9"/>
            </w:tcBorders>
          </w:tcPr>
          <w:p>
            <w:r>
              <w:t>Medium-grade ISI PVC conduit and band: Polycab or Cap. Junction box and fan box: iron; deep box: CI. Wire and switches: RR Cable, Polycab, Anchor. Inverter wiring. Separate wire and switch brand selections if the user chooses different products.</w:t>
            </w:r>
          </w:p>
        </w:tc>
      </w:tr>
    </w:tbl>
    <w:p/>
    <w:p>
      <w:pPr>
        <w:pStyle w:val="Heading2"/>
      </w:pPr>
      <w:r>
        <w:t>Field rules</w:t>
      </w:r>
    </w:p>
    <w:p>
      <w:pPr>
        <w:pStyle w:val="ListBullet"/>
      </w:pPr>
      <w:r>
        <w:t>Name, address and subject are required to finalize. Mobile is required for this template; accept a country code and validate a plausible digit count without limiting the app to a hardcoded sample number.</w:t>
      </w:r>
    </w:p>
    <w:p>
      <w:pPr>
        <w:pStyle w:val="ListBullet"/>
      </w:pPr>
      <w:r>
        <w:t>Quantities and dimensions must be positive when the associated item is included. Optional notes may be blank.</w:t>
      </w:r>
    </w:p>
    <w:p>
      <w:pPr>
        <w:pStyle w:val="ListBullet"/>
      </w:pPr>
      <w:r>
        <w:t>An included section needs at least one work item or custom clause. Excluded sections do not block completion.</w:t>
      </w:r>
    </w:p>
    <w:p>
      <w:r>
        <w:br w:type="page"/>
      </w:r>
    </w:p>
    <w:p>
      <w:pPr>
        <w:pStyle w:val="Heading1"/>
      </w:pPr>
      <w:r>
        <w:t>Finishing and metalwork specifications</w:t>
      </w:r>
    </w:p>
    <w:tbl>
      <w:tblPr>
        <w:tblW w:type="auto" w:w="0"/>
        <w:tblLayout w:type="fixed"/>
        <w:tblLook w:firstColumn="1" w:firstRow="1" w:lastColumn="0" w:lastRow="0" w:noHBand="0" w:noVBand="1" w:val="04A0"/>
      </w:tblPr>
      <w:tblGrid>
        <w:gridCol w:w="2448"/>
        <w:gridCol w:w="7632"/>
      </w:tblGrid>
      <w:tr>
        <w:trPr>
          <w:tblHeader/>
        </w:trPr>
        <w:tc>
          <w:tcPr>
            <w:tcW w:type="dxa" w:w="2448"/>
            <w:tcBorders>
              <w:top w:val="single" w:sz="4" w:color="D9D9D9"/>
              <w:left w:val="single" w:sz="4" w:color="D9D9D9"/>
              <w:bottom w:val="single" w:sz="4" w:color="D9D9D9"/>
              <w:right w:val="single" w:sz="4" w:color="D9D9D9"/>
            </w:tcBorders>
            <w:shd w:fill="E7EDF4"/>
          </w:tcPr>
          <w:p>
            <w:r>
              <w:t>Group</w:t>
            </w:r>
          </w:p>
        </w:tc>
        <w:tc>
          <w:tcPr>
            <w:tcW w:type="dxa" w:w="7632"/>
            <w:tcBorders>
              <w:top w:val="single" w:sz="4" w:color="D9D9D9"/>
              <w:left w:val="single" w:sz="4" w:color="D9D9D9"/>
              <w:bottom w:val="single" w:sz="4" w:color="D9D9D9"/>
              <w:right w:val="single" w:sz="4" w:color="D9D9D9"/>
            </w:tcBorders>
            <w:shd w:fill="E7EDF4"/>
          </w:tcPr>
          <w:p>
            <w:r>
              <w:t>Fields and reference defaults</w:t>
            </w:r>
          </w:p>
        </w:tc>
      </w:tr>
      <w:tr>
        <w:tc>
          <w:tcPr>
            <w:tcW w:type="dxa" w:w="2448"/>
            <w:tcBorders>
              <w:top w:val="single" w:sz="4" w:color="D9D9D9"/>
              <w:left w:val="single" w:sz="4" w:color="D9D9D9"/>
              <w:bottom w:val="single" w:sz="4" w:color="D9D9D9"/>
              <w:right w:val="single" w:sz="4" w:color="D9D9D9"/>
            </w:tcBorders>
          </w:tcPr>
          <w:p>
            <w:r>
              <w:t>F Flooring</w:t>
            </w:r>
          </w:p>
        </w:tc>
        <w:tc>
          <w:tcPr>
            <w:tcW w:type="dxa" w:w="7632"/>
            <w:tcBorders>
              <w:top w:val="single" w:sz="4" w:color="D9D9D9"/>
              <w:left w:val="single" w:sz="4" w:color="D9D9D9"/>
              <w:bottom w:val="single" w:sz="4" w:color="D9D9D9"/>
              <w:right w:val="single" w:sz="4" w:color="D9D9D9"/>
            </w:tcBorders>
          </w:tcPr>
          <w:p>
            <w:r>
              <w:t>Bathroom tile brand Kajaria; size 1 × 1.6 feet; price range ₹55–₹60. Floor tile brand Kajaria; size 2 × 4 feet; price range ₹60–₹65. Bathroom wall tile height 7 feet. Kitchen marble price range ₹80–₹100; kitchen backsplash 2 feet above the counter. Price units are unspecified in the source: require a unit or retain the source wording without assuming one.</w:t>
            </w:r>
          </w:p>
        </w:tc>
      </w:tr>
      <w:tr>
        <w:tc>
          <w:tcPr>
            <w:tcW w:type="dxa" w:w="2448"/>
            <w:tcBorders>
              <w:top w:val="single" w:sz="4" w:color="D9D9D9"/>
              <w:left w:val="single" w:sz="4" w:color="D9D9D9"/>
              <w:bottom w:val="single" w:sz="4" w:color="D9D9D9"/>
              <w:right w:val="single" w:sz="4" w:color="D9D9D9"/>
            </w:tcBorders>
          </w:tcPr>
          <w:p>
            <w:r>
              <w:t>G Doors and windows</w:t>
            </w:r>
          </w:p>
        </w:tc>
        <w:tc>
          <w:tcPr>
            <w:tcW w:type="dxa" w:w="7632"/>
            <w:tcBorders>
              <w:top w:val="single" w:sz="4" w:color="D9D9D9"/>
              <w:left w:val="single" w:sz="4" w:color="D9D9D9"/>
              <w:bottom w:val="single" w:sz="4" w:color="D9D9D9"/>
              <w:right w:val="single" w:sz="4" w:color="D9D9D9"/>
            </w:tcBorders>
          </w:tcPr>
          <w:p>
            <w:r>
              <w:t>Outer doors and windows: double patam. ISI flush doors; bathroom waterproof flush door. Window frame: sagwan wood; glass: ASI, 4 mm. Main door with interlock. Include editable wording and material choices.</w:t>
            </w:r>
          </w:p>
        </w:tc>
      </w:tr>
      <w:tr>
        <w:tc>
          <w:tcPr>
            <w:tcW w:type="dxa" w:w="2448"/>
            <w:tcBorders>
              <w:top w:val="single" w:sz="4" w:color="D9D9D9"/>
              <w:left w:val="single" w:sz="4" w:color="D9D9D9"/>
              <w:bottom w:val="single" w:sz="4" w:color="D9D9D9"/>
              <w:right w:val="single" w:sz="4" w:color="D9D9D9"/>
            </w:tcBorders>
          </w:tcPr>
          <w:p>
            <w:r>
              <w:t>H Painting</w:t>
            </w:r>
          </w:p>
        </w:tc>
        <w:tc>
          <w:tcPr>
            <w:tcW w:type="dxa" w:w="7632"/>
            <w:tcBorders>
              <w:top w:val="single" w:sz="4" w:color="D9D9D9"/>
              <w:left w:val="single" w:sz="4" w:color="D9D9D9"/>
              <w:bottom w:val="single" w:sz="4" w:color="D9D9D9"/>
              <w:right w:val="single" w:sz="4" w:color="D9D9D9"/>
            </w:tcBorders>
          </w:tcPr>
          <w:p>
            <w:r>
              <w:t>Interior wall putty brands Nerolac, JK and Bajaj; two coats. POP design in all rooms. False ceiling only in drawing room. Exterior: Apex ultimate of Berger; colour as selected by architect and client. Brand/product wording is reproduced from the reference and must be editable.</w:t>
            </w:r>
          </w:p>
        </w:tc>
      </w:tr>
      <w:tr>
        <w:tc>
          <w:tcPr>
            <w:tcW w:type="dxa" w:w="2448"/>
            <w:tcBorders>
              <w:top w:val="single" w:sz="4" w:color="D9D9D9"/>
              <w:left w:val="single" w:sz="4" w:color="D9D9D9"/>
              <w:bottom w:val="single" w:sz="4" w:color="D9D9D9"/>
              <w:right w:val="single" w:sz="4" w:color="D9D9D9"/>
            </w:tcBorders>
          </w:tcPr>
          <w:p>
            <w:r>
              <w:t>I Chaukhat</w:t>
            </w:r>
          </w:p>
        </w:tc>
        <w:tc>
          <w:tcPr>
            <w:tcW w:type="dxa" w:w="7632"/>
            <w:tcBorders>
              <w:top w:val="single" w:sz="4" w:color="D9D9D9"/>
              <w:left w:val="single" w:sz="4" w:color="D9D9D9"/>
              <w:bottom w:val="single" w:sz="4" w:color="D9D9D9"/>
              <w:right w:val="single" w:sz="4" w:color="D9D9D9"/>
            </w:tcBorders>
          </w:tcPr>
          <w:p>
            <w:r>
              <w:t>Malaysian Sakhu for chaukhat and door/window frames. The source also names sagwan in G. Do not silently resolve this difference; show a review warning when conflicting frame specifications remain selected.</w:t>
            </w:r>
          </w:p>
        </w:tc>
      </w:tr>
      <w:tr>
        <w:tc>
          <w:tcPr>
            <w:tcW w:type="dxa" w:w="2448"/>
            <w:tcBorders>
              <w:top w:val="single" w:sz="4" w:color="D9D9D9"/>
              <w:left w:val="single" w:sz="4" w:color="D9D9D9"/>
              <w:bottom w:val="single" w:sz="4" w:color="D9D9D9"/>
              <w:right w:val="single" w:sz="4" w:color="D9D9D9"/>
            </w:tcBorders>
          </w:tcPr>
          <w:p>
            <w:r>
              <w:t>J Iron work</w:t>
            </w:r>
          </w:p>
        </w:tc>
        <w:tc>
          <w:tcPr>
            <w:tcW w:type="dxa" w:w="7632"/>
            <w:tcBorders>
              <w:top w:val="single" w:sz="4" w:color="D9D9D9"/>
              <w:left w:val="single" w:sz="4" w:color="D9D9D9"/>
              <w:bottom w:val="single" w:sz="4" w:color="D9D9D9"/>
              <w:right w:val="single" w:sz="4" w:color="D9D9D9"/>
            </w:tcBorders>
          </w:tcPr>
          <w:p>
            <w:r>
              <w:t>Window grills; SS railing; stainless steel staircase; MS OTS grill; main gate ₹25,000. Allow material and price edits, inclusion toggles and custom work.</w:t>
            </w:r>
          </w:p>
        </w:tc>
      </w:tr>
    </w:tbl>
    <w:p/>
    <w:p>
      <w:pPr>
        <w:pStyle w:val="Heading2"/>
      </w:pPr>
      <w:r>
        <w:t>Catalog and document wording</w:t>
      </w:r>
    </w:p>
    <w:p>
      <w:r>
        <w:t>Each catalog entry has a stable ID, section ID, display label, output wording, sort order, field type and default value. Keep values structured; do not store the whole agreement only as a single text string. Template changes affect new documents; existing saved documents retain their original template version and wording.</w:t>
      </w:r>
    </w:p>
    <w:p>
      <w:pPr>
        <w:pStyle w:val="Heading2"/>
      </w:pPr>
      <w:r>
        <w:t>Custom options and exclusions</w:t>
      </w:r>
    </w:p>
    <w:p>
      <w:r>
        <w:t>Allow several custom options per section. Never add an unselected item to the PDF. Default to including all reference sections. When a section is excluded, omit it from the body and keep the original A–K identifiers for the remaining sections. Review shows omitted sections so accidental exclusions can be caught.</w:t>
      </w:r>
    </w:p>
    <w:p>
      <w:pPr>
        <w:pStyle w:val="Heading2"/>
      </w:pPr>
      <w:r>
        <w:t>Company branding</w:t>
      </w:r>
    </w:p>
    <w:p>
      <w:r>
        <w:t>Initial company identity: ADARSH INFRADEVELOPERS AND CONSTRUCTIONS. Contact numbers: 9453919659 and 7905443687. Address: 1/69 Sec 1 Gomti Nagar, Lucknow 226010. Email: adinfra.cont@gmail.com. Website: https://adarshinfra.co.in/. Preserve the Instagram and Facebook labels from the reference, with editable company settings. Use supplied reference graphics until higher-resolution original assets are provided.</w:t>
      </w:r>
    </w:p>
    <w:p>
      <w:r>
        <w:br w:type="page"/>
      </w:r>
    </w:p>
    <w:p>
      <w:pPr>
        <w:pStyle w:val="Heading1"/>
      </w:pPr>
      <w:r>
        <w:t>Fees terms and payments</w:t>
      </w:r>
    </w:p>
    <w:p>
      <w:pPr>
        <w:pStyle w:val="Heading2"/>
      </w:pPr>
      <w:r>
        <w:t>Section K and calculations</w:t>
      </w:r>
    </w:p>
    <w:p>
      <w:r>
        <w:t>Reference rate: ₹1,700 per square foot for ground floor, first floor and mumty super built-up area. Capture an editable rate and area for each included floor. The source sample area of approximately 1,000 square feet is not a mandatory default. Total base cost equals the sum of each floor area multiplied by its rate.</w:t>
      </w:r>
    </w:p>
    <w:p>
      <w:r>
        <w:t>Capture extra-work prices separately. Unpriced exclusions do not increase totals. Define subtotal as base cost plus explicitly priced extras; tax amount equals the selected taxable amount multiplied by the entered percentage; total equals subtotal plus tax. Use Decimal arithmetic in rupees and round display amounts to two decimal places. Prevent duplicate inclusion of gate cost or extras already covered by the base rate.</w:t>
      </w:r>
    </w:p>
    <w:p>
      <w:r>
        <w:t>Preserve the note that drawing-based area can vary and final calculation follows actual site measurements. Staircase double measurement is a reference term: apply an additional area only when the user enters staircase area and explicitly confirms it has not already been included.</w:t>
      </w:r>
    </w:p>
    <w:p>
      <w:pPr>
        <w:pStyle w:val="Heading2"/>
      </w:pPr>
      <w:r>
        <w:t>Reference terms</w:t>
      </w:r>
    </w:p>
    <w:p>
      <w:pPr>
        <w:pStyle w:val="ListBullet"/>
      </w:pPr>
      <w:r>
        <w:t>Client supplies electricity and water before work starts; owner arranges water and light on site.</w:t>
      </w:r>
    </w:p>
    <w:p>
      <w:pPr>
        <w:pStyle w:val="ListBullet"/>
      </w:pPr>
      <w:r>
        <w:t>Work outside covered area is calculated at an item rate. Extra items requested by the client are charged separately and are not included in covered-area rates.</w:t>
      </w:r>
    </w:p>
    <w:p>
      <w:pPr>
        <w:pStyle w:val="ListBullet"/>
      </w:pPr>
      <w:r>
        <w:t>Staircase has double measurement area. Reference tax clause states 18% extra for payment in account. Reference late-payment clause states a 10% penalty on amount.</w:t>
      </w:r>
    </w:p>
    <w:p>
      <w:r>
        <w:t>All clauses are editable and individually includable. Tax and penalty wording is source content, not app-verified policy. Tax requires an explicit toggle and taxable base. Do not automatically apply late penalties to the quotation total; provide an optional percentage and clause only.</w:t>
      </w:r>
    </w:p>
    <w:p>
      <w:pPr>
        <w:pStyle w:val="Heading2"/>
      </w:pPr>
      <w:r>
        <w:t>Extra work catalog</w:t>
      </w:r>
    </w:p>
    <w:p>
      <w:r>
        <w:t>Texture paint/wallpaper; soil; septic tank; modular kitchen; concealed lights and tubelights; parapet or boundary wall at ₹225 per square foot; electrical earthing; demolition priced as per site condition; elevation tile. Provide Include, Pricing status, Quantity, Unit, Rate and Notes when appropriate.</w:t>
      </w:r>
    </w:p>
    <w:p>
      <w:pPr>
        <w:pStyle w:val="Heading2"/>
      </w:pPr>
      <w:r>
        <w:t>Payment schedule</w:t>
      </w:r>
    </w:p>
    <w:p>
      <w:r>
        <w:t>Reference milestones: 30% advance; 20% after DPC/brickwork; 30% after shuttering before slab; 10% after plaster; 10% finishing. Percentages and labels are editable. Require the total to equal 100% before finalizing. Show milestone amounts using the explicitly selected payable total. Allocate any rounding remainder to the last milestone.</w:t>
      </w:r>
    </w:p>
    <w:p>
      <w:pPr>
        <w:pStyle w:val="Heading2"/>
      </w:pPr>
      <w:r>
        <w:t>Signatures</w:t>
      </w:r>
    </w:p>
    <w:p>
      <w:r>
        <w:t>Include For, Adarsh Infradevelopers and Construction, Accepted by, company Signature, client Name &amp; Signature, and Witness 1 and Witness 2. MVP provides blank signature lines and editable names. Captured handwritten signature images are a future enhancement, not a claim of verified electronic signing.</w:t>
      </w:r>
    </w:p>
    <w:p>
      <w:r>
        <w:br w:type="page"/>
      </w:r>
    </w:p>
    <w:p>
      <w:pPr>
        <w:pStyle w:val="Heading1"/>
      </w:pPr>
      <w:r>
        <w:t>PDF layout and export requirements</w:t>
      </w:r>
    </w:p>
    <w:p>
      <w:pPr>
        <w:pStyle w:val="Heading2"/>
      </w:pPr>
      <w:r>
        <w:t>Reference fidelity</w:t>
      </w:r>
    </w:p>
    <w:p>
      <w:r>
        <w:t>Reconstruct the reference template using measured page geometry: two header graphics, centered blue company heading, horizontal rules, pale central watermark, serif body, bold section titles, recurring contact footer, social icons and signature layout. Measure the source MediaBox, content positions and font sizes; do not assume the agreement uses the PRD page size.</w:t>
      </w:r>
    </w:p>
    <w:p>
      <w:r>
        <w:t>For the reference preset and sample values, use the source page breaks as the visual baseline. Additional selections and long text may increase page count, but must keep the same branding, margins, hierarchy and footer positions. Exact content positions cannot remain fixed for unlimited text; pagination takes priority over shrinking text to unreadable sizes.</w:t>
      </w:r>
    </w:p>
    <w:p>
      <w:pPr>
        <w:pStyle w:val="ListBullet"/>
      </w:pPr>
      <w:r>
        <w:t>The source contains five content pages and a sixth page with branding only. Preserve the sixth page in the initial reference-compatible preset. A setting may remove the trailing branding-only page when creating a new document.</w:t>
      </w:r>
    </w:p>
    <w:p>
      <w:pPr>
        <w:pStyle w:val="ListBullet"/>
      </w:pPr>
      <w:r>
        <w:t>Keep headings with at least the first body line. Wrap long client fields, custom clauses and brands. Do not place body text beneath the footer. Repeat branding on overflow pages.</w:t>
      </w:r>
    </w:p>
    <w:p>
      <w:pPr>
        <w:pStyle w:val="ListBullet"/>
      </w:pPr>
      <w:r>
        <w:t>Keep signature blocks together where practical. Render rupee symbols, punctuation and custom text with supported fonts. Export searchable text rather than a screenshot of the form.</w:t>
      </w:r>
    </w:p>
    <w:p>
      <w:pPr>
        <w:pStyle w:val="Heading2"/>
      </w:pPr>
      <w:r>
        <w:t>Single rendering pipeline</w:t>
      </w:r>
    </w:p>
    <w:p>
      <w:r>
        <w:t>A PDF rendering service accepts a validated document snapshot, its template version and branding assets, then returns a PDF file plus a revision fingerprint. Display this file in PDFKit. Download and Share must use those same bytes. Rebuild the PDF only when the snapshot changes; never use a different renderer for export.</w:t>
      </w:r>
    </w:p>
    <w:p>
      <w:pPr>
        <w:pStyle w:val="Heading2"/>
      </w:pPr>
      <w:r>
        <w:t>Saving and export</w:t>
      </w:r>
    </w:p>
    <w:p>
      <w:r>
        <w:t>Save Document stores structured answers, template snapshot, metadata and the latest generated PDF in the app. Download PDF opens the iOS Files export flow so the user can choose a location. Share opens the system share sheet. Export cancellation returns to preview without losing the saved document.</w:t>
      </w:r>
    </w:p>
    <w:p>
      <w:r>
        <w:t>Use a safe filename such as Adarsh_Agreement_ClientName_2026-10-02.pdf. Remove invalid path characters and avoid collisions. A failed export shows a recoverable error; keep the local document and generated PDF available.</w:t>
      </w:r>
    </w:p>
    <w:p>
      <w:pPr>
        <w:pStyle w:val="Heading2"/>
      </w:pPr>
      <w:r>
        <w:t>Visual acceptance</w:t>
      </w:r>
    </w:p>
    <w:p>
      <w:r>
        <w:t>Compare the generated reference preset to the source page by page: header assets, watermark opacity, body alignment, heading sizes, footer, page breaks and signatures. Check at normal viewing size and at zoom. Test long names, multiple brands, custom clauses and large section counts for clipping or overlap. The PRD cannot certify pixel-perfect output before this comparison is completed.</w:t>
      </w:r>
    </w:p>
    <w:p>
      <w:r>
        <w:br w:type="page"/>
      </w:r>
    </w:p>
    <w:p>
      <w:pPr>
        <w:pStyle w:val="Heading1"/>
      </w:pPr>
      <w:r>
        <w:t>Data storage and implementation</w:t>
      </w:r>
    </w:p>
    <w:p>
      <w:pPr>
        <w:pStyle w:val="Heading2"/>
      </w:pPr>
      <w:r>
        <w:t>Recommended architecture</w:t>
      </w:r>
    </w:p>
    <w:p>
      <w:r>
        <w:t>Use native Swift with SwiftUI and MVVM. Proposed deployment baseline is iOS 17 or later, subject to target device confirmation. Use PDFKit for viewing and Core Graphics/UIGraphicsPDFRenderer for deterministic output. Separate form state, validation, calculation, persistence, template catalog and PDF rendering services. These are implementation recommendations, not a substitute for checking current Apple documentation during development.</w:t>
      </w:r>
    </w:p>
    <w:tbl>
      <w:tblPr>
        <w:tblW w:type="auto" w:w="0"/>
        <w:tblLayout w:type="fixed"/>
        <w:tblLook w:firstColumn="1" w:firstRow="1" w:lastColumn="0" w:lastRow="0" w:noHBand="0" w:noVBand="1" w:val="04A0"/>
      </w:tblPr>
      <w:tblGrid>
        <w:gridCol w:w="2448"/>
        <w:gridCol w:w="7632"/>
      </w:tblGrid>
      <w:tr>
        <w:trPr>
          <w:tblHeader/>
        </w:trPr>
        <w:tc>
          <w:tcPr>
            <w:tcW w:type="dxa" w:w="2448"/>
            <w:tcBorders>
              <w:top w:val="single" w:sz="4" w:color="D9D9D9"/>
              <w:left w:val="single" w:sz="4" w:color="D9D9D9"/>
              <w:bottom w:val="single" w:sz="4" w:color="D9D9D9"/>
              <w:right w:val="single" w:sz="4" w:color="D9D9D9"/>
            </w:tcBorders>
            <w:shd w:fill="E7EDF4"/>
          </w:tcPr>
          <w:p>
            <w:r>
              <w:t>Entity</w:t>
            </w:r>
          </w:p>
        </w:tc>
        <w:tc>
          <w:tcPr>
            <w:tcW w:type="dxa" w:w="7632"/>
            <w:tcBorders>
              <w:top w:val="single" w:sz="4" w:color="D9D9D9"/>
              <w:left w:val="single" w:sz="4" w:color="D9D9D9"/>
              <w:bottom w:val="single" w:sz="4" w:color="D9D9D9"/>
              <w:right w:val="single" w:sz="4" w:color="D9D9D9"/>
            </w:tcBorders>
            <w:shd w:fill="E7EDF4"/>
          </w:tcPr>
          <w:p>
            <w:r>
              <w:t>Required data</w:t>
            </w:r>
          </w:p>
        </w:tc>
      </w:tr>
      <w:tr>
        <w:tc>
          <w:tcPr>
            <w:tcW w:type="dxa" w:w="2448"/>
            <w:tcBorders>
              <w:top w:val="single" w:sz="4" w:color="D9D9D9"/>
              <w:left w:val="single" w:sz="4" w:color="D9D9D9"/>
              <w:bottom w:val="single" w:sz="4" w:color="D9D9D9"/>
              <w:right w:val="single" w:sz="4" w:color="D9D9D9"/>
            </w:tcBorders>
          </w:tcPr>
          <w:p>
            <w:r>
              <w:t>Document</w:t>
            </w:r>
          </w:p>
        </w:tc>
        <w:tc>
          <w:tcPr>
            <w:tcW w:type="dxa" w:w="7632"/>
            <w:tcBorders>
              <w:top w:val="single" w:sz="4" w:color="D9D9D9"/>
              <w:left w:val="single" w:sz="4" w:color="D9D9D9"/>
              <w:bottom w:val="single" w:sz="4" w:color="D9D9D9"/>
              <w:right w:val="single" w:sz="4" w:color="D9D9D9"/>
            </w:tcBorders>
          </w:tcPr>
          <w:p>
            <w:r>
              <w:t>UUID; display title; client/project data; draft or ready status; created/modified dates; local revision; template version; latest PDF revision; sync state.</w:t>
            </w:r>
          </w:p>
        </w:tc>
      </w:tr>
      <w:tr>
        <w:tc>
          <w:tcPr>
            <w:tcW w:type="dxa" w:w="2448"/>
            <w:tcBorders>
              <w:top w:val="single" w:sz="4" w:color="D9D9D9"/>
              <w:left w:val="single" w:sz="4" w:color="D9D9D9"/>
              <w:bottom w:val="single" w:sz="4" w:color="D9D9D9"/>
              <w:right w:val="single" w:sz="4" w:color="D9D9D9"/>
            </w:tcBorders>
          </w:tcPr>
          <w:p>
            <w:r>
              <w:t>Section selection</w:t>
            </w:r>
          </w:p>
        </w:tc>
        <w:tc>
          <w:tcPr>
            <w:tcW w:type="dxa" w:w="7632"/>
            <w:tcBorders>
              <w:top w:val="single" w:sz="4" w:color="D9D9D9"/>
              <w:left w:val="single" w:sz="4" w:color="D9D9D9"/>
              <w:bottom w:val="single" w:sz="4" w:color="D9D9D9"/>
              <w:right w:val="single" w:sz="4" w:color="D9D9D9"/>
            </w:tcBorders>
          </w:tcPr>
          <w:p>
            <w:r>
              <w:t>Section and option IDs; selected state; quantities; materials; brands; dimensions; custom labels; output wording; ordering.</w:t>
            </w:r>
          </w:p>
        </w:tc>
      </w:tr>
      <w:tr>
        <w:tc>
          <w:tcPr>
            <w:tcW w:type="dxa" w:w="2448"/>
            <w:tcBorders>
              <w:top w:val="single" w:sz="4" w:color="D9D9D9"/>
              <w:left w:val="single" w:sz="4" w:color="D9D9D9"/>
              <w:bottom w:val="single" w:sz="4" w:color="D9D9D9"/>
              <w:right w:val="single" w:sz="4" w:color="D9D9D9"/>
            </w:tcBorders>
          </w:tcPr>
          <w:p>
            <w:r>
              <w:t>Financial data</w:t>
            </w:r>
          </w:p>
        </w:tc>
        <w:tc>
          <w:tcPr>
            <w:tcW w:type="dxa" w:w="7632"/>
            <w:tcBorders>
              <w:top w:val="single" w:sz="4" w:color="D9D9D9"/>
              <w:left w:val="single" w:sz="4" w:color="D9D9D9"/>
              <w:bottom w:val="single" w:sz="4" w:color="D9D9D9"/>
              <w:right w:val="single" w:sz="4" w:color="D9D9D9"/>
            </w:tcBorders>
          </w:tcPr>
          <w:p>
            <w:r>
              <w:t>Floor areas and rates; staircase adjustment; priced extras; tax settings; totals; milestone labels and percentages.</w:t>
            </w:r>
          </w:p>
        </w:tc>
      </w:tr>
      <w:tr>
        <w:tc>
          <w:tcPr>
            <w:tcW w:type="dxa" w:w="2448"/>
            <w:tcBorders>
              <w:top w:val="single" w:sz="4" w:color="D9D9D9"/>
              <w:left w:val="single" w:sz="4" w:color="D9D9D9"/>
              <w:bottom w:val="single" w:sz="4" w:color="D9D9D9"/>
              <w:right w:val="single" w:sz="4" w:color="D9D9D9"/>
            </w:tcBorders>
          </w:tcPr>
          <w:p>
            <w:r>
              <w:t>Template snapshot</w:t>
            </w:r>
          </w:p>
        </w:tc>
        <w:tc>
          <w:tcPr>
            <w:tcW w:type="dxa" w:w="7632"/>
            <w:tcBorders>
              <w:top w:val="single" w:sz="4" w:color="D9D9D9"/>
              <w:left w:val="single" w:sz="4" w:color="D9D9D9"/>
              <w:bottom w:val="single" w:sz="4" w:color="D9D9D9"/>
              <w:right w:val="single" w:sz="4" w:color="D9D9D9"/>
            </w:tcBorders>
          </w:tcPr>
          <w:p>
            <w:r>
              <w:t>Original clause wording; branding settings; page geometry; font definitions; asset references; trailing-page setting.</w:t>
            </w:r>
          </w:p>
        </w:tc>
      </w:tr>
      <w:tr>
        <w:tc>
          <w:tcPr>
            <w:tcW w:type="dxa" w:w="2448"/>
            <w:tcBorders>
              <w:top w:val="single" w:sz="4" w:color="D9D9D9"/>
              <w:left w:val="single" w:sz="4" w:color="D9D9D9"/>
              <w:bottom w:val="single" w:sz="4" w:color="D9D9D9"/>
              <w:right w:val="single" w:sz="4" w:color="D9D9D9"/>
            </w:tcBorders>
          </w:tcPr>
          <w:p>
            <w:r>
              <w:t>Files</w:t>
            </w:r>
          </w:p>
        </w:tc>
        <w:tc>
          <w:tcPr>
            <w:tcW w:type="dxa" w:w="7632"/>
            <w:tcBorders>
              <w:top w:val="single" w:sz="4" w:color="D9D9D9"/>
              <w:left w:val="single" w:sz="4" w:color="D9D9D9"/>
              <w:bottom w:val="single" w:sz="4" w:color="D9D9D9"/>
              <w:right w:val="single" w:sz="4" w:color="D9D9D9"/>
            </w:tcBorders>
          </w:tcPr>
          <w:p>
            <w:r>
              <w:t>Generated PDF, branding images and any future signature images. Keep durable files in app-managed storage, not only a temporary directory.</w:t>
            </w:r>
          </w:p>
        </w:tc>
      </w:tr>
    </w:tbl>
    <w:p/>
    <w:p>
      <w:pPr>
        <w:pStyle w:val="Heading2"/>
      </w:pPr>
      <w:r>
        <w:t>Local saving</w:t>
      </w:r>
    </w:p>
    <w:p>
      <w:r>
        <w:t>Use SwiftData or an equivalent durable local store for structured records and app-managed files for PDFs. A cloud-compatible schema must be validated if SwiftData is used with CloudKit. Save edits atomically where possible; regenerate PDFs from stored answers if a cached PDF is lost. Saved Documents remains available offline.</w:t>
      </w:r>
    </w:p>
    <w:p>
      <w:pPr>
        <w:pStyle w:val="Heading2"/>
      </w:pPr>
      <w:r>
        <w:t>Optional cloud sync</w:t>
      </w:r>
    </w:p>
    <w:p>
      <w:r>
        <w:t>Use a private CloudKit database tied to the owner’s iCloud account. Sync documents and required assets across the owner’s devices; no public records or bespoke authentication are required. Show Local only, Syncing, Synced or Sync failed. Missing iCloud access must never prevent local saving.</w:t>
      </w:r>
    </w:p>
    <w:p>
      <w:r>
        <w:t>Detect competing revisions from two devices; preserve both versions and ask which to keep rather than silently overwriting. Propagate deletion through a tombstone policy so an offline device does not immediately recreate a deleted document. Explain that cross-device recovery depends on successful cloud sync; local-only data may be lost after app deletion.</w:t>
      </w:r>
    </w:p>
    <w:p>
      <w:pPr>
        <w:pStyle w:val="Heading2"/>
      </w:pPr>
      <w:r>
        <w:t>Privacy and usability</w:t>
      </w:r>
    </w:p>
    <w:p>
      <w:r>
        <w:t>Store client details in app-private storage and private cloud records. Avoid logging names, addresses, phone numbers and document contents. Do not transmit agreement data to an AI service. Support Dynamic Type in forms, VoiceOver labels, clear checkbox state and usable touch targets. The exported agreement uses template typography independently of form text size.</w:t>
      </w:r>
    </w:p>
    <w:p>
      <w:r>
        <w:br w:type="page"/>
      </w:r>
    </w:p>
    <w:p>
      <w:pPr>
        <w:pStyle w:val="Heading1"/>
      </w:pPr>
      <w:r>
        <w:t>Acceptance criteria and delivery plan</w:t>
      </w:r>
    </w:p>
    <w:tbl>
      <w:tblPr>
        <w:tblW w:type="auto" w:w="0"/>
        <w:tblLayout w:type="fixed"/>
        <w:tblLook w:firstColumn="1" w:firstRow="1" w:lastColumn="0" w:lastRow="0" w:noHBand="0" w:noVBand="1" w:val="04A0"/>
      </w:tblPr>
      <w:tblGrid>
        <w:gridCol w:w="2448"/>
        <w:gridCol w:w="7632"/>
      </w:tblGrid>
      <w:tr>
        <w:trPr>
          <w:tblHeader/>
        </w:trPr>
        <w:tc>
          <w:tcPr>
            <w:tcW w:type="dxa" w:w="2448"/>
            <w:tcBorders>
              <w:top w:val="single" w:sz="4" w:color="D9D9D9"/>
              <w:left w:val="single" w:sz="4" w:color="D9D9D9"/>
              <w:bottom w:val="single" w:sz="4" w:color="D9D9D9"/>
              <w:right w:val="single" w:sz="4" w:color="D9D9D9"/>
            </w:tcBorders>
            <w:shd w:fill="E7EDF4"/>
          </w:tcPr>
          <w:p>
            <w:r>
              <w:t>Test</w:t>
            </w:r>
          </w:p>
        </w:tc>
        <w:tc>
          <w:tcPr>
            <w:tcW w:type="dxa" w:w="7632"/>
            <w:tcBorders>
              <w:top w:val="single" w:sz="4" w:color="D9D9D9"/>
              <w:left w:val="single" w:sz="4" w:color="D9D9D9"/>
              <w:bottom w:val="single" w:sz="4" w:color="D9D9D9"/>
              <w:right w:val="single" w:sz="4" w:color="D9D9D9"/>
            </w:tcBorders>
            <w:shd w:fill="E7EDF4"/>
          </w:tcPr>
          <w:p>
            <w:r>
              <w:t>Required result</w:t>
            </w:r>
          </w:p>
        </w:tc>
      </w:tr>
      <w:tr>
        <w:tc>
          <w:tcPr>
            <w:tcW w:type="dxa" w:w="2448"/>
            <w:tcBorders>
              <w:top w:val="single" w:sz="4" w:color="D9D9D9"/>
              <w:left w:val="single" w:sz="4" w:color="D9D9D9"/>
              <w:bottom w:val="single" w:sz="4" w:color="D9D9D9"/>
              <w:right w:val="single" w:sz="4" w:color="D9D9D9"/>
            </w:tcBorders>
          </w:tcPr>
          <w:p>
            <w:r>
              <w:t>Multiple selection</w:t>
            </w:r>
          </w:p>
        </w:tc>
        <w:tc>
          <w:tcPr>
            <w:tcW w:type="dxa" w:w="7632"/>
            <w:tcBorders>
              <w:top w:val="single" w:sz="4" w:color="D9D9D9"/>
              <w:left w:val="single" w:sz="4" w:color="D9D9D9"/>
              <w:bottom w:val="single" w:sz="4" w:color="D9D9D9"/>
              <w:right w:val="single" w:sz="4" w:color="D9D9D9"/>
            </w:tcBorders>
          </w:tcPr>
          <w:p>
            <w:r>
              <w:t>Select two cement brands and three electrical brands; save, reopen and export. All choices persist and appear once in reference order.</w:t>
            </w:r>
          </w:p>
        </w:tc>
      </w:tr>
      <w:tr>
        <w:tc>
          <w:tcPr>
            <w:tcW w:type="dxa" w:w="2448"/>
            <w:tcBorders>
              <w:top w:val="single" w:sz="4" w:color="D9D9D9"/>
              <w:left w:val="single" w:sz="4" w:color="D9D9D9"/>
              <w:bottom w:val="single" w:sz="4" w:color="D9D9D9"/>
              <w:right w:val="single" w:sz="4" w:color="D9D9D9"/>
            </w:tcBorders>
          </w:tcPr>
          <w:p>
            <w:r>
              <w:t>Wizard recovery</w:t>
            </w:r>
          </w:p>
        </w:tc>
        <w:tc>
          <w:tcPr>
            <w:tcW w:type="dxa" w:w="7632"/>
            <w:tcBorders>
              <w:top w:val="single" w:sz="4" w:color="D9D9D9"/>
              <w:left w:val="single" w:sz="4" w:color="D9D9D9"/>
              <w:bottom w:val="single" w:sz="4" w:color="D9D9D9"/>
              <w:right w:val="single" w:sz="4" w:color="D9D9D9"/>
            </w:tcBorders>
          </w:tcPr>
          <w:p>
            <w:r>
              <w:t>Enter partial details, move backward, close and reopen the app. Resume from the last saved step without resetting selections.</w:t>
            </w:r>
          </w:p>
        </w:tc>
      </w:tr>
      <w:tr>
        <w:tc>
          <w:tcPr>
            <w:tcW w:type="dxa" w:w="2448"/>
            <w:tcBorders>
              <w:top w:val="single" w:sz="4" w:color="D9D9D9"/>
              <w:left w:val="single" w:sz="4" w:color="D9D9D9"/>
              <w:bottom w:val="single" w:sz="4" w:color="D9D9D9"/>
              <w:right w:val="single" w:sz="4" w:color="D9D9D9"/>
            </w:tcBorders>
          </w:tcPr>
          <w:p>
            <w:r>
              <w:t>Validation</w:t>
            </w:r>
          </w:p>
        </w:tc>
        <w:tc>
          <w:tcPr>
            <w:tcW w:type="dxa" w:w="7632"/>
            <w:tcBorders>
              <w:top w:val="single" w:sz="4" w:color="D9D9D9"/>
              <w:left w:val="single" w:sz="4" w:color="D9D9D9"/>
              <w:bottom w:val="single" w:sz="4" w:color="D9D9D9"/>
              <w:right w:val="single" w:sz="4" w:color="D9D9D9"/>
            </w:tcBorders>
          </w:tcPr>
          <w:p>
            <w:r>
              <w:t>Empty required fields, negative areas and a 90% payment schedule block finalization with field-specific messages; Save Draft remains available.</w:t>
            </w:r>
          </w:p>
        </w:tc>
      </w:tr>
      <w:tr>
        <w:tc>
          <w:tcPr>
            <w:tcW w:type="dxa" w:w="2448"/>
            <w:tcBorders>
              <w:top w:val="single" w:sz="4" w:color="D9D9D9"/>
              <w:left w:val="single" w:sz="4" w:color="D9D9D9"/>
              <w:bottom w:val="single" w:sz="4" w:color="D9D9D9"/>
              <w:right w:val="single" w:sz="4" w:color="D9D9D9"/>
            </w:tcBorders>
          </w:tcPr>
          <w:p>
            <w:r>
              <w:t>Calculations</w:t>
            </w:r>
          </w:p>
        </w:tc>
        <w:tc>
          <w:tcPr>
            <w:tcW w:type="dxa" w:w="7632"/>
            <w:tcBorders>
              <w:top w:val="single" w:sz="4" w:color="D9D9D9"/>
              <w:left w:val="single" w:sz="4" w:color="D9D9D9"/>
              <w:bottom w:val="single" w:sz="4" w:color="D9D9D9"/>
              <w:right w:val="single" w:sz="4" w:color="D9D9D9"/>
            </w:tcBorders>
          </w:tcPr>
          <w:p>
            <w:r>
              <w:t>For 1,000 sq ft at ₹1,700, base is ₹17,00,000. With no extras/tax, the reference milestones are ₹5,10,000; ₹3,40,000; ₹5,10,000; ₹1,70,000; ₹1,70,000.</w:t>
            </w:r>
          </w:p>
        </w:tc>
      </w:tr>
      <w:tr>
        <w:tc>
          <w:tcPr>
            <w:tcW w:type="dxa" w:w="2448"/>
            <w:tcBorders>
              <w:top w:val="single" w:sz="4" w:color="D9D9D9"/>
              <w:left w:val="single" w:sz="4" w:color="D9D9D9"/>
              <w:bottom w:val="single" w:sz="4" w:color="D9D9D9"/>
              <w:right w:val="single" w:sz="4" w:color="D9D9D9"/>
            </w:tcBorders>
          </w:tcPr>
          <w:p>
            <w:r>
              <w:t>Reference layout</w:t>
            </w:r>
          </w:p>
        </w:tc>
        <w:tc>
          <w:tcPr>
            <w:tcW w:type="dxa" w:w="7632"/>
            <w:tcBorders>
              <w:top w:val="single" w:sz="4" w:color="D9D9D9"/>
              <w:left w:val="single" w:sz="4" w:color="D9D9D9"/>
              <w:bottom w:val="single" w:sz="4" w:color="D9D9D9"/>
              <w:right w:val="single" w:sz="4" w:color="D9D9D9"/>
            </w:tcBorders>
          </w:tcPr>
          <w:p>
            <w:r>
              <w:t>The baseline preset preserves all introductory content, A–K sections, terms, extras, milestones, signature blocks and company branding. Compare every generated page against the supplied PDF.</w:t>
            </w:r>
          </w:p>
        </w:tc>
      </w:tr>
      <w:tr>
        <w:tc>
          <w:tcPr>
            <w:tcW w:type="dxa" w:w="2448"/>
            <w:tcBorders>
              <w:top w:val="single" w:sz="4" w:color="D9D9D9"/>
              <w:left w:val="single" w:sz="4" w:color="D9D9D9"/>
              <w:bottom w:val="single" w:sz="4" w:color="D9D9D9"/>
              <w:right w:val="single" w:sz="4" w:color="D9D9D9"/>
            </w:tcBorders>
          </w:tcPr>
          <w:p>
            <w:r>
              <w:t>Overflow</w:t>
            </w:r>
          </w:p>
        </w:tc>
        <w:tc>
          <w:tcPr>
            <w:tcW w:type="dxa" w:w="7632"/>
            <w:tcBorders>
              <w:top w:val="single" w:sz="4" w:color="D9D9D9"/>
              <w:left w:val="single" w:sz="4" w:color="D9D9D9"/>
              <w:bottom w:val="single" w:sz="4" w:color="D9D9D9"/>
              <w:right w:val="single" w:sz="4" w:color="D9D9D9"/>
            </w:tcBorders>
          </w:tcPr>
          <w:p>
            <w:r>
              <w:t>Long client details, many custom options and long clauses paginate cleanly with no clipping, hidden text or footer overlap.</w:t>
            </w:r>
          </w:p>
        </w:tc>
      </w:tr>
      <w:tr>
        <w:tc>
          <w:tcPr>
            <w:tcW w:type="dxa" w:w="2448"/>
            <w:tcBorders>
              <w:top w:val="single" w:sz="4" w:color="D9D9D9"/>
              <w:left w:val="single" w:sz="4" w:color="D9D9D9"/>
              <w:bottom w:val="single" w:sz="4" w:color="D9D9D9"/>
              <w:right w:val="single" w:sz="4" w:color="D9D9D9"/>
            </w:tcBorders>
          </w:tcPr>
          <w:p>
            <w:r>
              <w:t>Preview and export</w:t>
            </w:r>
          </w:p>
        </w:tc>
        <w:tc>
          <w:tcPr>
            <w:tcW w:type="dxa" w:w="7632"/>
            <w:tcBorders>
              <w:top w:val="single" w:sz="4" w:color="D9D9D9"/>
              <w:left w:val="single" w:sz="4" w:color="D9D9D9"/>
              <w:bottom w:val="single" w:sz="4" w:color="D9D9D9"/>
              <w:right w:val="single" w:sz="4" w:color="D9D9D9"/>
            </w:tcBorders>
          </w:tcPr>
          <w:p>
            <w:r>
              <w:t>The exported PDF is byte-identical to the preview file for the same revision. Editing regenerates the file before export.</w:t>
            </w:r>
          </w:p>
        </w:tc>
      </w:tr>
      <w:tr>
        <w:tc>
          <w:tcPr>
            <w:tcW w:type="dxa" w:w="2448"/>
            <w:tcBorders>
              <w:top w:val="single" w:sz="4" w:color="D9D9D9"/>
              <w:left w:val="single" w:sz="4" w:color="D9D9D9"/>
              <w:bottom w:val="single" w:sz="4" w:color="D9D9D9"/>
              <w:right w:val="single" w:sz="4" w:color="D9D9D9"/>
            </w:tcBorders>
          </w:tcPr>
          <w:p>
            <w:r>
              <w:t>Saved documents</w:t>
            </w:r>
          </w:p>
        </w:tc>
        <w:tc>
          <w:tcPr>
            <w:tcW w:type="dxa" w:w="7632"/>
            <w:tcBorders>
              <w:top w:val="single" w:sz="4" w:color="D9D9D9"/>
              <w:left w:val="single" w:sz="4" w:color="D9D9D9"/>
              <w:bottom w:val="single" w:sz="4" w:color="D9D9D9"/>
              <w:right w:val="single" w:sz="4" w:color="D9D9D9"/>
            </w:tcBorders>
          </w:tcPr>
          <w:p>
            <w:r>
              <w:t>Save, edit, duplicate and delete function offline. Duplicate has an independent identity. Failed writes retain editable screen state.</w:t>
            </w:r>
          </w:p>
        </w:tc>
      </w:tr>
      <w:tr>
        <w:tc>
          <w:tcPr>
            <w:tcW w:type="dxa" w:w="2448"/>
            <w:tcBorders>
              <w:top w:val="single" w:sz="4" w:color="D9D9D9"/>
              <w:left w:val="single" w:sz="4" w:color="D9D9D9"/>
              <w:bottom w:val="single" w:sz="4" w:color="D9D9D9"/>
              <w:right w:val="single" w:sz="4" w:color="D9D9D9"/>
            </w:tcBorders>
          </w:tcPr>
          <w:p>
            <w:r>
              <w:t>Cloud when enabled</w:t>
            </w:r>
          </w:p>
        </w:tc>
        <w:tc>
          <w:tcPr>
            <w:tcW w:type="dxa" w:w="7632"/>
            <w:tcBorders>
              <w:top w:val="single" w:sz="4" w:color="D9D9D9"/>
              <w:left w:val="single" w:sz="4" w:color="D9D9D9"/>
              <w:bottom w:val="single" w:sz="4" w:color="D9D9D9"/>
              <w:right w:val="single" w:sz="4" w:color="D9D9D9"/>
            </w:tcBorders>
          </w:tcPr>
          <w:p>
            <w:r>
              <w:t>Sync between two devices; missing iCloud and network errors preserve local usability. Concurrent edits retain both revisions.</w:t>
            </w:r>
          </w:p>
        </w:tc>
      </w:tr>
      <w:tr>
        <w:tc>
          <w:tcPr>
            <w:tcW w:type="dxa" w:w="2448"/>
            <w:tcBorders>
              <w:top w:val="single" w:sz="4" w:color="D9D9D9"/>
              <w:left w:val="single" w:sz="4" w:color="D9D9D9"/>
              <w:bottom w:val="single" w:sz="4" w:color="D9D9D9"/>
              <w:right w:val="single" w:sz="4" w:color="D9D9D9"/>
            </w:tcBorders>
          </w:tcPr>
          <w:p>
            <w:r>
              <w:t>Export errors</w:t>
            </w:r>
          </w:p>
        </w:tc>
        <w:tc>
          <w:tcPr>
            <w:tcW w:type="dxa" w:w="7632"/>
            <w:tcBorders>
              <w:top w:val="single" w:sz="4" w:color="D9D9D9"/>
              <w:left w:val="single" w:sz="4" w:color="D9D9D9"/>
              <w:bottom w:val="single" w:sz="4" w:color="D9D9D9"/>
              <w:right w:val="single" w:sz="4" w:color="D9D9D9"/>
            </w:tcBorders>
          </w:tcPr>
          <w:p>
            <w:r>
              <w:t>Cancel Files export or simulate a write failure. Return to preview with the saved document intact and a Retry action when appropriate.</w:t>
            </w:r>
          </w:p>
        </w:tc>
      </w:tr>
    </w:tbl>
    <w:p/>
    <w:p>
      <w:pPr>
        <w:pStyle w:val="Heading2"/>
      </w:pPr>
      <w:r>
        <w:t>Implementation sequence</w:t>
      </w:r>
    </w:p>
    <w:p>
      <w:r>
        <w:t>1. Extract and measure the reference template; create the complete catalog and baseline PDF renderer. 2. Build Home, wizard, selection controls and validation. 3. Add durable draft and document storage, calculations and review. 4. Connect preview, Files export and sharing. 5. Verify reference fidelity and edge cases. 6. Add optional cloud sync with conflict and offline tests.</w:t>
      </w:r>
    </w:p>
    <w:p>
      <w:pPr>
        <w:pStyle w:val="Heading2"/>
      </w:pPr>
      <w:r>
        <w:t>Developer handoff</w:t>
      </w:r>
    </w:p>
    <w:p>
      <w:r>
        <w:t>Deliver a buildable Xcode project, reference assets and versioned catalog, documented setup, calculation and persistence tests, baseline PDF comparison evidence, and a short guide for changing options and branding. No production cloud secrets belong in the source code. Confirm the target devices, original graphic asset availability, ambiguous price units and conflicting wood specifications before release.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 xml:space="preserve">Adarsh Agreement Builder  |  Product requirements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