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BUILD PACK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folder is the working source of truth for designing and building the website of the Center for Intelligent Technologies (CIT / Център за интелигентни технологии).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Authority hierarchy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CIT Action Plan BG — authoritative for the Center’s mission, conceptual model, three pillars and institutional direction.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Confirmed decisions from the project team — authoritative for current website facts.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This Build Pack — authoritative for website design and implementation decisions until revised.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Benchmark websites — references for patterns only; never sources for facts about CIT.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AI-generated ideas — proposals only until explicitly accepted.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fixed direction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Visual north star: Stanford Institute for Human-Centered AI (HAI).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Do not clone HAI. Use its institutional confidence, editorial clarity, whitespace, typography hierarchy, image scale and research-first feel.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CIT differentiation: systems engineering, system maps, process flows, architecture diagrams, data visualisation, ASAESIS-style methodology and applied demonstrators.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Conceptual architecture is a best-of benchmark model, not copied from one institution.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V1 should look like a serious new center with a clear methodology and credible structure, not like an old organization with invented content.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Bulgarian and English are required.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Do not publish unconfirmed roles, partners, funding, results or projects.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00_README — this guide.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01_PRODUCT_BRIEF — purpose, audiences, positioning, goals and non-goals.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02_INFORMATION_ARCHITECTURE — sitemap, navigation, homepage sequence and templates.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03_DESIGN_SYSTEM — visual principles, HAI-inspired grammar and CIT differentiation.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04_BENCHMARK_REFERENCE_MAP — which benchmark informs which problem.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05_CONTENT_MODEL — structured content entities and truth rules.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06_COMPONENT_SPEC — reusable component families and page-section behavior.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07_BUILD_WORKFLOW — practical Codex + Cursor delivery process.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08_ACCEPTANCE_CRITERIA — release gates and quality bar.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09_AGENTS_MD — copy-ready repository instructions for AI coding agents.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10_CODEX_GOAL_MASTER_PROMPT — single end-to-end Codex /goal brief for the full V1 build.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11_CURSOR_GOAL_MASTER_PROMPT — single end-to-end Cursor Agent /goal brief for the full V1 build.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Recommended implementation principle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AUTONOMOUS GOAL MODE: DESIGN → EVALUATE/SELECT → IMPLEMENT → SCREENSHOT → COMPARE → FIX → VERIFY → CONTINUE. Interactive review mode may substitute explicit human approval at design checkpoints.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 not allow the coding agent to continuously redesign the site while implementing 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V1 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Primary navigation: About / Methodology / Projects / Insights / People / Work with us, plus BG/EN.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Homepage: Header → Hero → Positioning/System idea → Three integrated pillars → Methodology → Featured applied project → Insights → Institutional network → People preview → Work with us → Footer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Live benchmark usage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04_BENCHMARK_REFERENCE_MAP contains the curated current representative-page URLs. They are navigation aids, not a crawl requirement. Stanford HAI is the primary visual north star; other benchmarks are task-specific functional/content references. The active coding agent should open the smallest relevant set of live pages only when resolving a concrete question, translate the useful principle into the single CIT design system, and record material reference influence in DESIGN_DECISIONS.md.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Immediate next step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one clean starting folder/repo per implementation. For the Codex run, use 10_CODEX_GOAL_MASTER_PROMPT. For the Cursor run, use 11_CURSOR_GOAL_MASTER_PROMPT in Cursor Agent with /goal. In both cases, keep the same Build Pack, authoritative source documents, content truth rules, curated live references and Definition of Done so the two implementations remain directly comparable.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