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CIT WEBSITE — BENCHMARK REFERENCE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file prevents reference drift. Each benchmark has a specific job. No benchmark is a clone target.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Stanford HAI — visual north star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institutional confidence;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editorial sophistication;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whitespace;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large typography;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research-first presentation;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human-centered visual tone;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strong independent institute identity within a university context.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Stanford branding;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Stanford red;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exact page layouts;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AI-centric information architecture as the sole CIT model.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Complexity Science Hub — homepage storytelling and visuals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translating complex research into clear human outcomes;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research-topic taxonomy;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data/interactive visualisation;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researcher photography;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linking science to public explanation.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its current content density; CIT V1 will have a much smaller corpus.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MIT IDSS — intellectual positioning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compressing a complex interdisciplinary idea into memorable conceptual territory;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explaining intersections among systems, data, society and institutional behavior;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clear framework diagrams.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MIT-specific academic restraint if it weakens the applied-project layer.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Dark Matter Labs — systems methodology visualization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system maps;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architecture diagrams;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visual relationships among capabilities, contexts and interventions;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the feeling of a designed intellectual system.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dense philosophical language;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dark/experimental aesthetic as the whole CIT visual identity.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The Alan Turing Institute — projects and institutional architecture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project detail structure;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status and metadata;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explaining science/methodology;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applications, researchers, collaborators and publications;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segmented partner journeys.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AI-specific project framing when CIT is addressing broader systems problems.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Cambridge Institute for Manufacturing — operating model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Research × Education × Knowledge Transfer relationship;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audience routes for business, government, universities and students;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applied university-to-industry logic.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Cambridge-specific institutional structure or terminology.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7. Oxford Internet Institute — navigation and insights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clean research/content architecture;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research areas/groups/projects;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reports, video, podcasts and policy/business engagement;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people/content cross-linking.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scale of content categories before CIT has real content.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8. Connected Places Catapult — applied collaboration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project/demonstrator framing;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stakeholder journeys;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academics / enterprises / government / investors / SMEs style segmentation as inspiration.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categories that are irrelevant to CIT’s actual operating model.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9. VTT + Digital Catapult — technology transfer and demonstrators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research-to-pilot pathways;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co-financed projects;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innovation ecosystems;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infrastructure/testbed access models;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prototype → demonstrator → application logic.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service claims CIT cannot yet deliver.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10. Santa Fe Institute / IIASA / GovLab / Nesta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 selectively for: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owning an intellectual territory;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systems-analysis credibility;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public-institution intervention;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mission and action-research framing.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Master rule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HAI controls visual grammar.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other benchmarks supply specific functional/content patterns.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All borrowed patterns must be translated into one original CIT design system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CURRENT REPRESENTATIVE URL SET — USE ON DEMAND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These URLs are a curated navigation aid for Codex/Cursor. They are not a required crawl list. Open only the pages relevant to the design/content problem being solved, and prefer current live pages if a URL redirects.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Stanford HAI — primary VISUAL reference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Homepage: https://hai.stanford.edu/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About / institutional positioning: https://hai.stanford.edu/about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Research: https://hai.stanford.edu/research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Policy: https://hai.stanford.edu/policy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 when resolving visual grammar, editorial hierarchy, whitespace, media scale, navigation, research/institutional tone.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Complexity Science Hub — research storytelling / people / visual communication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Homepage: https://csh.ac.at/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People: https://csh.ac.at/people/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Use when resolving research storytelling, data/visual moments, research taxonomy or people discovery. Do not import its overall visual identity into CIT.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MIT IDSS — intellectual positioning / interdisciplinary framework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Homepage: https://idss.mit.edu/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IDSS Alliance: https://idss.mit.edu/engage/idss-alliance/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 when resolving how a complex systems/data/society proposition is compressed and how external engagement is framed.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Dark Matter Labs — systems/methodology visual language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Homepage: https://darkmatterlabs.org/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Use selectively when resolving system maps, architecture relationships and methodology visualization. Do not inherit its dark/experimental identity.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Alan Turing Institute — project and collaboration architecture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Homepage: https://www.turing.ac.uk/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Research projects index: https://www.turing.ac.uk/research/research-projects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Working with us example: https://www.turing.ac.uk/research/research-engineering/working-with-us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Partnerships/collaborations: https://www.turing.ac.uk/partnering-turing/current-partnerships-and-collaborations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Use for project templates, research metadata, collaboration journeys and partner segmentation — not for CIT's visual style.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Cambridge Institute for Manufacturing — Research × Education × Knowledge Transfer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Homepage: https://www.ifm.eng.cam.ac.uk/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Research: https://www.ifm.eng.cam.ac.uk/research/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Education: https://www.ifm.eng.cam.ac.uk/education/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Use for operating-model architecture and audience pathways.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Oxford Internet Institute — IA / insights / research content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Homepage: https://www.oii.ox.ac.uk/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Use when resolving research/content taxonomy, navigation and editorial linking. Explore only relevant subpages from current navigation as needed.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Connected Places Catapult — applied projects and stakeholder journeys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Homepage: https://cp.catapult.org.uk/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Representative project detail: https://cp.catapult.org.uk/trig-project/deep-reinforcement-learning-for-optimal-weather-routing-of-wind-assisted-ships/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 when resolving applied project framing, demonstrators and stakeholder-oriented pathways. Follow current Work with us navigation only when needed.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VTT — technology transfer / partnership pathways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Homepage: https://www.vttresearch.com/en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How to partner with us: https://www.vttresearch.com/en/about-us/how-partner-us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Services index: https://www.vttresearch.com/en/ourservices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Living labs / real-world validation example: https://www.vttresearch.com/en/ourservices/living-labs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 when resolving research-to-application pathways, piloting, collaboration models and technology-transfer logic.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Digital Catapult — programmes / demonstrators / deep-tech transfer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Homepage: https://www.digicatapult.org.uk/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Programmes: https://www.digicatapult.org.uk/programmes/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Expertise: https://www.digicatapult.org.uk/expertise/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Use when resolving prototype/demonstrator/programme structures and technology-transfer presentation.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ON-DEMAND BROWSING RULE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Do not comprehensively audit all reference sites during every build run. Start from the Build Pack. Open a live reference only when it can answer a concrete design/content question. Record any reference that materially influenced the selected CIT pattern in DESIGN_DECISIONS.md.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FRANKENSTEIN PREVENTION RULE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Never implement a section in another benchmark's native visual style. Translate every borrowed functional/content pattern into the single selected CIT design language before implementation. Stanford HAI governs high-level visual grammar; the selected original CIT design system governs the actual implementation.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