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BUILD WORKFLOW (CODEX + CURSOR)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Operating 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 coding agents must implement an approved design system. They must not continuously redesign the site while coding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Recommended division of labor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Codex — primary builder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repo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scaffold and dependencies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component implementation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content modeling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refactors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browser QA with available Chrome/DevTools tooling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Cursor — secondary reviewer/polisher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visual inspection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screenshot-driven tweaks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focused component edits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independent review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responsive polish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 not let two agents edit the same branch simultaneously. Use separate branches/worktrees for parallel tasks.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Phase 0 — Inputs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Required before build: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CIT Action Plan / approved concept source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this Build Pack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benchmark URLs/reference screenshots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confirmed public content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decision log for unresolved items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Phase 1 — Visual research extraction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Agent reviews HAI as visual north star and selected benchmark pages for their assigned pattern.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concise visual extraction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no code yet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explicit list of what is reference versus what is original CIT requirement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Phase 2 — Original CIT concepts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original high-fidelity concepts for major homepage sections: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Header + Hero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System idea / why CIT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Integrated pillars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Featured project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Insights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 Institutional network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People preview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Work with 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11. representative mobile views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Prefer separate readable section concepts over one compressed giant full-page mockup.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autonomous Goal mode, do not wait for routine human approval: evaluate the original CIT design alternatives against the Build Pack, select the strongest coherent direction, record it in DESIGN_DECISIONS.md, and treat it as the production design spec. In interactive review mode, explicit human approval may replace this internal selection step.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Phase 3 — Design system extraction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the approved concept record: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type scale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font families/fallbacks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spacing scale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containers/gutters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border/radius rules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image treatment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icon rules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motion rules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component families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mobile behavior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Phase 4 — Technical scaffold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Recommended V1 stack: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Next.js App Router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TypeScript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Tailwind CSS or equivalent token-driven styling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server-first/static-first rendering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lightweight client components only when interaction requires them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structured local content first; CMS later if justified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 not over-engineer V1 with a database, complex state management or headless CMS before content workflows require them.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Phase 5 — Section-by-section implementation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Implement one selected/approved visual slice at a time, using the chosen original CIT design system as the acceptance reference.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each slice: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implement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run locally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capture desktop screenshot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compare to accepted concept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fix visible drift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verify tablet/mobile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verify content truth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commit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Suggested order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Header/Hero → System idea → Pillars → Methodology → Featured project → Insights → Network → People → Work with us → Footer.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Phase 6 — Template implementation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After homepage design system is stable: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About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Methodology detail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Projects listing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Project detail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Insights listing/detail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People listing/detail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Work with 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Phase 7 — Production QA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visual fidelity review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responsive review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keyboard/accessibility review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content truth review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BG/EN review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performance review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SEO metadata review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broken-link review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build/lint/typecheck/tests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Visual QA loop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→ IMPLEMENT → RUN → SCREENSHOT → COMPARE → DIFF → FIX → SCREENSHOT → APPROVE.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passing build is not visual acceptance.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Reference viewport set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Desktop: 1440 × 1000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Laptop: 1280 × 800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Tablet: 768 × 1024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Mobile: 390 × 844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These are working QA viewports and may be extended if real analytics/device requirements emerge.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Commit strategy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Prefer small commits by coherent visual/function slice.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feat: scaffold CIT site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feat: implement approved header and hero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feat: add methodology system diagram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feat: add featured project template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fix: mobile navigation and BG wrapping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Branch discipline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main — stable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feature/* — implementation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review/* — optional visual/review worktree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 unreviewed broad AI refactor should land together with a visual feature.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Definition of done for a section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matches approved concept closely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responsive at reference sizes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semantic markup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keyboard/focus behavior where interactive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no inv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LIVE REFERENCE WORKFLOW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curated representative URLs live in 04_BENCHMARK_REFERENCE_MAP. Do not treat them as a mandatory crawl queue.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live sites on demand: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visual grammar / editorial rhythm / navigation / institutional tone → Stanford HAI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research storytelling / people / data visuals → Complexity Science Hub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systems/data/society positioning → MIT IDSS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methodology/system diagrams → Dark Matter Labs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project detail / collaboration / partner architecture → Alan Turing Institute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Research × Education × Knowledge Transfer → Cambridge IfM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IA / research and insights taxonomy → Oxford Internet Institute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applied collaboration / demonstrator pathways → Connected Places Catapult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technology transfer / piloting / partner pathways → VTT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programmes / demonstrators / deep-tech application → Digital Catapult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each live-reference lookup: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start with a concrete design/content question;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open the smallest relevant set of pages;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extract the principle/pattern, not the styling;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translate it into the selected CIT design language;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record material influence in DESIGN_DECISIONS.md;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6. return to implementation.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 not repeatedly re-audit references that have already answered the question. Do not let live-site browsing consume the build objective.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ented public claims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content not hard-coded into reusable component logic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no console errors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no obvious layout shift/overflow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reviewed screenshot stored or noted for comparison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Decision rule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When the design concept is ambiguous, return to the design spec and the task-specific live references rather than silently inventing a new UI pattern. In autonomous Goal mode, make the best conservative professional choice, record it, and continue unless the ambiguity is a genuine external blocker.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