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център-за-смарт-технологии"/>
    <w:p>
      <w:pPr>
        <w:pStyle w:val="Heading1"/>
      </w:pPr>
      <w:r>
        <w:rPr>
          <w:b/>
          <w:bCs/>
        </w:rPr>
        <w:t xml:space="preserve">ЦЕНТЪР ЗА СМАРТ ТЕХНОЛОГИИ</w:t>
      </w:r>
    </w:p>
    <w:bookmarkStart w:id="9" w:name="Xad56155da5824b85adb28c7507b0d081335086a"/>
    <w:p>
      <w:pPr>
        <w:pStyle w:val="Heading3"/>
      </w:pPr>
      <w:r>
        <w:rPr>
          <w:b/>
          <w:bCs/>
        </w:rPr>
        <w:t xml:space="preserve">Лаборатория за архитектура и инженеринг на социално-институционални системи</w:t>
      </w:r>
    </w:p>
    <w:bookmarkEnd w:id="9"/>
    <w:bookmarkStart w:id="10" w:name="X9c8e16fce96f07f3bbf52b9deaf41d31a0056a6"/>
    <w:p>
      <w:pPr>
        <w:pStyle w:val="Heading2"/>
      </w:pPr>
      <w:r>
        <w:rPr>
          <w:b/>
          <w:bCs/>
        </w:rPr>
        <w:t xml:space="preserve">КОНЦЕПЦИЯ ЗА ПИЛОТЕН ПРИЛОЖЕН ПРОЕКТ – PROJECT TEASER</w:t>
      </w:r>
    </w:p>
    <w:bookmarkEnd w:id="10"/>
    <w:bookmarkEnd w:id="11"/>
    <w:bookmarkStart w:id="14" w:name="българско-вино-български-туризъм"/>
    <w:p>
      <w:pPr>
        <w:pStyle w:val="Heading1"/>
      </w:pPr>
      <w:r>
        <w:rPr>
          <w:b/>
          <w:bCs/>
        </w:rPr>
        <w:t xml:space="preserve">Българско вино × Български туризъм</w:t>
      </w:r>
    </w:p>
    <w:bookmarkStart w:id="12" w:name="X9c79e5dabffb775f6af86e4250655be797a0353"/>
    <w:p>
      <w:pPr>
        <w:pStyle w:val="Heading2"/>
      </w:pPr>
      <w:r>
        <w:rPr>
          <w:b/>
          <w:bCs/>
        </w:rPr>
        <w:t xml:space="preserve">Системен модел за повишаване на пазарната реализация на българското вино чрез по-ефективна интеграция с туристическата индустрия</w:t>
      </w:r>
    </w:p>
    <w:p>
      <w:r>
        <w:pict>
          <v:rect style="width:0;height:1.5pt" o:hralign="center" o:hrstd="t" o:hr="t"/>
        </w:pict>
      </w:r>
    </w:p>
    <w:bookmarkEnd w:id="12"/>
    <w:bookmarkStart w:id="13" w:name="защо-е-необходим-проектът"/>
    <w:p>
      <w:pPr>
        <w:pStyle w:val="Heading2"/>
      </w:pPr>
      <w:r>
        <w:rPr>
          <w:b/>
          <w:bCs/>
        </w:rPr>
        <w:t xml:space="preserve">1. Защо е необходим проектът</w:t>
      </w:r>
    </w:p>
    <w:p>
      <w:pPr>
        <w:pStyle w:val="FirstParagraph"/>
      </w:pPr>
      <w:r>
        <w:t xml:space="preserve">България разполага едновременно със значителен лозаро-винарски производствен потенциал и с развита туристическа индустрия, която ежегодно създава голям поток от български и чуждестранни потребители на хотелски, ресторантьорски, развлекателни и културни услуги.</w:t>
      </w:r>
    </w:p>
    <w:p>
      <w:pPr>
        <w:pStyle w:val="BodyText"/>
      </w:pPr>
      <w:r>
        <w:t xml:space="preserve">Въпреки тази естествена взаимодопълняемост между двата сектора, туристическият поток не се трансформира достатъчно ефективно в:</w:t>
      </w:r>
    </w:p>
    <w:p>
      <w:pPr>
        <w:pStyle w:val="Compact"/>
        <w:numPr>
          <w:ilvl w:val="0"/>
          <w:numId w:val="1001"/>
        </w:numPr>
      </w:pPr>
      <w:r>
        <w:t xml:space="preserve">увеличени продажби на български вина;</w:t>
      </w:r>
    </w:p>
    <w:p>
      <w:pPr>
        <w:pStyle w:val="Compact"/>
        <w:numPr>
          <w:ilvl w:val="0"/>
          <w:numId w:val="1001"/>
        </w:numPr>
      </w:pPr>
      <w:r>
        <w:t xml:space="preserve">устойчив пазарен дял;</w:t>
      </w:r>
    </w:p>
    <w:p>
      <w:pPr>
        <w:pStyle w:val="Compact"/>
        <w:numPr>
          <w:ilvl w:val="0"/>
          <w:numId w:val="1001"/>
        </w:numPr>
      </w:pPr>
      <w:r>
        <w:t xml:space="preserve">по-висока добавена стойност за лозари, производители и туристически оператори;</w:t>
      </w:r>
    </w:p>
    <w:p>
      <w:pPr>
        <w:pStyle w:val="Compact"/>
        <w:numPr>
          <w:ilvl w:val="0"/>
          <w:numId w:val="1001"/>
        </w:numPr>
      </w:pPr>
      <w:r>
        <w:t xml:space="preserve">разпознаваемост на българските сортове, региони и производители;</w:t>
      </w:r>
    </w:p>
    <w:p>
      <w:pPr>
        <w:pStyle w:val="Compact"/>
        <w:numPr>
          <w:ilvl w:val="0"/>
          <w:numId w:val="1001"/>
        </w:numPr>
      </w:pPr>
      <w:r>
        <w:t xml:space="preserve">развитие на винен, културен и регионален туризъм;</w:t>
      </w:r>
    </w:p>
    <w:p>
      <w:pPr>
        <w:pStyle w:val="Compact"/>
        <w:numPr>
          <w:ilvl w:val="0"/>
          <w:numId w:val="1001"/>
        </w:numPr>
      </w:pPr>
      <w:r>
        <w:t xml:space="preserve">последващо потребление и покупки след приключване на туристическото посещение.</w:t>
      </w:r>
    </w:p>
    <w:p>
      <w:pPr>
        <w:pStyle w:val="FirstParagraph"/>
      </w:pPr>
      <w:r>
        <w:t xml:space="preserve">Проблемът не може да бъде обяснен само с цената на виното, поведението на производителите, политиката на хотелите и ресторантите, вноса или действията на държавата.</w:t>
      </w:r>
    </w:p>
    <w:p>
      <w:pPr>
        <w:pStyle w:val="BodyText"/>
      </w:pPr>
      <w:r>
        <w:t xml:space="preserve">Той представлява</w:t>
      </w:r>
      <w:r>
        <w:t xml:space="preserve"> </w:t>
      </w:r>
      <w:r>
        <w:rPr>
          <w:b/>
          <w:bCs/>
        </w:rPr>
        <w:t xml:space="preserve">системен проблем</w:t>
      </w:r>
      <w:r>
        <w:t xml:space="preserve">, произтичащ от начина, по който функционират и взаимодействат производители, дистрибутори, туристически предприятия, потребители, браншови организации, публична администрация, регулации, финансови инструменти, информационни потоци и икономически стимули.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765034e2279416e938b0cc8e7d4ad69d7e0809b"/>
    <w:p>
      <w:pPr>
        <w:pStyle w:val="Heading1"/>
      </w:pPr>
      <w:r>
        <w:rPr>
          <w:b/>
          <w:bCs/>
        </w:rPr>
        <w:t xml:space="preserve">2. Въпросът, на който проектът трябва да отговори</w:t>
      </w:r>
    </w:p>
    <w:p>
      <w:pPr>
        <w:pStyle w:val="BlockText"/>
      </w:pPr>
      <w:r>
        <w:rPr>
          <w:b/>
          <w:bCs/>
        </w:rPr>
        <w:t xml:space="preserve">Как следва да бъде усъвършенствана или препроектирана съществуващата институционална, регулаторна, икономическа и функционална архитектура, така че българската туристическа индустрия да се превърне в значително по-ефективен канал за конкурентна пазарна реализация, представяне и дългосрочно позициониране на българското вино?</w:t>
      </w:r>
    </w:p>
    <w:p>
      <w:pPr>
        <w:pStyle w:val="FirstParagraph"/>
      </w:pPr>
      <w:r>
        <w:t xml:space="preserve">Целта не е административно привилегироване на определен продукт или ограничаване на законната конкуренция.</w:t>
      </w:r>
    </w:p>
    <w:p>
      <w:pPr>
        <w:pStyle w:val="BodyText"/>
      </w:pPr>
      <w:r>
        <w:t xml:space="preserve">Целта е да се установи</w:t>
      </w:r>
      <w:r>
        <w:t xml:space="preserve"> </w:t>
      </w:r>
      <w:r>
        <w:rPr>
          <w:b/>
          <w:bCs/>
        </w:rPr>
        <w:t xml:space="preserve">какво в съществуващата система пречи на по-ефективната връзка между българското вино и българския туризъм и как тази система може да бъде подобрена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ясно-определен-обхват-scope"/>
    <w:p>
      <w:pPr>
        <w:pStyle w:val="Heading1"/>
      </w:pPr>
      <w:r>
        <w:rPr>
          <w:b/>
          <w:bCs/>
        </w:rPr>
        <w:t xml:space="preserve">3. Ясно определен обхват – Scope</w:t>
      </w:r>
    </w:p>
    <w:p>
      <w:pPr>
        <w:pStyle w:val="FirstParagraph"/>
      </w:pPr>
      <w:r>
        <w:t xml:space="preserve">Пилотният проект</w:t>
      </w:r>
      <w:r>
        <w:t xml:space="preserve"> </w:t>
      </w:r>
      <w:r>
        <w:rPr>
          <w:b/>
          <w:bCs/>
        </w:rPr>
        <w:t xml:space="preserve">няма да представлява цялостна стратегия за реформа на българския лозаро-винарски сектор</w:t>
      </w:r>
      <w:r>
        <w:t xml:space="preserve">.</w:t>
      </w:r>
    </w:p>
    <w:p>
      <w:pPr>
        <w:pStyle w:val="BodyText"/>
      </w:pPr>
      <w:r>
        <w:t xml:space="preserve">Той ще бъде концентриран върху конкретната пазарна верига:</w:t>
      </w:r>
    </w:p>
    <w:p>
      <w:pPr>
        <w:pStyle w:val="BlockText"/>
      </w:pPr>
      <w:r>
        <w:rPr>
          <w:b/>
          <w:bCs/>
        </w:rPr>
        <w:t xml:space="preserve">производител → дистрибуция → туристически бизнес / HoReCa → турист / потребител → покупка → потребителско преживяване → последващо потребление</w:t>
      </w:r>
    </w:p>
    <w:p>
      <w:pPr>
        <w:pStyle w:val="FirstParagraph"/>
      </w:pPr>
      <w:r>
        <w:t xml:space="preserve">и върху институционалната, административната, регулаторната и икономическата среда, която определя функционирането на тази верига.</w:t>
      </w:r>
    </w:p>
    <w:p>
      <w:pPr>
        <w:pStyle w:val="BodyText"/>
      </w:pPr>
      <w:r>
        <w:t xml:space="preserve">Ще бъдат анализирани:</w:t>
      </w:r>
    </w:p>
    <w:p>
      <w:pPr>
        <w:pStyle w:val="Compact"/>
        <w:numPr>
          <w:ilvl w:val="0"/>
          <w:numId w:val="1002"/>
        </w:numPr>
      </w:pPr>
      <w:r>
        <w:t xml:space="preserve">отношенията между производители, дистрибутори и туристически предприятия;</w:t>
      </w:r>
    </w:p>
    <w:p>
      <w:pPr>
        <w:pStyle w:val="Compact"/>
        <w:numPr>
          <w:ilvl w:val="0"/>
          <w:numId w:val="1002"/>
        </w:numPr>
      </w:pPr>
      <w:r>
        <w:t xml:space="preserve">механизмите за избор на доставчици и формиране на асортимент;</w:t>
      </w:r>
    </w:p>
    <w:p>
      <w:pPr>
        <w:pStyle w:val="Compact"/>
        <w:numPr>
          <w:ilvl w:val="0"/>
          <w:numId w:val="1002"/>
        </w:numPr>
      </w:pPr>
      <w:r>
        <w:t xml:space="preserve">винените листи, представянето и препоръчването на продукти;</w:t>
      </w:r>
    </w:p>
    <w:p>
      <w:pPr>
        <w:pStyle w:val="Compact"/>
        <w:numPr>
          <w:ilvl w:val="0"/>
          <w:numId w:val="1002"/>
        </w:numPr>
      </w:pPr>
      <w:r>
        <w:t xml:space="preserve">ценовите и търговските стимули;</w:t>
      </w:r>
    </w:p>
    <w:p>
      <w:pPr>
        <w:pStyle w:val="Compact"/>
        <w:numPr>
          <w:ilvl w:val="0"/>
          <w:numId w:val="1002"/>
        </w:numPr>
      </w:pPr>
      <w:r>
        <w:t xml:space="preserve">логистичните и договорните ограничения;</w:t>
      </w:r>
    </w:p>
    <w:p>
      <w:pPr>
        <w:pStyle w:val="Compact"/>
        <w:numPr>
          <w:ilvl w:val="0"/>
          <w:numId w:val="1002"/>
        </w:numPr>
      </w:pPr>
      <w:r>
        <w:t xml:space="preserve">знанията и мотивацията на персонала;</w:t>
      </w:r>
    </w:p>
    <w:p>
      <w:pPr>
        <w:pStyle w:val="Compact"/>
        <w:numPr>
          <w:ilvl w:val="0"/>
          <w:numId w:val="1002"/>
        </w:numPr>
      </w:pPr>
      <w:r>
        <w:t xml:space="preserve">потребителската информация и поведение;</w:t>
      </w:r>
    </w:p>
    <w:p>
      <w:pPr>
        <w:pStyle w:val="Compact"/>
        <w:numPr>
          <w:ilvl w:val="0"/>
          <w:numId w:val="1002"/>
        </w:numPr>
      </w:pPr>
      <w:r>
        <w:t xml:space="preserve">възможностите за свързване на туристическото преживяване с българско вино;</w:t>
      </w:r>
    </w:p>
    <w:p>
      <w:pPr>
        <w:pStyle w:val="Compact"/>
        <w:numPr>
          <w:ilvl w:val="0"/>
          <w:numId w:val="1002"/>
        </w:numPr>
      </w:pPr>
      <w:r>
        <w:t xml:space="preserve">виненият, кулинарният, културният и регионалният туризъм;</w:t>
      </w:r>
    </w:p>
    <w:p>
      <w:pPr>
        <w:pStyle w:val="Compact"/>
        <w:numPr>
          <w:ilvl w:val="0"/>
          <w:numId w:val="1002"/>
        </w:numPr>
      </w:pPr>
      <w:r>
        <w:t xml:space="preserve">взаимодействието между Министерството на земеделието и храните, Министерството на туризма и другите компетентни органи;</w:t>
      </w:r>
    </w:p>
    <w:p>
      <w:pPr>
        <w:pStyle w:val="Compact"/>
        <w:numPr>
          <w:ilvl w:val="0"/>
          <w:numId w:val="1002"/>
        </w:numPr>
      </w:pPr>
      <w:r>
        <w:t xml:space="preserve">ролята и функционалността на браншовите организации;</w:t>
      </w:r>
    </w:p>
    <w:p>
      <w:pPr>
        <w:pStyle w:val="Compact"/>
        <w:numPr>
          <w:ilvl w:val="0"/>
          <w:numId w:val="1002"/>
        </w:numPr>
      </w:pPr>
      <w:r>
        <w:t xml:space="preserve">съществуващата нормативна, административна и финансова рамка.</w:t>
      </w:r>
    </w:p>
    <w:p>
      <w:pPr>
        <w:pStyle w:val="FirstParagraph"/>
      </w:pPr>
      <w:r>
        <w:t xml:space="preserve">Въпроси извън тази непосредствена функционална система ще бъдат разглеждани</w:t>
      </w:r>
      <w:r>
        <w:t xml:space="preserve"> </w:t>
      </w:r>
      <w:r>
        <w:rPr>
          <w:b/>
          <w:bCs/>
        </w:rPr>
        <w:t xml:space="preserve">само доколкото оказват пряко влияние върху способността на туристическата индустрия да създава пазар за българско вино</w:t>
      </w:r>
      <w:r>
        <w:t xml:space="preserve">.</w:t>
      </w:r>
    </w:p>
    <w:p>
      <w:pPr>
        <w:pStyle w:val="BodyText"/>
      </w:pPr>
      <w:r>
        <w:t xml:space="preserve">Това ограничаване на обхвата е необходимо, за да може първият проект на Центъра да произведе практически изпълним и измерим резултат в разумен срок.</w:t>
      </w:r>
    </w:p>
    <w:p>
      <w:r>
        <w:pict>
          <v:rect style="width:0;height:1.5pt" o:hralign="center" o:hrstd="t" o:hr="t"/>
        </w:pict>
      </w:r>
    </w:p>
    <w:bookmarkEnd w:id="16"/>
    <w:bookmarkStart w:id="18" w:name="защо-методологията-на-центъра-е-различна"/>
    <w:p>
      <w:pPr>
        <w:pStyle w:val="Heading1"/>
      </w:pPr>
      <w:r>
        <w:rPr>
          <w:b/>
          <w:bCs/>
        </w:rPr>
        <w:t xml:space="preserve">4. Защо методологията на Центъра е различна</w:t>
      </w:r>
    </w:p>
    <w:p>
      <w:pPr>
        <w:pStyle w:val="FirstParagraph"/>
      </w:pPr>
      <w:r>
        <w:t xml:space="preserve">Повечето съществуващи анализи разглеждат проблема секторно.</w:t>
      </w:r>
    </w:p>
    <w:p>
      <w:pPr>
        <w:pStyle w:val="BodyText"/>
      </w:pPr>
      <w:r>
        <w:t xml:space="preserve">Земеделието анализира производството.</w:t>
      </w:r>
    </w:p>
    <w:p>
      <w:pPr>
        <w:pStyle w:val="BodyText"/>
      </w:pPr>
      <w:r>
        <w:t xml:space="preserve">Туризмът анализира туристическия продукт.</w:t>
      </w:r>
    </w:p>
    <w:p>
      <w:pPr>
        <w:pStyle w:val="BodyText"/>
      </w:pPr>
      <w:r>
        <w:t xml:space="preserve">Маркетингът анализира рекламата.</w:t>
      </w:r>
    </w:p>
    <w:p>
      <w:pPr>
        <w:pStyle w:val="BodyText"/>
      </w:pPr>
      <w:r>
        <w:t xml:space="preserve">Икономистите анализират цените.</w:t>
      </w:r>
    </w:p>
    <w:p>
      <w:pPr>
        <w:pStyle w:val="BodyText"/>
      </w:pPr>
      <w:r>
        <w:t xml:space="preserve">Администрацията анализира нормативните процедури.</w:t>
      </w:r>
    </w:p>
    <w:p>
      <w:pPr>
        <w:pStyle w:val="BodyText"/>
      </w:pPr>
      <w:r>
        <w:t xml:space="preserve">Бизнесът анализира непосредствените продажби.</w:t>
      </w:r>
    </w:p>
    <w:p>
      <w:pPr>
        <w:pStyle w:val="BodyText"/>
      </w:pPr>
      <w:r>
        <w:t xml:space="preserve">Всеки от тези анализи може да бъде правилен сам по себе си, но</w:t>
      </w:r>
      <w:r>
        <w:t xml:space="preserve"> </w:t>
      </w:r>
      <w:r>
        <w:rPr>
          <w:b/>
          <w:bCs/>
        </w:rPr>
        <w:t xml:space="preserve">оптимизирането на отделен компонент не гарантира оптимално функциониране на цялата система</w:t>
      </w:r>
      <w:r>
        <w:t xml:space="preserve">.</w:t>
      </w:r>
    </w:p>
    <w:p>
      <w:pPr>
        <w:pStyle w:val="BodyText"/>
      </w:pPr>
      <w:r>
        <w:t xml:space="preserve">Центърът за смарт технологии предлага различен подход:</w:t>
      </w:r>
    </w:p>
    <w:bookmarkStart w:id="17" w:name="Xcafcd02c25df803ceff1e64ee73098ccbd4441a"/>
    <w:p>
      <w:pPr>
        <w:pStyle w:val="Heading2"/>
      </w:pPr>
      <w:r>
        <w:rPr>
          <w:b/>
          <w:bCs/>
        </w:rPr>
        <w:t xml:space="preserve">Алгоритмичен системен анализ и инженеринг на социално-институционални системи – ASAESIS</w:t>
      </w:r>
    </w:p>
    <w:p>
      <w:pPr>
        <w:pStyle w:val="FirstParagraph"/>
      </w:pPr>
      <w:r>
        <w:t xml:space="preserve">Изходната постановка е, че разглежданата екосистема представлява</w:t>
      </w:r>
      <w:r>
        <w:t xml:space="preserve"> </w:t>
      </w:r>
      <w:r>
        <w:rPr>
          <w:b/>
          <w:bCs/>
        </w:rPr>
        <w:t xml:space="preserve">създадена от човека, целево ориентирана система</w:t>
      </w:r>
      <w:r>
        <w:t xml:space="preserve">, която функционира чрез множество взаимосвързани формални и неформални алгоритми.</w:t>
      </w:r>
    </w:p>
    <w:p>
      <w:pPr>
        <w:pStyle w:val="BodyText"/>
      </w:pPr>
      <w:r>
        <w:t xml:space="preserve">Например:</w:t>
      </w:r>
    </w:p>
    <w:p>
      <w:pPr>
        <w:pStyle w:val="BlockText"/>
      </w:pPr>
      <w:r>
        <w:t xml:space="preserve">туристически обект определя търговската си концепция → избира доставчик → определя асортимент → формира цена → обучава или не обучава персонала → представя определена информация → служителят препоръчва или не препоръчва продукт → туристът възприема информацията → сравнява цена, произход и качество → взема решение → формира преживяване → евентуално извършва последваща покупка.</w:t>
      </w:r>
    </w:p>
    <w:p>
      <w:pPr>
        <w:pStyle w:val="FirstParagraph"/>
      </w:pPr>
      <w:r>
        <w:t xml:space="preserve">Във всяка такава последователност съществуват:</w:t>
      </w:r>
    </w:p>
    <w:p>
      <w:pPr>
        <w:pStyle w:val="Compact"/>
        <w:numPr>
          <w:ilvl w:val="0"/>
          <w:numId w:val="1003"/>
        </w:numPr>
      </w:pPr>
      <w:r>
        <w:t xml:space="preserve">входни данни;</w:t>
      </w:r>
    </w:p>
    <w:p>
      <w:pPr>
        <w:pStyle w:val="Compact"/>
        <w:numPr>
          <w:ilvl w:val="0"/>
          <w:numId w:val="1003"/>
        </w:numPr>
      </w:pPr>
      <w:r>
        <w:t xml:space="preserve">правила;</w:t>
      </w:r>
    </w:p>
    <w:p>
      <w:pPr>
        <w:pStyle w:val="Compact"/>
        <w:numPr>
          <w:ilvl w:val="0"/>
          <w:numId w:val="1003"/>
        </w:numPr>
      </w:pPr>
      <w:r>
        <w:t xml:space="preserve">участници;</w:t>
      </w:r>
    </w:p>
    <w:p>
      <w:pPr>
        <w:pStyle w:val="Compact"/>
        <w:numPr>
          <w:ilvl w:val="0"/>
          <w:numId w:val="1003"/>
        </w:numPr>
      </w:pPr>
      <w:r>
        <w:t xml:space="preserve">компетентности;</w:t>
      </w:r>
    </w:p>
    <w:p>
      <w:pPr>
        <w:pStyle w:val="Compact"/>
        <w:numPr>
          <w:ilvl w:val="0"/>
          <w:numId w:val="1003"/>
        </w:numPr>
      </w:pPr>
      <w:r>
        <w:t xml:space="preserve">стимули;</w:t>
      </w:r>
    </w:p>
    <w:p>
      <w:pPr>
        <w:pStyle w:val="Compact"/>
        <w:numPr>
          <w:ilvl w:val="0"/>
          <w:numId w:val="1003"/>
        </w:numPr>
      </w:pPr>
      <w:r>
        <w:t xml:space="preserve">ограничения;</w:t>
      </w:r>
    </w:p>
    <w:p>
      <w:pPr>
        <w:pStyle w:val="Compact"/>
        <w:numPr>
          <w:ilvl w:val="0"/>
          <w:numId w:val="1003"/>
        </w:numPr>
      </w:pPr>
      <w:r>
        <w:t xml:space="preserve">точки на решение;</w:t>
      </w:r>
    </w:p>
    <w:p>
      <w:pPr>
        <w:pStyle w:val="Compact"/>
        <w:numPr>
          <w:ilvl w:val="0"/>
          <w:numId w:val="1003"/>
        </w:numPr>
      </w:pPr>
      <w:r>
        <w:t xml:space="preserve">резултати;</w:t>
      </w:r>
    </w:p>
    <w:p>
      <w:pPr>
        <w:pStyle w:val="Compact"/>
        <w:numPr>
          <w:ilvl w:val="0"/>
          <w:numId w:val="1003"/>
        </w:numPr>
      </w:pPr>
      <w:r>
        <w:t xml:space="preserve">механизми за обратна връзка.</w:t>
      </w:r>
    </w:p>
    <w:p>
      <w:pPr>
        <w:pStyle w:val="FirstParagraph"/>
      </w:pPr>
      <w:r>
        <w:t xml:space="preserve">Следователно системата може да бъде</w:t>
      </w:r>
      <w:r>
        <w:t xml:space="preserve"> </w:t>
      </w:r>
      <w:r>
        <w:rPr>
          <w:b/>
          <w:bCs/>
        </w:rPr>
        <w:t xml:space="preserve">картографирана, измервана, тествана и препроектирана</w:t>
      </w:r>
      <w:r>
        <w:t xml:space="preserve"> </w:t>
      </w:r>
      <w:r>
        <w:t xml:space="preserve">по аналогия със сложна инженерна система.</w:t>
      </w:r>
    </w:p>
    <w:p>
      <w:pPr>
        <w:pStyle w:val="BodyText"/>
      </w:pPr>
      <w:r>
        <w:t xml:space="preserve">Основният въпрос не е просто:</w:t>
      </w:r>
    </w:p>
    <w:p>
      <w:pPr>
        <w:pStyle w:val="BlockText"/>
      </w:pPr>
      <w:r>
        <w:t xml:space="preserve">„Какво още може да се направи?“</w:t>
      </w:r>
    </w:p>
    <w:p>
      <w:pPr>
        <w:pStyle w:val="FirstParagraph"/>
      </w:pPr>
      <w:r>
        <w:t xml:space="preserve">а:</w:t>
      </w:r>
    </w:p>
    <w:p>
      <w:pPr>
        <w:pStyle w:val="BlockText"/>
      </w:pPr>
      <w:r>
        <w:rPr>
          <w:b/>
          <w:bCs/>
        </w:rPr>
        <w:t xml:space="preserve">„В коя част от действащия алгоритъм системата престава да произвежда желания резултат и как трябва да бъде променена архитектурата ѝ?“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метод-на-работа"/>
    <w:p>
      <w:pPr>
        <w:pStyle w:val="Heading1"/>
      </w:pPr>
      <w:r>
        <w:rPr>
          <w:b/>
          <w:bCs/>
        </w:rPr>
        <w:t xml:space="preserve">5. Метод на работа</w:t>
      </w:r>
    </w:p>
    <w:bookmarkStart w:id="19" w:name="етап-1-определяне-на-целите"/>
    <w:p>
      <w:pPr>
        <w:pStyle w:val="Heading2"/>
      </w:pPr>
      <w:r>
        <w:rPr>
          <w:b/>
          <w:bCs/>
        </w:rPr>
        <w:t xml:space="preserve">Етап 1 – Определяне на целите</w:t>
      </w:r>
    </w:p>
    <w:p>
      <w:pPr>
        <w:pStyle w:val="FirstParagraph"/>
      </w:pPr>
      <w:r>
        <w:t xml:space="preserve">Ще бъдат формулирани измерими системни цели, например:</w:t>
      </w:r>
    </w:p>
    <w:p>
      <w:pPr>
        <w:pStyle w:val="Compact"/>
        <w:numPr>
          <w:ilvl w:val="0"/>
          <w:numId w:val="1004"/>
        </w:numPr>
      </w:pPr>
      <w:r>
        <w:t xml:space="preserve">увеличаване на дела на българското вино в туристическото потребление;</w:t>
      </w:r>
    </w:p>
    <w:p>
      <w:pPr>
        <w:pStyle w:val="Compact"/>
        <w:numPr>
          <w:ilvl w:val="0"/>
          <w:numId w:val="1004"/>
        </w:numPr>
      </w:pPr>
      <w:r>
        <w:t xml:space="preserve">увеличаване на стойността на продажбите;</w:t>
      </w:r>
    </w:p>
    <w:p>
      <w:pPr>
        <w:pStyle w:val="Compact"/>
        <w:numPr>
          <w:ilvl w:val="0"/>
          <w:numId w:val="1004"/>
        </w:numPr>
      </w:pPr>
      <w:r>
        <w:t xml:space="preserve">увеличаване на добавената стойност;</w:t>
      </w:r>
    </w:p>
    <w:p>
      <w:pPr>
        <w:pStyle w:val="Compact"/>
        <w:numPr>
          <w:ilvl w:val="0"/>
          <w:numId w:val="1004"/>
        </w:numPr>
      </w:pPr>
      <w:r>
        <w:t xml:space="preserve">по-добро представяне на местни сортове и винени региони;</w:t>
      </w:r>
    </w:p>
    <w:p>
      <w:pPr>
        <w:pStyle w:val="Compact"/>
        <w:numPr>
          <w:ilvl w:val="0"/>
          <w:numId w:val="1004"/>
        </w:numPr>
      </w:pPr>
      <w:r>
        <w:t xml:space="preserve">увеличаване на последващите покупки;</w:t>
      </w:r>
    </w:p>
    <w:p>
      <w:pPr>
        <w:pStyle w:val="Compact"/>
        <w:numPr>
          <w:ilvl w:val="0"/>
          <w:numId w:val="1004"/>
        </w:numPr>
      </w:pPr>
      <w:r>
        <w:t xml:space="preserve">развитие на винения и гастрономическия туризъм.</w:t>
      </w:r>
    </w:p>
    <w:p>
      <w:r>
        <w:pict>
          <v:rect style="width:0;height:1.5pt" o:hralign="center" o:hrstd="t" o:hr="t"/>
        </w:pict>
      </w:r>
    </w:p>
    <w:bookmarkEnd w:id="19"/>
    <w:bookmarkStart w:id="20" w:name="X0c2cb9813210255daf5dc801b004ba87aed6fef"/>
    <w:p>
      <w:pPr>
        <w:pStyle w:val="Heading2"/>
      </w:pPr>
      <w:r>
        <w:rPr>
          <w:b/>
          <w:bCs/>
        </w:rPr>
        <w:t xml:space="preserve">Етап 2 – Картографиране на съществуващата архитектура</w:t>
      </w:r>
    </w:p>
    <w:p>
      <w:pPr>
        <w:pStyle w:val="FirstParagraph"/>
      </w:pPr>
      <w:r>
        <w:t xml:space="preserve">Ще бъдат анализирани:</w:t>
      </w:r>
    </w:p>
    <w:p>
      <w:pPr>
        <w:pStyle w:val="Compact"/>
        <w:numPr>
          <w:ilvl w:val="0"/>
          <w:numId w:val="1005"/>
        </w:numPr>
      </w:pPr>
      <w:r>
        <w:t xml:space="preserve">институциите;</w:t>
      </w:r>
    </w:p>
    <w:p>
      <w:pPr>
        <w:pStyle w:val="Compact"/>
        <w:numPr>
          <w:ilvl w:val="0"/>
          <w:numId w:val="1005"/>
        </w:numPr>
      </w:pPr>
      <w:r>
        <w:t xml:space="preserve">нормативните компетентности;</w:t>
      </w:r>
    </w:p>
    <w:p>
      <w:pPr>
        <w:pStyle w:val="Compact"/>
        <w:numPr>
          <w:ilvl w:val="0"/>
          <w:numId w:val="1005"/>
        </w:numPr>
      </w:pPr>
      <w:r>
        <w:t xml:space="preserve">бизнес участниците;</w:t>
      </w:r>
    </w:p>
    <w:p>
      <w:pPr>
        <w:pStyle w:val="Compact"/>
        <w:numPr>
          <w:ilvl w:val="0"/>
          <w:numId w:val="1005"/>
        </w:numPr>
      </w:pPr>
      <w:r>
        <w:t xml:space="preserve">договорните отношения;</w:t>
      </w:r>
    </w:p>
    <w:p>
      <w:pPr>
        <w:pStyle w:val="Compact"/>
        <w:numPr>
          <w:ilvl w:val="0"/>
          <w:numId w:val="1005"/>
        </w:numPr>
      </w:pPr>
      <w:r>
        <w:t xml:space="preserve">информационните потоци;</w:t>
      </w:r>
    </w:p>
    <w:p>
      <w:pPr>
        <w:pStyle w:val="Compact"/>
        <w:numPr>
          <w:ilvl w:val="0"/>
          <w:numId w:val="1005"/>
        </w:numPr>
      </w:pPr>
      <w:r>
        <w:t xml:space="preserve">механизмите за снабдяване;</w:t>
      </w:r>
    </w:p>
    <w:p>
      <w:pPr>
        <w:pStyle w:val="Compact"/>
        <w:numPr>
          <w:ilvl w:val="0"/>
          <w:numId w:val="1005"/>
        </w:numPr>
      </w:pPr>
      <w:r>
        <w:t xml:space="preserve">формирането на асортимент;</w:t>
      </w:r>
    </w:p>
    <w:p>
      <w:pPr>
        <w:pStyle w:val="Compact"/>
        <w:numPr>
          <w:ilvl w:val="0"/>
          <w:numId w:val="1005"/>
        </w:numPr>
      </w:pPr>
      <w:r>
        <w:t xml:space="preserve">ценообразуването;</w:t>
      </w:r>
    </w:p>
    <w:p>
      <w:pPr>
        <w:pStyle w:val="Compact"/>
        <w:numPr>
          <w:ilvl w:val="0"/>
          <w:numId w:val="1005"/>
        </w:numPr>
      </w:pPr>
      <w:r>
        <w:t xml:space="preserve">икономическите стимули;</w:t>
      </w:r>
    </w:p>
    <w:p>
      <w:pPr>
        <w:pStyle w:val="Compact"/>
        <w:numPr>
          <w:ilvl w:val="0"/>
          <w:numId w:val="1005"/>
        </w:numPr>
      </w:pPr>
      <w:r>
        <w:t xml:space="preserve">административните процедури;</w:t>
      </w:r>
    </w:p>
    <w:p>
      <w:pPr>
        <w:pStyle w:val="Compact"/>
        <w:numPr>
          <w:ilvl w:val="0"/>
          <w:numId w:val="1005"/>
        </w:numPr>
      </w:pPr>
      <w:r>
        <w:t xml:space="preserve">потребителските решения.</w:t>
      </w:r>
    </w:p>
    <w:p>
      <w:r>
        <w:pict>
          <v:rect style="width:0;height:1.5pt" o:hralign="center" o:hrstd="t" o:hr="t"/>
        </w:pict>
      </w:r>
    </w:p>
    <w:bookmarkEnd w:id="20"/>
    <w:bookmarkStart w:id="21" w:name="Xe6ded70999a8ee06b5967abbef4bae7a9a14f43"/>
    <w:p>
      <w:pPr>
        <w:pStyle w:val="Heading2"/>
      </w:pPr>
      <w:r>
        <w:rPr>
          <w:b/>
          <w:bCs/>
        </w:rPr>
        <w:t xml:space="preserve">Етап 3 – Реконструкция на действащите алгоритми</w:t>
      </w:r>
    </w:p>
    <w:p>
      <w:pPr>
        <w:pStyle w:val="FirstParagraph"/>
      </w:pPr>
      <w:r>
        <w:t xml:space="preserve">Ще бъдат проследени реалните последователности, чрез които системата превръща наличните ресурси в краен пазарен резултат.</w:t>
      </w:r>
    </w:p>
    <w:p>
      <w:pPr>
        <w:pStyle w:val="BodyText"/>
      </w:pPr>
      <w:r>
        <w:t xml:space="preserve">Това ще позволи да бъдат установени:</w:t>
      </w:r>
    </w:p>
    <w:p>
      <w:pPr>
        <w:pStyle w:val="Compact"/>
        <w:numPr>
          <w:ilvl w:val="0"/>
          <w:numId w:val="1006"/>
        </w:numPr>
      </w:pPr>
      <w:r>
        <w:t xml:space="preserve">прекъснати функционални връзки;</w:t>
      </w:r>
    </w:p>
    <w:p>
      <w:pPr>
        <w:pStyle w:val="Compact"/>
        <w:numPr>
          <w:ilvl w:val="0"/>
          <w:numId w:val="1006"/>
        </w:numPr>
      </w:pPr>
      <w:r>
        <w:t xml:space="preserve">ненужно сложни процедури;</w:t>
      </w:r>
    </w:p>
    <w:p>
      <w:pPr>
        <w:pStyle w:val="Compact"/>
        <w:numPr>
          <w:ilvl w:val="0"/>
          <w:numId w:val="1006"/>
        </w:numPr>
      </w:pPr>
      <w:r>
        <w:t xml:space="preserve">дублиращи се компетентности;</w:t>
      </w:r>
    </w:p>
    <w:p>
      <w:pPr>
        <w:pStyle w:val="Compact"/>
        <w:numPr>
          <w:ilvl w:val="0"/>
          <w:numId w:val="1006"/>
        </w:numPr>
      </w:pPr>
      <w:r>
        <w:t xml:space="preserve">липсващи функции;</w:t>
      </w:r>
    </w:p>
    <w:p>
      <w:pPr>
        <w:pStyle w:val="Compact"/>
        <w:numPr>
          <w:ilvl w:val="0"/>
          <w:numId w:val="1006"/>
        </w:numPr>
      </w:pPr>
      <w:r>
        <w:t xml:space="preserve">противоречиви стимули;</w:t>
      </w:r>
    </w:p>
    <w:p>
      <w:pPr>
        <w:pStyle w:val="Compact"/>
        <w:numPr>
          <w:ilvl w:val="0"/>
          <w:numId w:val="1006"/>
        </w:numPr>
      </w:pPr>
      <w:r>
        <w:t xml:space="preserve">информационни дефицити;</w:t>
      </w:r>
    </w:p>
    <w:p>
      <w:pPr>
        <w:pStyle w:val="Compact"/>
        <w:numPr>
          <w:ilvl w:val="0"/>
          <w:numId w:val="1006"/>
        </w:numPr>
      </w:pPr>
      <w:r>
        <w:t xml:space="preserve">административни и пазарни тесни места.</w:t>
      </w:r>
    </w:p>
    <w:p>
      <w:r>
        <w:pict>
          <v:rect style="width:0;height:1.5pt" o:hralign="center" o:hrstd="t" o:hr="t"/>
        </w:pict>
      </w:r>
    </w:p>
    <w:bookmarkEnd w:id="21"/>
    <w:bookmarkStart w:id="22" w:name="етап-4-измерване-и-диагностика"/>
    <w:p>
      <w:pPr>
        <w:pStyle w:val="Heading2"/>
      </w:pPr>
      <w:r>
        <w:rPr>
          <w:b/>
          <w:bCs/>
        </w:rPr>
        <w:t xml:space="preserve">Етап 4 – Измерване и диагностика</w:t>
      </w:r>
    </w:p>
    <w:p>
      <w:pPr>
        <w:pStyle w:val="FirstParagraph"/>
      </w:pPr>
      <w:r>
        <w:t xml:space="preserve">Системата ще бъде оценявана по показатели за:</w:t>
      </w:r>
    </w:p>
    <w:p>
      <w:pPr>
        <w:pStyle w:val="Compact"/>
        <w:numPr>
          <w:ilvl w:val="0"/>
          <w:numId w:val="1007"/>
        </w:numPr>
      </w:pPr>
      <w:r>
        <w:t xml:space="preserve">ефективност;</w:t>
      </w:r>
    </w:p>
    <w:p>
      <w:pPr>
        <w:pStyle w:val="Compact"/>
        <w:numPr>
          <w:ilvl w:val="0"/>
          <w:numId w:val="1007"/>
        </w:numPr>
      </w:pPr>
      <w:r>
        <w:t xml:space="preserve">ефикасност;</w:t>
      </w:r>
    </w:p>
    <w:p>
      <w:pPr>
        <w:pStyle w:val="Compact"/>
        <w:numPr>
          <w:ilvl w:val="0"/>
          <w:numId w:val="1007"/>
        </w:numPr>
      </w:pPr>
      <w:r>
        <w:t xml:space="preserve">разход;</w:t>
      </w:r>
    </w:p>
    <w:p>
      <w:pPr>
        <w:pStyle w:val="Compact"/>
        <w:numPr>
          <w:ilvl w:val="0"/>
          <w:numId w:val="1007"/>
        </w:numPr>
      </w:pPr>
      <w:r>
        <w:t xml:space="preserve">скорост;</w:t>
      </w:r>
    </w:p>
    <w:p>
      <w:pPr>
        <w:pStyle w:val="Compact"/>
        <w:numPr>
          <w:ilvl w:val="0"/>
          <w:numId w:val="1007"/>
        </w:numPr>
      </w:pPr>
      <w:r>
        <w:t xml:space="preserve">пазарен резултат;</w:t>
      </w:r>
    </w:p>
    <w:p>
      <w:pPr>
        <w:pStyle w:val="Compact"/>
        <w:numPr>
          <w:ilvl w:val="0"/>
          <w:numId w:val="1007"/>
        </w:numPr>
      </w:pPr>
      <w:r>
        <w:t xml:space="preserve">добавена стойност;</w:t>
      </w:r>
    </w:p>
    <w:p>
      <w:pPr>
        <w:pStyle w:val="Compact"/>
        <w:numPr>
          <w:ilvl w:val="0"/>
          <w:numId w:val="1007"/>
        </w:numPr>
      </w:pPr>
      <w:r>
        <w:t xml:space="preserve">надеждност;</w:t>
      </w:r>
    </w:p>
    <w:p>
      <w:pPr>
        <w:pStyle w:val="Compact"/>
        <w:numPr>
          <w:ilvl w:val="0"/>
          <w:numId w:val="1007"/>
        </w:numPr>
      </w:pPr>
      <w:r>
        <w:t xml:space="preserve">адаптивност;</w:t>
      </w:r>
    </w:p>
    <w:p>
      <w:pPr>
        <w:pStyle w:val="Compact"/>
        <w:numPr>
          <w:ilvl w:val="0"/>
          <w:numId w:val="1007"/>
        </w:numPr>
      </w:pPr>
      <w:r>
        <w:t xml:space="preserve">административна тежест;</w:t>
      </w:r>
    </w:p>
    <w:p>
      <w:pPr>
        <w:pStyle w:val="Compact"/>
        <w:numPr>
          <w:ilvl w:val="0"/>
          <w:numId w:val="1007"/>
        </w:numPr>
      </w:pPr>
      <w:r>
        <w:t xml:space="preserve">качество на координацията;</w:t>
      </w:r>
    </w:p>
    <w:p>
      <w:pPr>
        <w:pStyle w:val="Compact"/>
        <w:numPr>
          <w:ilvl w:val="0"/>
          <w:numId w:val="1007"/>
        </w:numPr>
      </w:pPr>
      <w:r>
        <w:t xml:space="preserve">потребителски резултат.</w:t>
      </w:r>
    </w:p>
    <w:p>
      <w:r>
        <w:pict>
          <v:rect style="width:0;height:1.5pt" o:hralign="center" o:hrstd="t" o:hr="t"/>
        </w:pict>
      </w:r>
    </w:p>
    <w:bookmarkEnd w:id="22"/>
    <w:bookmarkStart w:id="23" w:name="Xb8944ec301e82968fbbff57a82abdc408c9c571"/>
    <w:p>
      <w:pPr>
        <w:pStyle w:val="Heading2"/>
      </w:pPr>
      <w:r>
        <w:rPr>
          <w:b/>
          <w:bCs/>
        </w:rPr>
        <w:t xml:space="preserve">Етап 5 – Анализ на институционални и регулаторни дефекти</w:t>
      </w:r>
    </w:p>
    <w:p>
      <w:pPr>
        <w:pStyle w:val="FirstParagraph"/>
      </w:pPr>
      <w:r>
        <w:t xml:space="preserve">Проектът няма предварително да приема, че съществуващата институционална и нормативна рамка е оптимална.</w:t>
      </w:r>
    </w:p>
    <w:p>
      <w:pPr>
        <w:pStyle w:val="BodyText"/>
      </w:pPr>
      <w:r>
        <w:t xml:space="preserve">Ще бъде анализирано дали натрупването във времето на:</w:t>
      </w:r>
    </w:p>
    <w:p>
      <w:pPr>
        <w:pStyle w:val="Compact"/>
        <w:numPr>
          <w:ilvl w:val="0"/>
          <w:numId w:val="1008"/>
        </w:numPr>
      </w:pPr>
      <w:r>
        <w:t xml:space="preserve">нормативни актове;</w:t>
      </w:r>
    </w:p>
    <w:p>
      <w:pPr>
        <w:pStyle w:val="Compact"/>
        <w:numPr>
          <w:ilvl w:val="0"/>
          <w:numId w:val="1008"/>
        </w:numPr>
      </w:pPr>
      <w:r>
        <w:t xml:space="preserve">административни процедури;</w:t>
      </w:r>
    </w:p>
    <w:p>
      <w:pPr>
        <w:pStyle w:val="Compact"/>
        <w:numPr>
          <w:ilvl w:val="0"/>
          <w:numId w:val="1008"/>
        </w:numPr>
      </w:pPr>
      <w:r>
        <w:t xml:space="preserve">разпокъсани компетентности;</w:t>
      </w:r>
    </w:p>
    <w:p>
      <w:pPr>
        <w:pStyle w:val="Compact"/>
        <w:numPr>
          <w:ilvl w:val="0"/>
          <w:numId w:val="1008"/>
        </w:numPr>
      </w:pPr>
      <w:r>
        <w:t xml:space="preserve">несъгласувани политики;</w:t>
      </w:r>
    </w:p>
    <w:p>
      <w:pPr>
        <w:pStyle w:val="Compact"/>
        <w:numPr>
          <w:ilvl w:val="0"/>
          <w:numId w:val="1008"/>
        </w:numPr>
      </w:pPr>
      <w:r>
        <w:t xml:space="preserve">отчетни изисквания;</w:t>
      </w:r>
    </w:p>
    <w:p>
      <w:pPr>
        <w:pStyle w:val="Compact"/>
        <w:numPr>
          <w:ilvl w:val="0"/>
          <w:numId w:val="1008"/>
        </w:numPr>
      </w:pPr>
      <w:r>
        <w:t xml:space="preserve">различни режими на подпомагане;</w:t>
      </w:r>
    </w:p>
    <w:p>
      <w:pPr>
        <w:pStyle w:val="Compact"/>
        <w:numPr>
          <w:ilvl w:val="0"/>
          <w:numId w:val="1008"/>
        </w:numPr>
      </w:pPr>
      <w:r>
        <w:t xml:space="preserve">несвързани информационни системи</w:t>
      </w:r>
    </w:p>
    <w:p>
      <w:pPr>
        <w:pStyle w:val="FirstParagraph"/>
      </w:pPr>
      <w:r>
        <w:t xml:space="preserve">не е довело до</w:t>
      </w:r>
      <w:r>
        <w:t xml:space="preserve"> </w:t>
      </w:r>
      <w:r>
        <w:rPr>
          <w:b/>
          <w:bCs/>
        </w:rPr>
        <w:t xml:space="preserve">еклектична архитектура, административна тромавост, дублиране на функции или неефективно използване на наличните публични и частни ресурси</w:t>
      </w:r>
      <w:r>
        <w:t xml:space="preserve">.</w:t>
      </w:r>
    </w:p>
    <w:p>
      <w:pPr>
        <w:pStyle w:val="BodyText"/>
      </w:pPr>
      <w:r>
        <w:t xml:space="preserve">Когато анализът го обосновава, препоръките могат да включват:</w:t>
      </w:r>
    </w:p>
    <w:p>
      <w:pPr>
        <w:pStyle w:val="Compact"/>
        <w:numPr>
          <w:ilvl w:val="0"/>
          <w:numId w:val="1009"/>
        </w:numPr>
      </w:pPr>
      <w:r>
        <w:t xml:space="preserve">законодателни изменения;</w:t>
      </w:r>
    </w:p>
    <w:p>
      <w:pPr>
        <w:pStyle w:val="Compact"/>
        <w:numPr>
          <w:ilvl w:val="0"/>
          <w:numId w:val="1009"/>
        </w:numPr>
      </w:pPr>
      <w:r>
        <w:t xml:space="preserve">промени в подзаконовата нормативна уредба;</w:t>
      </w:r>
    </w:p>
    <w:p>
      <w:pPr>
        <w:pStyle w:val="Compact"/>
        <w:numPr>
          <w:ilvl w:val="0"/>
          <w:numId w:val="1009"/>
        </w:numPr>
      </w:pPr>
      <w:r>
        <w:t xml:space="preserve">премахване или опростяване на административни процедури;</w:t>
      </w:r>
    </w:p>
    <w:p>
      <w:pPr>
        <w:pStyle w:val="Compact"/>
        <w:numPr>
          <w:ilvl w:val="0"/>
          <w:numId w:val="1009"/>
        </w:numPr>
      </w:pPr>
      <w:r>
        <w:t xml:space="preserve">преразпределяне или координиране на институционални компетентности;</w:t>
      </w:r>
    </w:p>
    <w:p>
      <w:pPr>
        <w:pStyle w:val="Compact"/>
        <w:numPr>
          <w:ilvl w:val="0"/>
          <w:numId w:val="1009"/>
        </w:numPr>
      </w:pPr>
      <w:r>
        <w:t xml:space="preserve">нови механизми за междуведомствено взаимодействие;</w:t>
      </w:r>
    </w:p>
    <w:p>
      <w:pPr>
        <w:pStyle w:val="Compact"/>
        <w:numPr>
          <w:ilvl w:val="0"/>
          <w:numId w:val="1009"/>
        </w:numPr>
      </w:pPr>
      <w:r>
        <w:t xml:space="preserve">промени в съществуващи програми и финансови инструменти;</w:t>
      </w:r>
    </w:p>
    <w:p>
      <w:pPr>
        <w:pStyle w:val="Compact"/>
        <w:numPr>
          <w:ilvl w:val="0"/>
          <w:numId w:val="1009"/>
        </w:numPr>
      </w:pPr>
      <w:r>
        <w:t xml:space="preserve">нови механизми за събиране и обмен на данни.</w:t>
      </w:r>
    </w:p>
    <w:p>
      <w:pPr>
        <w:pStyle w:val="FirstParagraph"/>
      </w:pPr>
      <w:r>
        <w:t xml:space="preserve">Всяка подобна препоръка следва впоследствие да бъде проверена за съответствие с правото на ЕС, конкуренцията, държавните помощи, принципите на пропорционалност и свободната пазарна икономика.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проектиране-на-нова-архитектура"/>
    <w:p>
      <w:pPr>
        <w:pStyle w:val="Heading1"/>
      </w:pPr>
      <w:r>
        <w:rPr>
          <w:b/>
          <w:bCs/>
        </w:rPr>
        <w:t xml:space="preserve">6. Проектиране на нова архитектура</w:t>
      </w:r>
    </w:p>
    <w:p>
      <w:pPr>
        <w:pStyle w:val="FirstParagraph"/>
      </w:pPr>
      <w:r>
        <w:t xml:space="preserve">Резултатът от анализа ще бъде използван за създаване на</w:t>
      </w:r>
      <w:r>
        <w:t xml:space="preserve"> </w:t>
      </w:r>
      <w:r>
        <w:rPr>
          <w:b/>
          <w:bCs/>
        </w:rPr>
        <w:t xml:space="preserve">Target System Architecture</w:t>
      </w:r>
      <w:r>
        <w:t xml:space="preserve"> </w:t>
      </w:r>
      <w:r>
        <w:t xml:space="preserve">– модел на по-ефективно взаимодействие между:</w:t>
      </w:r>
    </w:p>
    <w:p>
      <w:pPr>
        <w:pStyle w:val="BlockText"/>
      </w:pPr>
      <w:r>
        <w:rPr>
          <w:b/>
          <w:bCs/>
        </w:rPr>
        <w:t xml:space="preserve">публична власт ↔ производители ↔ браншови организации ↔ дистрибуция ↔ туристически бизнес ↔ потребител</w:t>
      </w:r>
    </w:p>
    <w:p>
      <w:pPr>
        <w:pStyle w:val="FirstParagraph"/>
      </w:pPr>
      <w:r>
        <w:t xml:space="preserve">Моделът може да съдържа комбинация от:</w:t>
      </w:r>
    </w:p>
    <w:p>
      <w:pPr>
        <w:pStyle w:val="Compact"/>
        <w:numPr>
          <w:ilvl w:val="0"/>
          <w:numId w:val="1010"/>
        </w:numPr>
      </w:pPr>
      <w:r>
        <w:t xml:space="preserve">институционални промени;</w:t>
      </w:r>
    </w:p>
    <w:p>
      <w:pPr>
        <w:pStyle w:val="Compact"/>
        <w:numPr>
          <w:ilvl w:val="0"/>
          <w:numId w:val="1010"/>
        </w:numPr>
      </w:pPr>
      <w:r>
        <w:t xml:space="preserve">нормативни промени;</w:t>
      </w:r>
    </w:p>
    <w:p>
      <w:pPr>
        <w:pStyle w:val="Compact"/>
        <w:numPr>
          <w:ilvl w:val="0"/>
          <w:numId w:val="1010"/>
        </w:numPr>
      </w:pPr>
      <w:r>
        <w:t xml:space="preserve">административно опростяване;</w:t>
      </w:r>
    </w:p>
    <w:p>
      <w:pPr>
        <w:pStyle w:val="Compact"/>
        <w:numPr>
          <w:ilvl w:val="0"/>
          <w:numId w:val="1010"/>
        </w:numPr>
      </w:pPr>
      <w:r>
        <w:t xml:space="preserve">икономически стимули;</w:t>
      </w:r>
    </w:p>
    <w:p>
      <w:pPr>
        <w:pStyle w:val="Compact"/>
        <w:numPr>
          <w:ilvl w:val="0"/>
          <w:numId w:val="1010"/>
        </w:numPr>
      </w:pPr>
      <w:r>
        <w:t xml:space="preserve">доброволни индустриални стандарти;</w:t>
      </w:r>
    </w:p>
    <w:p>
      <w:pPr>
        <w:pStyle w:val="Compact"/>
        <w:numPr>
          <w:ilvl w:val="0"/>
          <w:numId w:val="1010"/>
        </w:numPr>
      </w:pPr>
      <w:r>
        <w:t xml:space="preserve">нови договорни и дистрибуционни модели;</w:t>
      </w:r>
    </w:p>
    <w:p>
      <w:pPr>
        <w:pStyle w:val="Compact"/>
        <w:numPr>
          <w:ilvl w:val="0"/>
          <w:numId w:val="1010"/>
        </w:numPr>
      </w:pPr>
      <w:r>
        <w:t xml:space="preserve">информационни решения;</w:t>
      </w:r>
    </w:p>
    <w:p>
      <w:pPr>
        <w:pStyle w:val="Compact"/>
        <w:numPr>
          <w:ilvl w:val="0"/>
          <w:numId w:val="1010"/>
        </w:numPr>
      </w:pPr>
      <w:r>
        <w:t xml:space="preserve">обучение;</w:t>
      </w:r>
    </w:p>
    <w:p>
      <w:pPr>
        <w:pStyle w:val="Compact"/>
        <w:numPr>
          <w:ilvl w:val="0"/>
          <w:numId w:val="1010"/>
        </w:numPr>
      </w:pPr>
      <w:r>
        <w:t xml:space="preserve">маркетингови механизми;</w:t>
      </w:r>
    </w:p>
    <w:p>
      <w:pPr>
        <w:pStyle w:val="Compact"/>
        <w:numPr>
          <w:ilvl w:val="0"/>
          <w:numId w:val="1010"/>
        </w:numPr>
      </w:pPr>
      <w:r>
        <w:t xml:space="preserve">поведенчески интервенции;</w:t>
      </w:r>
    </w:p>
    <w:p>
      <w:pPr>
        <w:pStyle w:val="Compact"/>
        <w:numPr>
          <w:ilvl w:val="0"/>
          <w:numId w:val="1010"/>
        </w:numPr>
      </w:pPr>
      <w:r>
        <w:t xml:space="preserve">цифрови инструменти;</w:t>
      </w:r>
    </w:p>
    <w:p>
      <w:pPr>
        <w:pStyle w:val="Compact"/>
        <w:numPr>
          <w:ilvl w:val="0"/>
          <w:numId w:val="1010"/>
        </w:numPr>
      </w:pPr>
      <w:r>
        <w:t xml:space="preserve">механизми за координация между земеделие и туризъм.</w:t>
      </w:r>
    </w:p>
    <w:p>
      <w:pPr>
        <w:pStyle w:val="FirstParagraph"/>
      </w:pPr>
      <w:r>
        <w:rPr>
          <w:b/>
          <w:bCs/>
        </w:rPr>
        <w:t xml:space="preserve">Конкретните решения няма да бъдат предпоставяни предварително.</w:t>
      </w:r>
      <w:r>
        <w:t xml:space="preserve"> </w:t>
      </w:r>
      <w:r>
        <w:t xml:space="preserve">Те трябва да произтичат от системния анализ и доказателствата.</w:t>
      </w:r>
    </w:p>
    <w:p>
      <w:r>
        <w:pict>
          <v:rect style="width:0;height:1.5pt" o:hralign="center" o:hrstd="t" o:hr="t"/>
        </w:pict>
      </w:r>
    </w:p>
    <w:bookmarkEnd w:id="25"/>
    <w:bookmarkStart w:id="34" w:name="какво-ще-получи-възложителят"/>
    <w:p>
      <w:pPr>
        <w:pStyle w:val="Heading1"/>
      </w:pPr>
      <w:r>
        <w:rPr>
          <w:b/>
          <w:bCs/>
        </w:rPr>
        <w:t xml:space="preserve">7. Какво ще получи възложителят</w:t>
      </w:r>
    </w:p>
    <w:p>
      <w:pPr>
        <w:pStyle w:val="FirstParagraph"/>
      </w:pPr>
      <w:r>
        <w:t xml:space="preserve">Крайният продукт няма да бъде само аналитичен доклад.</w:t>
      </w:r>
    </w:p>
    <w:p>
      <w:pPr>
        <w:pStyle w:val="BodyText"/>
      </w:pPr>
      <w:r>
        <w:t xml:space="preserve">Той ще включва:</w:t>
      </w:r>
    </w:p>
    <w:bookmarkStart w:id="26" w:name="system-map"/>
    <w:p>
      <w:pPr>
        <w:pStyle w:val="Heading3"/>
      </w:pPr>
      <w:r>
        <w:rPr>
          <w:b/>
          <w:bCs/>
        </w:rPr>
        <w:t xml:space="preserve">System Map</w:t>
      </w:r>
    </w:p>
    <w:p>
      <w:pPr>
        <w:pStyle w:val="FirstParagraph"/>
      </w:pPr>
      <w:r>
        <w:t xml:space="preserve">Карта на действителната институционална, регулаторна и пазарна архитектура.</w:t>
      </w:r>
    </w:p>
    <w:bookmarkEnd w:id="26"/>
    <w:bookmarkStart w:id="27" w:name="algorithm-process-map"/>
    <w:p>
      <w:pPr>
        <w:pStyle w:val="Heading3"/>
      </w:pPr>
      <w:r>
        <w:rPr>
          <w:b/>
          <w:bCs/>
        </w:rPr>
        <w:t xml:space="preserve">Algorithm &amp; Process Map</w:t>
      </w:r>
    </w:p>
    <w:p>
      <w:pPr>
        <w:pStyle w:val="FirstParagraph"/>
      </w:pPr>
      <w:r>
        <w:t xml:space="preserve">Описание на ключовите процеси и алгоритми, чрез които се вземат решения и се формира пазарният резултат.</w:t>
      </w:r>
    </w:p>
    <w:bookmarkEnd w:id="27"/>
    <w:bookmarkStart w:id="28" w:name="failure-map"/>
    <w:p>
      <w:pPr>
        <w:pStyle w:val="Heading3"/>
      </w:pPr>
      <w:r>
        <w:rPr>
          <w:b/>
          <w:bCs/>
        </w:rPr>
        <w:t xml:space="preserve">Failure Map</w:t>
      </w:r>
    </w:p>
    <w:p>
      <w:pPr>
        <w:pStyle w:val="FirstParagraph"/>
      </w:pPr>
      <w:r>
        <w:t xml:space="preserve">Идентифициране на системните, институционалните, административните, икономическите и поведенческите дефекти.</w:t>
      </w:r>
    </w:p>
    <w:bookmarkEnd w:id="28"/>
    <w:bookmarkStart w:id="29" w:name="target-architecture"/>
    <w:p>
      <w:pPr>
        <w:pStyle w:val="Heading3"/>
      </w:pPr>
      <w:r>
        <w:rPr>
          <w:b/>
          <w:bCs/>
        </w:rPr>
        <w:t xml:space="preserve">Target Architecture</w:t>
      </w:r>
    </w:p>
    <w:p>
      <w:pPr>
        <w:pStyle w:val="FirstParagraph"/>
      </w:pPr>
      <w:r>
        <w:t xml:space="preserve">Проект на подобрена институционална и функционална архитектура.</w:t>
      </w:r>
    </w:p>
    <w:bookmarkEnd w:id="29"/>
    <w:bookmarkStart w:id="30" w:name="policy-intervention-package"/>
    <w:p>
      <w:pPr>
        <w:pStyle w:val="Heading3"/>
      </w:pPr>
      <w:r>
        <w:rPr>
          <w:b/>
          <w:bCs/>
        </w:rPr>
        <w:t xml:space="preserve">Policy &amp; Intervention Package</w:t>
      </w:r>
    </w:p>
    <w:p>
      <w:pPr>
        <w:pStyle w:val="FirstParagraph"/>
      </w:pPr>
      <w:r>
        <w:t xml:space="preserve">Конкретен пакет от възможни:</w:t>
      </w:r>
    </w:p>
    <w:p>
      <w:pPr>
        <w:pStyle w:val="Compact"/>
        <w:numPr>
          <w:ilvl w:val="0"/>
          <w:numId w:val="1011"/>
        </w:numPr>
      </w:pPr>
      <w:r>
        <w:t xml:space="preserve">законодателни;</w:t>
      </w:r>
    </w:p>
    <w:p>
      <w:pPr>
        <w:pStyle w:val="Compact"/>
        <w:numPr>
          <w:ilvl w:val="0"/>
          <w:numId w:val="1011"/>
        </w:numPr>
      </w:pPr>
      <w:r>
        <w:t xml:space="preserve">регулаторни;</w:t>
      </w:r>
    </w:p>
    <w:p>
      <w:pPr>
        <w:pStyle w:val="Compact"/>
        <w:numPr>
          <w:ilvl w:val="0"/>
          <w:numId w:val="1011"/>
        </w:numPr>
      </w:pPr>
      <w:r>
        <w:t xml:space="preserve">институционални;</w:t>
      </w:r>
    </w:p>
    <w:p>
      <w:pPr>
        <w:pStyle w:val="Compact"/>
        <w:numPr>
          <w:ilvl w:val="0"/>
          <w:numId w:val="1011"/>
        </w:numPr>
      </w:pPr>
      <w:r>
        <w:t xml:space="preserve">административни;</w:t>
      </w:r>
    </w:p>
    <w:p>
      <w:pPr>
        <w:pStyle w:val="Compact"/>
        <w:numPr>
          <w:ilvl w:val="0"/>
          <w:numId w:val="1011"/>
        </w:numPr>
      </w:pPr>
      <w:r>
        <w:t xml:space="preserve">икономически;</w:t>
      </w:r>
    </w:p>
    <w:p>
      <w:pPr>
        <w:pStyle w:val="Compact"/>
        <w:numPr>
          <w:ilvl w:val="0"/>
          <w:numId w:val="1011"/>
        </w:numPr>
      </w:pPr>
      <w:r>
        <w:t xml:space="preserve">маркетингови;</w:t>
      </w:r>
    </w:p>
    <w:p>
      <w:pPr>
        <w:pStyle w:val="Compact"/>
        <w:numPr>
          <w:ilvl w:val="0"/>
          <w:numId w:val="1011"/>
        </w:numPr>
      </w:pPr>
      <w:r>
        <w:t xml:space="preserve">образователни;</w:t>
      </w:r>
    </w:p>
    <w:p>
      <w:pPr>
        <w:pStyle w:val="Compact"/>
        <w:numPr>
          <w:ilvl w:val="0"/>
          <w:numId w:val="1011"/>
        </w:numPr>
      </w:pPr>
      <w:r>
        <w:t xml:space="preserve">поведенчески</w:t>
      </w:r>
    </w:p>
    <w:p>
      <w:pPr>
        <w:pStyle w:val="FirstParagraph"/>
      </w:pPr>
      <w:r>
        <w:t xml:space="preserve">мерки.</w:t>
      </w:r>
    </w:p>
    <w:bookmarkEnd w:id="30"/>
    <w:bookmarkStart w:id="31" w:name="implementation-roadmap"/>
    <w:p>
      <w:pPr>
        <w:pStyle w:val="Heading3"/>
      </w:pPr>
      <w:r>
        <w:rPr>
          <w:b/>
          <w:bCs/>
        </w:rPr>
        <w:t xml:space="preserve">Implementation Roadmap</w:t>
      </w:r>
    </w:p>
    <w:p>
      <w:pPr>
        <w:pStyle w:val="FirstParagraph"/>
      </w:pPr>
      <w:r>
        <w:t xml:space="preserve">Кой следва да направи какво, в каква последователност, с какъв ресурс и в какъв срок.</w:t>
      </w:r>
    </w:p>
    <w:bookmarkEnd w:id="31"/>
    <w:bookmarkStart w:id="32" w:name="kpi-framework"/>
    <w:p>
      <w:pPr>
        <w:pStyle w:val="Heading3"/>
      </w:pPr>
      <w:r>
        <w:rPr>
          <w:b/>
          <w:bCs/>
        </w:rPr>
        <w:t xml:space="preserve">KPI Framework</w:t>
      </w:r>
    </w:p>
    <w:p>
      <w:pPr>
        <w:pStyle w:val="FirstParagraph"/>
      </w:pPr>
      <w:r>
        <w:t xml:space="preserve">Измерими показатели за оценка на реалния резултат.</w:t>
      </w:r>
    </w:p>
    <w:bookmarkEnd w:id="32"/>
    <w:bookmarkStart w:id="33" w:name="pilot-test-design"/>
    <w:p>
      <w:pPr>
        <w:pStyle w:val="Heading3"/>
      </w:pPr>
      <w:r>
        <w:rPr>
          <w:b/>
          <w:bCs/>
        </w:rPr>
        <w:t xml:space="preserve">Pilot Test Design</w:t>
      </w:r>
    </w:p>
    <w:p>
      <w:pPr>
        <w:pStyle w:val="FirstParagraph"/>
      </w:pPr>
      <w:r>
        <w:t xml:space="preserve">Проект за пилотно внедряване на избрани решения в реална туристическа среда.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проверка-вместо-предположение"/>
    <w:p>
      <w:pPr>
        <w:pStyle w:val="Heading1"/>
      </w:pPr>
      <w:r>
        <w:rPr>
          <w:b/>
          <w:bCs/>
        </w:rPr>
        <w:t xml:space="preserve">8. Проверка вместо предположение</w:t>
      </w:r>
    </w:p>
    <w:p>
      <w:pPr>
        <w:pStyle w:val="FirstParagraph"/>
      </w:pPr>
      <w:r>
        <w:t xml:space="preserve">Основна характеристика на методологията на Центъра е, че</w:t>
      </w:r>
      <w:r>
        <w:t xml:space="preserve"> </w:t>
      </w:r>
      <w:r>
        <w:rPr>
          <w:b/>
          <w:bCs/>
        </w:rPr>
        <w:t xml:space="preserve">експертната препоръка сама по себе си не се приема за доказателство, че системата ще функционира по-добре</w:t>
      </w:r>
      <w:r>
        <w:t xml:space="preserve">.</w:t>
      </w:r>
    </w:p>
    <w:p>
      <w:pPr>
        <w:pStyle w:val="BodyText"/>
      </w:pPr>
      <w:r>
        <w:t xml:space="preserve">Предложеният модел трябва да бъде проверен в реална среда.</w:t>
      </w:r>
    </w:p>
    <w:p>
      <w:pPr>
        <w:pStyle w:val="BodyText"/>
      </w:pPr>
      <w:r>
        <w:t xml:space="preserve">Затова след основния проект следва да бъде организирана пилотна фаза.</w:t>
      </w:r>
    </w:p>
    <w:p>
      <w:pPr>
        <w:pStyle w:val="BodyText"/>
      </w:pPr>
      <w:r>
        <w:t xml:space="preserve">Преди внедряването се измерява</w:t>
      </w:r>
      <w:r>
        <w:t xml:space="preserve"> </w:t>
      </w:r>
      <w:r>
        <w:rPr>
          <w:b/>
          <w:bCs/>
        </w:rPr>
        <w:t xml:space="preserve">baseline</w:t>
      </w:r>
      <w:r>
        <w:t xml:space="preserve">.</w:t>
      </w:r>
    </w:p>
    <w:p>
      <w:pPr>
        <w:pStyle w:val="BodyText"/>
      </w:pPr>
      <w:r>
        <w:t xml:space="preserve">След внедряването се измерват същите показатели.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12"/>
        </w:numPr>
      </w:pPr>
      <w:r>
        <w:t xml:space="preserve">обем продажби;</w:t>
      </w:r>
    </w:p>
    <w:p>
      <w:pPr>
        <w:pStyle w:val="Compact"/>
        <w:numPr>
          <w:ilvl w:val="0"/>
          <w:numId w:val="1012"/>
        </w:numPr>
      </w:pPr>
      <w:r>
        <w:t xml:space="preserve">пазарен дял на български вина;</w:t>
      </w:r>
    </w:p>
    <w:p>
      <w:pPr>
        <w:pStyle w:val="Compact"/>
        <w:numPr>
          <w:ilvl w:val="0"/>
          <w:numId w:val="1012"/>
        </w:numPr>
      </w:pPr>
      <w:r>
        <w:t xml:space="preserve">средна стойност на покупката;</w:t>
      </w:r>
    </w:p>
    <w:p>
      <w:pPr>
        <w:pStyle w:val="Compact"/>
        <w:numPr>
          <w:ilvl w:val="0"/>
          <w:numId w:val="1012"/>
        </w:numPr>
      </w:pPr>
      <w:r>
        <w:t xml:space="preserve">търговски марж;</w:t>
      </w:r>
    </w:p>
    <w:p>
      <w:pPr>
        <w:pStyle w:val="Compact"/>
        <w:numPr>
          <w:ilvl w:val="0"/>
          <w:numId w:val="1012"/>
        </w:numPr>
      </w:pPr>
      <w:r>
        <w:t xml:space="preserve">честота на препоръчване;</w:t>
      </w:r>
    </w:p>
    <w:p>
      <w:pPr>
        <w:pStyle w:val="Compact"/>
        <w:numPr>
          <w:ilvl w:val="0"/>
          <w:numId w:val="1012"/>
        </w:numPr>
      </w:pPr>
      <w:r>
        <w:t xml:space="preserve">потребителски избор;</w:t>
      </w:r>
    </w:p>
    <w:p>
      <w:pPr>
        <w:pStyle w:val="Compact"/>
        <w:numPr>
          <w:ilvl w:val="0"/>
          <w:numId w:val="1012"/>
        </w:numPr>
      </w:pPr>
      <w:r>
        <w:t xml:space="preserve">разпознаваемост;</w:t>
      </w:r>
    </w:p>
    <w:p>
      <w:pPr>
        <w:pStyle w:val="Compact"/>
        <w:numPr>
          <w:ilvl w:val="0"/>
          <w:numId w:val="1012"/>
        </w:numPr>
      </w:pPr>
      <w:r>
        <w:t xml:space="preserve">удовлетвореност;</w:t>
      </w:r>
    </w:p>
    <w:p>
      <w:pPr>
        <w:pStyle w:val="Compact"/>
        <w:numPr>
          <w:ilvl w:val="0"/>
          <w:numId w:val="1012"/>
        </w:numPr>
      </w:pPr>
      <w:r>
        <w:t xml:space="preserve">повторни покупки.</w:t>
      </w:r>
    </w:p>
    <w:p>
      <w:pPr>
        <w:pStyle w:val="FirstParagraph"/>
      </w:pPr>
      <w:r>
        <w:t xml:space="preserve">Методът следва затворен цикъл:</w:t>
      </w:r>
    </w:p>
    <w:p>
      <w:pPr>
        <w:pStyle w:val="BlockText"/>
      </w:pPr>
      <w:r>
        <w:rPr>
          <w:b/>
          <w:bCs/>
        </w:rPr>
        <w:t xml:space="preserve">Design → Implement → Measure → Test → Adapt</w:t>
      </w:r>
    </w:p>
    <w:p>
      <w:pPr>
        <w:pStyle w:val="FirstParagraph"/>
      </w:pPr>
      <w:r>
        <w:t xml:space="preserve">Следователно резултатът не е статична стратегия, а</w:t>
      </w:r>
      <w:r>
        <w:t xml:space="preserve"> </w:t>
      </w:r>
      <w:r>
        <w:rPr>
          <w:b/>
          <w:bCs/>
        </w:rPr>
        <w:t xml:space="preserve">адаптивен модел</w:t>
      </w:r>
      <w:r>
        <w:t xml:space="preserve">, който може да бъде коригиран според измереното реално поведение на системата.</w:t>
      </w:r>
    </w:p>
    <w:p>
      <w:r>
        <w:pict>
          <v:rect style="width:0;height:1.5pt" o:hralign="center" o:hrstd="t" o:hr="t"/>
        </w:pict>
      </w:r>
    </w:p>
    <w:bookmarkEnd w:id="35"/>
    <w:bookmarkStart w:id="36" w:name="критерий-за-успех"/>
    <w:p>
      <w:pPr>
        <w:pStyle w:val="Heading1"/>
      </w:pPr>
      <w:r>
        <w:rPr>
          <w:b/>
          <w:bCs/>
        </w:rPr>
        <w:t xml:space="preserve">9. Критерий за успех</w:t>
      </w:r>
    </w:p>
    <w:p>
      <w:pPr>
        <w:pStyle w:val="FirstParagraph"/>
      </w:pPr>
      <w:r>
        <w:t xml:space="preserve">Първият проект на Центъра трябва да търси</w:t>
      </w:r>
      <w:r>
        <w:t xml:space="preserve"> </w:t>
      </w:r>
      <w:r>
        <w:rPr>
          <w:b/>
          <w:bCs/>
        </w:rPr>
        <w:t xml:space="preserve">видими и сравнително бързи резултати</w:t>
      </w:r>
      <w:r>
        <w:t xml:space="preserve">, а не само дългосрочни структурни ефекти.</w:t>
      </w:r>
    </w:p>
    <w:p>
      <w:pPr>
        <w:pStyle w:val="BodyText"/>
      </w:pPr>
      <w:r>
        <w:t xml:space="preserve">Затова приоритет ще имат решения, които:</w:t>
      </w:r>
    </w:p>
    <w:p>
      <w:pPr>
        <w:pStyle w:val="Compact"/>
        <w:numPr>
          <w:ilvl w:val="0"/>
          <w:numId w:val="1013"/>
        </w:numPr>
      </w:pPr>
      <w:r>
        <w:t xml:space="preserve">могат да бъдат внедрени практически;</w:t>
      </w:r>
    </w:p>
    <w:p>
      <w:pPr>
        <w:pStyle w:val="Compact"/>
        <w:numPr>
          <w:ilvl w:val="0"/>
          <w:numId w:val="1013"/>
        </w:numPr>
      </w:pPr>
      <w:r>
        <w:t xml:space="preserve">създават измерим икономически резултат;</w:t>
      </w:r>
    </w:p>
    <w:p>
      <w:pPr>
        <w:pStyle w:val="Compact"/>
        <w:numPr>
          <w:ilvl w:val="0"/>
          <w:numId w:val="1013"/>
        </w:numPr>
      </w:pPr>
      <w:r>
        <w:t xml:space="preserve">могат да бъдат пилотно проверени;</w:t>
      </w:r>
    </w:p>
    <w:p>
      <w:pPr>
        <w:pStyle w:val="Compact"/>
        <w:numPr>
          <w:ilvl w:val="0"/>
          <w:numId w:val="1013"/>
        </w:numPr>
      </w:pPr>
      <w:r>
        <w:t xml:space="preserve">използват по-добре съществуващи ресурси;</w:t>
      </w:r>
    </w:p>
    <w:p>
      <w:pPr>
        <w:pStyle w:val="Compact"/>
        <w:numPr>
          <w:ilvl w:val="0"/>
          <w:numId w:val="1013"/>
        </w:numPr>
      </w:pPr>
      <w:r>
        <w:t xml:space="preserve">намаляват системни и административни загуби;</w:t>
      </w:r>
    </w:p>
    <w:p>
      <w:pPr>
        <w:pStyle w:val="Compact"/>
        <w:numPr>
          <w:ilvl w:val="0"/>
          <w:numId w:val="1013"/>
        </w:numPr>
      </w:pPr>
      <w:r>
        <w:t xml:space="preserve">подобряват стимулите за бизнеса;</w:t>
      </w:r>
    </w:p>
    <w:p>
      <w:pPr>
        <w:pStyle w:val="Compact"/>
        <w:numPr>
          <w:ilvl w:val="0"/>
          <w:numId w:val="1013"/>
        </w:numPr>
      </w:pPr>
      <w:r>
        <w:t xml:space="preserve">могат да дадат първи резултати в рамките на един туристически сезон.</w:t>
      </w:r>
    </w:p>
    <w:p>
      <w:pPr>
        <w:pStyle w:val="FirstParagraph"/>
      </w:pPr>
      <w:r>
        <w:t xml:space="preserve">Това не изключва по-дълбоки законодателни или институционални реформи, когато анализът покаже, че именно те са необходимата предпоставка за устойчив резултат.</w:t>
      </w:r>
    </w:p>
    <w:p>
      <w:r>
        <w:pict>
          <v:rect style="width:0;height:1.5pt" o:hralign="center" o:hrstd="t" o:hr="t"/>
        </w:pict>
      </w:r>
    </w:p>
    <w:bookmarkEnd w:id="36"/>
    <w:bookmarkStart w:id="42" w:name="два-варианта-за-изпълнение"/>
    <w:p>
      <w:pPr>
        <w:pStyle w:val="Heading1"/>
      </w:pPr>
      <w:r>
        <w:rPr>
          <w:b/>
          <w:bCs/>
        </w:rPr>
        <w:t xml:space="preserve">10. Два варианта за изпълнение</w:t>
      </w:r>
    </w:p>
    <w:bookmarkStart w:id="41" w:name="вариант-а-основна-системна-фаза"/>
    <w:p>
      <w:pPr>
        <w:pStyle w:val="Heading2"/>
      </w:pPr>
      <w:r>
        <w:rPr>
          <w:b/>
          <w:bCs/>
        </w:rPr>
        <w:t xml:space="preserve">ВАРИАНТ А – ОСНОВНА СИСТЕМНА ФАЗА</w:t>
      </w:r>
    </w:p>
    <w:bookmarkStart w:id="37" w:name="цел"/>
    <w:p>
      <w:pPr>
        <w:pStyle w:val="Heading3"/>
      </w:pPr>
      <w:r>
        <w:rPr>
          <w:b/>
          <w:bCs/>
        </w:rPr>
        <w:t xml:space="preserve">Цел</w:t>
      </w:r>
    </w:p>
    <w:p>
      <w:pPr>
        <w:pStyle w:val="FirstParagraph"/>
      </w:pPr>
      <w:r>
        <w:t xml:space="preserve">Бърза, но достатъчно задълбочена системна диагностика, основана преимуществено на:</w:t>
      </w:r>
    </w:p>
    <w:p>
      <w:pPr>
        <w:pStyle w:val="Compact"/>
        <w:numPr>
          <w:ilvl w:val="0"/>
          <w:numId w:val="1014"/>
        </w:numPr>
      </w:pPr>
      <w:r>
        <w:t xml:space="preserve">налични официални данни;</w:t>
      </w:r>
    </w:p>
    <w:p>
      <w:pPr>
        <w:pStyle w:val="Compact"/>
        <w:numPr>
          <w:ilvl w:val="0"/>
          <w:numId w:val="1014"/>
        </w:numPr>
      </w:pPr>
      <w:r>
        <w:t xml:space="preserve">секторна статистика;</w:t>
      </w:r>
    </w:p>
    <w:p>
      <w:pPr>
        <w:pStyle w:val="Compact"/>
        <w:numPr>
          <w:ilvl w:val="0"/>
          <w:numId w:val="1014"/>
        </w:numPr>
      </w:pPr>
      <w:r>
        <w:t xml:space="preserve">съществуващи изследвания;</w:t>
      </w:r>
    </w:p>
    <w:p>
      <w:pPr>
        <w:pStyle w:val="Compact"/>
        <w:numPr>
          <w:ilvl w:val="0"/>
          <w:numId w:val="1014"/>
        </w:numPr>
      </w:pPr>
      <w:r>
        <w:t xml:space="preserve">нормативна документация;</w:t>
      </w:r>
    </w:p>
    <w:p>
      <w:pPr>
        <w:pStyle w:val="Compact"/>
        <w:numPr>
          <w:ilvl w:val="0"/>
          <w:numId w:val="1014"/>
        </w:numPr>
      </w:pPr>
      <w:r>
        <w:t xml:space="preserve">данни на браншови организации;</w:t>
      </w:r>
    </w:p>
    <w:p>
      <w:pPr>
        <w:pStyle w:val="Compact"/>
        <w:numPr>
          <w:ilvl w:val="0"/>
          <w:numId w:val="1014"/>
        </w:numPr>
      </w:pPr>
      <w:r>
        <w:t xml:space="preserve">структурирани интервюта с ключови участници;</w:t>
      </w:r>
    </w:p>
    <w:p>
      <w:pPr>
        <w:pStyle w:val="Compact"/>
        <w:numPr>
          <w:ilvl w:val="0"/>
          <w:numId w:val="1014"/>
        </w:numPr>
      </w:pPr>
      <w:r>
        <w:t xml:space="preserve">ограничено целево събиране на допълнителна информация.</w:t>
      </w:r>
    </w:p>
    <w:bookmarkEnd w:id="37"/>
    <w:bookmarkStart w:id="38" w:name="предполагаем-срок"/>
    <w:p>
      <w:pPr>
        <w:pStyle w:val="Heading3"/>
      </w:pPr>
      <w:r>
        <w:rPr>
          <w:b/>
          <w:bCs/>
        </w:rPr>
        <w:t xml:space="preserve">Предполагаем срок</w:t>
      </w:r>
    </w:p>
    <w:p>
      <w:pPr>
        <w:pStyle w:val="FirstParagraph"/>
      </w:pPr>
      <w:r>
        <w:rPr>
          <w:b/>
          <w:bCs/>
        </w:rPr>
        <w:t xml:space="preserve">6–8 седмици</w:t>
      </w:r>
    </w:p>
    <w:bookmarkEnd w:id="38"/>
    <w:bookmarkStart w:id="39" w:name="ориентировъчен-експертен-ресурс"/>
    <w:p>
      <w:pPr>
        <w:pStyle w:val="Heading3"/>
      </w:pPr>
      <w:r>
        <w:rPr>
          <w:b/>
          <w:bCs/>
        </w:rPr>
        <w:t xml:space="preserve">Ориентировъчен експертен ресурс</w:t>
      </w:r>
    </w:p>
    <w:p>
      <w:pPr>
        <w:pStyle w:val="FirstParagraph"/>
      </w:pPr>
      <w:r>
        <w:t xml:space="preserve">Приблизително</w:t>
      </w:r>
      <w:r>
        <w:t xml:space="preserve"> </w:t>
      </w:r>
      <w:r>
        <w:rPr>
          <w:b/>
          <w:bCs/>
        </w:rPr>
        <w:t xml:space="preserve">120–160 човекодни</w:t>
      </w:r>
      <w:r>
        <w:t xml:space="preserve">, разпределени между интердисциплинарен екип.</w:t>
      </w:r>
    </w:p>
    <w:bookmarkEnd w:id="39"/>
    <w:bookmarkStart w:id="40" w:name="ориентировъчен-бюджет"/>
    <w:p>
      <w:pPr>
        <w:pStyle w:val="Heading3"/>
      </w:pPr>
      <w:r>
        <w:rPr>
          <w:b/>
          <w:bCs/>
        </w:rPr>
        <w:t xml:space="preserve">Ориентировъчен бюджет</w:t>
      </w:r>
    </w:p>
    <w:p>
      <w:pPr>
        <w:pStyle w:val="FirstParagraph"/>
      </w:pPr>
      <w:r>
        <w:rPr>
          <w:b/>
          <w:bCs/>
        </w:rPr>
        <w:t xml:space="preserve">EUR 55 000 – 70 000</w:t>
      </w:r>
    </w:p>
    <w:p>
      <w:pPr>
        <w:pStyle w:val="BodyText"/>
      </w:pPr>
      <w:r>
        <w:t xml:space="preserve">Работна бюджетна стойност за обсъждане:</w:t>
      </w:r>
    </w:p>
    <w:p>
      <w:pPr>
        <w:pStyle w:val="BlockText"/>
      </w:pPr>
      <w:r>
        <w:rPr>
          <w:b/>
          <w:bCs/>
        </w:rPr>
        <w:t xml:space="preserve">около EUR 60 000</w:t>
      </w:r>
    </w:p>
    <w:p>
      <w:pPr>
        <w:pStyle w:val="FirstParagraph"/>
      </w:pPr>
      <w:r>
        <w:t xml:space="preserve">В бюджета следва да бъдат включени експертен труд, системна архитектура, икономически и статистически анализ, правен и регулаторен анализ, интервюта със заинтересованите страни, проектно управление и подготовка на крайния продукт.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Xd85a72c6bb684245a1eb3a3f41fdc4e36db054c"/>
    <w:p>
      <w:pPr>
        <w:pStyle w:val="Heading1"/>
      </w:pPr>
      <w:r>
        <w:rPr>
          <w:b/>
          <w:bCs/>
        </w:rPr>
        <w:t xml:space="preserve">11. ВАРИАНТ Б – РАЗШИРЕНО НАЦИОНАЛНО ИЗСЛЕДВАНЕ</w:t>
      </w:r>
    </w:p>
    <w:p>
      <w:pPr>
        <w:pStyle w:val="FirstParagraph"/>
      </w:pPr>
      <w:r>
        <w:t xml:space="preserve">Този вариант включва всички дейности по Вариант А, но добавя</w:t>
      </w:r>
      <w:r>
        <w:t xml:space="preserve"> </w:t>
      </w:r>
      <w:r>
        <w:rPr>
          <w:b/>
          <w:bCs/>
        </w:rPr>
        <w:t xml:space="preserve">самостоятелно структурирано национално събиране на първични данни от реалния бизнес</w:t>
      </w:r>
      <w:r>
        <w:t xml:space="preserve">.</w:t>
      </w:r>
    </w:p>
    <w:p>
      <w:pPr>
        <w:pStyle w:val="BodyText"/>
      </w:pPr>
      <w:r>
        <w:t xml:space="preserve">Целта е не само да се установи как системата би следвало да функционира, а да се измери количествено</w:t>
      </w:r>
      <w:r>
        <w:t xml:space="preserve"> </w:t>
      </w:r>
      <w:r>
        <w:rPr>
          <w:b/>
          <w:bCs/>
        </w:rPr>
        <w:t xml:space="preserve">как тя действително функционира в различни категории туристически и винени предприятия</w:t>
      </w:r>
      <w:r>
        <w:t xml:space="preserve">.</w:t>
      </w:r>
    </w:p>
    <w:p>
      <w:pPr>
        <w:pStyle w:val="BodyText"/>
      </w:pPr>
      <w:r>
        <w:t xml:space="preserve">Изследването може да обхване представителна или стратифицирана извадка от:</w:t>
      </w:r>
    </w:p>
    <w:p>
      <w:pPr>
        <w:pStyle w:val="Compact"/>
        <w:numPr>
          <w:ilvl w:val="0"/>
          <w:numId w:val="1015"/>
        </w:numPr>
      </w:pPr>
      <w:r>
        <w:t xml:space="preserve">хотели;</w:t>
      </w:r>
    </w:p>
    <w:p>
      <w:pPr>
        <w:pStyle w:val="Compact"/>
        <w:numPr>
          <w:ilvl w:val="0"/>
          <w:numId w:val="1015"/>
        </w:numPr>
      </w:pPr>
      <w:r>
        <w:t xml:space="preserve">ресторанти;</w:t>
      </w:r>
    </w:p>
    <w:p>
      <w:pPr>
        <w:pStyle w:val="Compact"/>
        <w:numPr>
          <w:ilvl w:val="0"/>
          <w:numId w:val="1015"/>
        </w:numPr>
      </w:pPr>
      <w:r>
        <w:t xml:space="preserve">туристически комплекси;</w:t>
      </w:r>
    </w:p>
    <w:p>
      <w:pPr>
        <w:pStyle w:val="Compact"/>
        <w:numPr>
          <w:ilvl w:val="0"/>
          <w:numId w:val="1015"/>
        </w:numPr>
      </w:pPr>
      <w:r>
        <w:t xml:space="preserve">туроператори;</w:t>
      </w:r>
    </w:p>
    <w:p>
      <w:pPr>
        <w:pStyle w:val="Compact"/>
        <w:numPr>
          <w:ilvl w:val="0"/>
          <w:numId w:val="1015"/>
        </w:numPr>
      </w:pPr>
      <w:r>
        <w:t xml:space="preserve">винопроизводители;</w:t>
      </w:r>
    </w:p>
    <w:p>
      <w:pPr>
        <w:pStyle w:val="Compact"/>
        <w:numPr>
          <w:ilvl w:val="0"/>
          <w:numId w:val="1015"/>
        </w:numPr>
      </w:pPr>
      <w:r>
        <w:t xml:space="preserve">дистрибутори;</w:t>
      </w:r>
    </w:p>
    <w:p>
      <w:pPr>
        <w:pStyle w:val="Compact"/>
        <w:numPr>
          <w:ilvl w:val="0"/>
          <w:numId w:val="1015"/>
        </w:numPr>
      </w:pPr>
      <w:r>
        <w:t xml:space="preserve">специализирана търговия;</w:t>
      </w:r>
    </w:p>
    <w:p>
      <w:pPr>
        <w:pStyle w:val="Compact"/>
        <w:numPr>
          <w:ilvl w:val="0"/>
          <w:numId w:val="1015"/>
        </w:numPr>
      </w:pPr>
      <w:r>
        <w:t xml:space="preserve">винени туристически обекти;</w:t>
      </w:r>
    </w:p>
    <w:p>
      <w:pPr>
        <w:pStyle w:val="Compact"/>
        <w:numPr>
          <w:ilvl w:val="0"/>
          <w:numId w:val="1015"/>
        </w:numPr>
      </w:pPr>
      <w:r>
        <w:t xml:space="preserve">регионални туристически организации.</w:t>
      </w:r>
    </w:p>
    <w:p>
      <w:pPr>
        <w:pStyle w:val="FirstParagraph"/>
      </w:pPr>
      <w:r>
        <w:t xml:space="preserve">В зависимост от дизайна може да бъде включено и ограничено потребителско изследване сред български и чуждестранни туристи.</w:t>
      </w:r>
    </w:p>
    <w:bookmarkStart w:id="43" w:name="ще-се-събират-първични-данни-например-за"/>
    <w:p>
      <w:pPr>
        <w:pStyle w:val="Heading3"/>
      </w:pPr>
      <w:r>
        <w:rPr>
          <w:b/>
          <w:bCs/>
        </w:rPr>
        <w:t xml:space="preserve">Ще се събират първични данни например за:</w:t>
      </w:r>
    </w:p>
    <w:p>
      <w:pPr>
        <w:pStyle w:val="Compact"/>
        <w:numPr>
          <w:ilvl w:val="0"/>
          <w:numId w:val="1016"/>
        </w:numPr>
      </w:pPr>
      <w:r>
        <w:t xml:space="preserve">реалната структура на продажбите;</w:t>
      </w:r>
    </w:p>
    <w:p>
      <w:pPr>
        <w:pStyle w:val="Compact"/>
        <w:numPr>
          <w:ilvl w:val="0"/>
          <w:numId w:val="1016"/>
        </w:numPr>
      </w:pPr>
      <w:r>
        <w:t xml:space="preserve">български спрямо вносни вина;</w:t>
      </w:r>
    </w:p>
    <w:p>
      <w:pPr>
        <w:pStyle w:val="Compact"/>
        <w:numPr>
          <w:ilvl w:val="0"/>
          <w:numId w:val="1016"/>
        </w:numPr>
      </w:pPr>
      <w:r>
        <w:t xml:space="preserve">доставни и продажни цени;</w:t>
      </w:r>
    </w:p>
    <w:p>
      <w:pPr>
        <w:pStyle w:val="Compact"/>
        <w:numPr>
          <w:ilvl w:val="0"/>
          <w:numId w:val="1016"/>
        </w:numPr>
      </w:pPr>
      <w:r>
        <w:t xml:space="preserve">търговски маржове;</w:t>
      </w:r>
    </w:p>
    <w:p>
      <w:pPr>
        <w:pStyle w:val="Compact"/>
        <w:numPr>
          <w:ilvl w:val="0"/>
          <w:numId w:val="1016"/>
        </w:numPr>
      </w:pPr>
      <w:r>
        <w:t xml:space="preserve">критерии за избор на доставчик;</w:t>
      </w:r>
    </w:p>
    <w:p>
      <w:pPr>
        <w:pStyle w:val="Compact"/>
        <w:numPr>
          <w:ilvl w:val="0"/>
          <w:numId w:val="1016"/>
        </w:numPr>
      </w:pPr>
      <w:r>
        <w:t xml:space="preserve">договорни отношения;</w:t>
      </w:r>
    </w:p>
    <w:p>
      <w:pPr>
        <w:pStyle w:val="Compact"/>
        <w:numPr>
          <w:ilvl w:val="0"/>
          <w:numId w:val="1016"/>
        </w:numPr>
      </w:pPr>
      <w:r>
        <w:t xml:space="preserve">отстъпки и търговски условия;</w:t>
      </w:r>
    </w:p>
    <w:p>
      <w:pPr>
        <w:pStyle w:val="Compact"/>
        <w:numPr>
          <w:ilvl w:val="0"/>
          <w:numId w:val="1016"/>
        </w:numPr>
      </w:pPr>
      <w:r>
        <w:t xml:space="preserve">състав на винените листи;</w:t>
      </w:r>
    </w:p>
    <w:p>
      <w:pPr>
        <w:pStyle w:val="Compact"/>
        <w:numPr>
          <w:ilvl w:val="0"/>
          <w:numId w:val="1016"/>
        </w:numPr>
      </w:pPr>
      <w:r>
        <w:t xml:space="preserve">обучение на персонала;</w:t>
      </w:r>
    </w:p>
    <w:p>
      <w:pPr>
        <w:pStyle w:val="Compact"/>
        <w:numPr>
          <w:ilvl w:val="0"/>
          <w:numId w:val="1016"/>
        </w:numPr>
      </w:pPr>
      <w:r>
        <w:t xml:space="preserve">фактори, определящи препоръчването на дадено вино;</w:t>
      </w:r>
    </w:p>
    <w:p>
      <w:pPr>
        <w:pStyle w:val="Compact"/>
        <w:numPr>
          <w:ilvl w:val="0"/>
          <w:numId w:val="1016"/>
        </w:numPr>
      </w:pPr>
      <w:r>
        <w:t xml:space="preserve">потребителски избор;</w:t>
      </w:r>
    </w:p>
    <w:p>
      <w:pPr>
        <w:pStyle w:val="Compact"/>
        <w:numPr>
          <w:ilvl w:val="0"/>
          <w:numId w:val="1016"/>
        </w:numPr>
      </w:pPr>
      <w:r>
        <w:t xml:space="preserve">различия между региони и категории туристически обекти.</w:t>
      </w:r>
    </w:p>
    <w:bookmarkEnd w:id="43"/>
    <w:bookmarkStart w:id="44" w:name="предполагаем-срок-1"/>
    <w:p>
      <w:pPr>
        <w:pStyle w:val="Heading3"/>
      </w:pPr>
      <w:r>
        <w:rPr>
          <w:b/>
          <w:bCs/>
        </w:rPr>
        <w:t xml:space="preserve">Предполагаем срок</w:t>
      </w:r>
    </w:p>
    <w:p>
      <w:pPr>
        <w:pStyle w:val="FirstParagraph"/>
      </w:pPr>
      <w:r>
        <w:rPr>
          <w:b/>
          <w:bCs/>
        </w:rPr>
        <w:t xml:space="preserve">10–14 седмици</w:t>
      </w:r>
      <w:r>
        <w:t xml:space="preserve">, в зависимост от размера на извадката и достъпа до предприятия.</w:t>
      </w:r>
    </w:p>
    <w:bookmarkEnd w:id="44"/>
    <w:bookmarkStart w:id="45" w:name="ориентировъчен-ресурс"/>
    <w:p>
      <w:pPr>
        <w:pStyle w:val="Heading3"/>
      </w:pPr>
      <w:r>
        <w:rPr>
          <w:b/>
          <w:bCs/>
        </w:rPr>
        <w:t xml:space="preserve">Ориентировъчен ресурс</w:t>
      </w:r>
    </w:p>
    <w:p>
      <w:pPr>
        <w:pStyle w:val="FirstParagraph"/>
      </w:pPr>
      <w:r>
        <w:t xml:space="preserve">Приблизително</w:t>
      </w:r>
      <w:r>
        <w:t xml:space="preserve"> </w:t>
      </w:r>
      <w:r>
        <w:rPr>
          <w:b/>
          <w:bCs/>
        </w:rPr>
        <w:t xml:space="preserve">220–320 човекодни</w:t>
      </w:r>
      <w:r>
        <w:t xml:space="preserve">, включително теренно проучване, обработка и анализ на първичните данни.</w:t>
      </w:r>
    </w:p>
    <w:bookmarkEnd w:id="45"/>
    <w:bookmarkStart w:id="46" w:name="ориентировъчен-бюджет-1"/>
    <w:p>
      <w:pPr>
        <w:pStyle w:val="Heading3"/>
      </w:pPr>
      <w:r>
        <w:rPr>
          <w:b/>
          <w:bCs/>
        </w:rPr>
        <w:t xml:space="preserve">Ориентировъчен бюджет</w:t>
      </w:r>
    </w:p>
    <w:p>
      <w:pPr>
        <w:pStyle w:val="FirstParagraph"/>
      </w:pPr>
      <w:r>
        <w:rPr>
          <w:b/>
          <w:bCs/>
        </w:rPr>
        <w:t xml:space="preserve">EUR 90 000 – 125 000</w:t>
      </w:r>
    </w:p>
    <w:p>
      <w:pPr>
        <w:pStyle w:val="BodyText"/>
      </w:pPr>
      <w:r>
        <w:t xml:space="preserve">Работна бюджетна стойност за обсъждане:</w:t>
      </w:r>
    </w:p>
    <w:p>
      <w:pPr>
        <w:pStyle w:val="BlockText"/>
      </w:pPr>
      <w:r>
        <w:rPr>
          <w:b/>
          <w:bCs/>
        </w:rPr>
        <w:t xml:space="preserve">около EUR 105 000</w:t>
      </w:r>
    </w:p>
    <w:p>
      <w:pPr>
        <w:pStyle w:val="FirstParagraph"/>
      </w:pPr>
      <w:r>
        <w:t xml:space="preserve">Точният бюджет ще зависи основно от:</w:t>
      </w:r>
    </w:p>
    <w:p>
      <w:pPr>
        <w:pStyle w:val="Compact"/>
        <w:numPr>
          <w:ilvl w:val="0"/>
          <w:numId w:val="1017"/>
        </w:numPr>
      </w:pPr>
      <w:r>
        <w:t xml:space="preserve">размера и географския обхват на извадката;</w:t>
      </w:r>
    </w:p>
    <w:p>
      <w:pPr>
        <w:pStyle w:val="Compact"/>
        <w:numPr>
          <w:ilvl w:val="0"/>
          <w:numId w:val="1017"/>
        </w:numPr>
      </w:pPr>
      <w:r>
        <w:t xml:space="preserve">начина на събиране на данните;</w:t>
      </w:r>
    </w:p>
    <w:p>
      <w:pPr>
        <w:pStyle w:val="Compact"/>
        <w:numPr>
          <w:ilvl w:val="0"/>
          <w:numId w:val="1017"/>
        </w:numPr>
      </w:pPr>
      <w:r>
        <w:t xml:space="preserve">необходимостта от външна социологическа/маркетингово-изследователска организация;</w:t>
      </w:r>
    </w:p>
    <w:p>
      <w:pPr>
        <w:pStyle w:val="Compact"/>
        <w:numPr>
          <w:ilvl w:val="0"/>
          <w:numId w:val="1017"/>
        </w:numPr>
      </w:pPr>
      <w:r>
        <w:t xml:space="preserve">достъпа до фирмени данни;</w:t>
      </w:r>
    </w:p>
    <w:p>
      <w:pPr>
        <w:pStyle w:val="Compact"/>
        <w:numPr>
          <w:ilvl w:val="0"/>
          <w:numId w:val="1017"/>
        </w:numPr>
      </w:pPr>
      <w:r>
        <w:t xml:space="preserve">включването или изключването на потребителско изследване.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a77072df9282f7ce01fd0e1921a77908c140868"/>
    <w:p>
      <w:pPr>
        <w:pStyle w:val="Heading1"/>
      </w:pPr>
      <w:r>
        <w:rPr>
          <w:b/>
          <w:bCs/>
        </w:rPr>
        <w:t xml:space="preserve">12. Пилотно внедряване – отделна последваща фаза</w:t>
      </w:r>
    </w:p>
    <w:p>
      <w:pPr>
        <w:pStyle w:val="FirstParagraph"/>
      </w:pPr>
      <w:r>
        <w:t xml:space="preserve">И при двата варианта се препоръчва след анализа да бъде възложена отделна</w:t>
      </w:r>
      <w:r>
        <w:t xml:space="preserve"> </w:t>
      </w:r>
      <w:r>
        <w:rPr>
          <w:b/>
          <w:bCs/>
        </w:rPr>
        <w:t xml:space="preserve">Pilot Implementation &amp; Validation Phase</w:t>
      </w:r>
      <w:r>
        <w:t xml:space="preserve">.</w:t>
      </w:r>
    </w:p>
    <w:p>
      <w:pPr>
        <w:pStyle w:val="BodyText"/>
      </w:pPr>
      <w:r>
        <w:t xml:space="preserve">Тя може да обхване:</w:t>
      </w:r>
    </w:p>
    <w:p>
      <w:pPr>
        <w:pStyle w:val="Compact"/>
        <w:numPr>
          <w:ilvl w:val="0"/>
          <w:numId w:val="1018"/>
        </w:numPr>
      </w:pPr>
      <w:r>
        <w:t xml:space="preserve">един туристически регион;</w:t>
      </w:r>
    </w:p>
    <w:p>
      <w:pPr>
        <w:pStyle w:val="Compact"/>
        <w:numPr>
          <w:ilvl w:val="0"/>
          <w:numId w:val="1018"/>
        </w:numPr>
      </w:pPr>
      <w:r>
        <w:t xml:space="preserve">определена група хотели;</w:t>
      </w:r>
    </w:p>
    <w:p>
      <w:pPr>
        <w:pStyle w:val="Compact"/>
        <w:numPr>
          <w:ilvl w:val="0"/>
          <w:numId w:val="1018"/>
        </w:numPr>
      </w:pPr>
      <w:r>
        <w:t xml:space="preserve">хотелска верига;</w:t>
      </w:r>
    </w:p>
    <w:p>
      <w:pPr>
        <w:pStyle w:val="Compact"/>
        <w:numPr>
          <w:ilvl w:val="0"/>
          <w:numId w:val="1018"/>
        </w:numPr>
      </w:pPr>
      <w:r>
        <w:t xml:space="preserve">ресторантьорска мрежа;</w:t>
      </w:r>
    </w:p>
    <w:p>
      <w:pPr>
        <w:pStyle w:val="Compact"/>
        <w:numPr>
          <w:ilvl w:val="0"/>
          <w:numId w:val="1018"/>
        </w:numPr>
      </w:pPr>
      <w:r>
        <w:t xml:space="preserve">комбинация от винопроизводители и туристически предприятия.</w:t>
      </w:r>
    </w:p>
    <w:p>
      <w:pPr>
        <w:pStyle w:val="FirstParagraph"/>
      </w:pPr>
      <w:r>
        <w:t xml:space="preserve">Бюджетът за тази фаза не следва да бъде фиксиран предварително, тъй като ще зависи от конкретния модел, който анализът препоръча за изпитване.</w:t>
      </w:r>
    </w:p>
    <w:p>
      <w:r>
        <w:pict>
          <v:rect style="width:0;height:1.5pt" o:hralign="center" o:hrstd="t" o:hr="t"/>
        </w:pict>
      </w:r>
    </w:p>
    <w:bookmarkEnd w:id="48"/>
    <w:bookmarkStart w:id="49" w:name="предложение-към-потенциалния-възложител"/>
    <w:p>
      <w:pPr>
        <w:pStyle w:val="Heading1"/>
      </w:pPr>
      <w:r>
        <w:rPr>
          <w:b/>
          <w:bCs/>
        </w:rPr>
        <w:t xml:space="preserve">13. Предложение към потенциалния възложител</w:t>
      </w:r>
    </w:p>
    <w:p>
      <w:pPr>
        <w:pStyle w:val="FirstParagraph"/>
      </w:pPr>
      <w:r>
        <w:t xml:space="preserve">Центърът за смарт технологии предлага на бъдещия</w:t>
      </w:r>
      <w:r>
        <w:t xml:space="preserve"> </w:t>
      </w:r>
      <w:r>
        <w:rPr>
          <w:b/>
          <w:bCs/>
        </w:rPr>
        <w:t xml:space="preserve">Консултативен съвет с участието на Министерството на земеделието и храните, Министерството на туризма и представителните браншови организации</w:t>
      </w:r>
      <w:r>
        <w:t xml:space="preserve"> </w:t>
      </w:r>
      <w:r>
        <w:t xml:space="preserve">да възложи първи независим системен анализ на въпроса:</w:t>
      </w:r>
    </w:p>
    <w:p>
      <w:pPr>
        <w:pStyle w:val="BlockText"/>
      </w:pPr>
      <w:r>
        <w:rPr>
          <w:b/>
          <w:bCs/>
        </w:rPr>
        <w:t xml:space="preserve">Как да бъде препроектирана или оптимизирана съществуващата институционална, регулаторна и пазарна екосистема така, че развитата българска туристическа индустрия да се превърне в значително по-ефективен канал за конкурентна реализация и изграждане на дългосрочен пазар за българското вино?</w:t>
      </w:r>
    </w:p>
    <w:p>
      <w:pPr>
        <w:pStyle w:val="FirstParagraph"/>
      </w:pPr>
      <w:r>
        <w:t xml:space="preserve">Центърът няма да предложи още един списък от несвързани мерки.</w:t>
      </w:r>
    </w:p>
    <w:p>
      <w:pPr>
        <w:pStyle w:val="BodyText"/>
      </w:pPr>
      <w:r>
        <w:t xml:space="preserve">Той ще анализира</w:t>
      </w:r>
      <w:r>
        <w:t xml:space="preserve"> </w:t>
      </w:r>
      <w:r>
        <w:rPr>
          <w:b/>
          <w:bCs/>
        </w:rPr>
        <w:t xml:space="preserve">самата архитектура, която определя поведението на участниците и резултатите на системата</w:t>
      </w:r>
      <w:r>
        <w:t xml:space="preserve">, и ще предложи нов модел с:</w:t>
      </w:r>
    </w:p>
    <w:p>
      <w:pPr>
        <w:pStyle w:val="Compact"/>
        <w:numPr>
          <w:ilvl w:val="0"/>
          <w:numId w:val="1019"/>
        </w:numPr>
      </w:pPr>
      <w:r>
        <w:t xml:space="preserve">ясно определени функции;</w:t>
      </w:r>
    </w:p>
    <w:p>
      <w:pPr>
        <w:pStyle w:val="Compact"/>
        <w:numPr>
          <w:ilvl w:val="0"/>
          <w:numId w:val="1019"/>
        </w:numPr>
      </w:pPr>
      <w:r>
        <w:t xml:space="preserve">отговорности;</w:t>
      </w:r>
    </w:p>
    <w:p>
      <w:pPr>
        <w:pStyle w:val="Compact"/>
        <w:numPr>
          <w:ilvl w:val="0"/>
          <w:numId w:val="1019"/>
        </w:numPr>
      </w:pPr>
      <w:r>
        <w:t xml:space="preserve">взаимодействия;</w:t>
      </w:r>
    </w:p>
    <w:p>
      <w:pPr>
        <w:pStyle w:val="Compact"/>
        <w:numPr>
          <w:ilvl w:val="0"/>
          <w:numId w:val="1019"/>
        </w:numPr>
      </w:pPr>
      <w:r>
        <w:t xml:space="preserve">стимули;</w:t>
      </w:r>
    </w:p>
    <w:p>
      <w:pPr>
        <w:pStyle w:val="Compact"/>
        <w:numPr>
          <w:ilvl w:val="0"/>
          <w:numId w:val="1019"/>
        </w:numPr>
      </w:pPr>
      <w:r>
        <w:t xml:space="preserve">нормативни условия;</w:t>
      </w:r>
    </w:p>
    <w:p>
      <w:pPr>
        <w:pStyle w:val="Compact"/>
        <w:numPr>
          <w:ilvl w:val="0"/>
          <w:numId w:val="1019"/>
        </w:numPr>
      </w:pPr>
      <w:r>
        <w:t xml:space="preserve">измерими показатели;</w:t>
      </w:r>
    </w:p>
    <w:p>
      <w:pPr>
        <w:pStyle w:val="Compact"/>
        <w:numPr>
          <w:ilvl w:val="0"/>
          <w:numId w:val="1019"/>
        </w:numPr>
      </w:pPr>
      <w:r>
        <w:t xml:space="preserve">механизъм за изпълнение;</w:t>
      </w:r>
    </w:p>
    <w:p>
      <w:pPr>
        <w:pStyle w:val="Compact"/>
        <w:numPr>
          <w:ilvl w:val="0"/>
          <w:numId w:val="1019"/>
        </w:numPr>
      </w:pPr>
      <w:r>
        <w:t xml:space="preserve">последващо тестване и адаптация.</w:t>
      </w:r>
    </w:p>
    <w:p>
      <w:r>
        <w:pict>
          <v:rect style="width:0;height:1.5pt" o:hralign="center" o:hrstd="t" o:hr="t"/>
        </w:pict>
      </w:r>
    </w:p>
    <w:bookmarkEnd w:id="49"/>
    <w:bookmarkStart w:id="50" w:name="предлаганата-добавена-стойност"/>
    <w:p>
      <w:pPr>
        <w:pStyle w:val="Heading1"/>
      </w:pPr>
      <w:r>
        <w:rPr>
          <w:b/>
          <w:bCs/>
        </w:rPr>
        <w:t xml:space="preserve">14. Предлаганата добавена стойност</w:t>
      </w:r>
    </w:p>
    <w:p>
      <w:pPr>
        <w:pStyle w:val="FirstParagraph"/>
      </w:pPr>
      <w:r>
        <w:t xml:space="preserve">Недостигът на идеи вероятно не е основният проблем на българския лозаро-винарски сектор.</w:t>
      </w:r>
    </w:p>
    <w:p>
      <w:pPr>
        <w:pStyle w:val="BodyText"/>
      </w:pPr>
      <w:r>
        <w:t xml:space="preserve">Съществуват предложения от производители, браншови организации, администрация, туристически бизнес, икономисти и маркетингови специалисти.</w:t>
      </w:r>
    </w:p>
    <w:p>
      <w:pPr>
        <w:pStyle w:val="BodyText"/>
      </w:pPr>
      <w:r>
        <w:t xml:space="preserve">По-същественият проблем е, че тези идеи възникват и се прилагат</w:t>
      </w:r>
      <w:r>
        <w:t xml:space="preserve"> </w:t>
      </w:r>
      <w:r>
        <w:rPr>
          <w:b/>
          <w:bCs/>
        </w:rPr>
        <w:t xml:space="preserve">в различни части на една сложна система, без цялата система да бъде разглеждана, моделирана и тествана като единен функционален механизъм</w:t>
      </w:r>
      <w:r>
        <w:t xml:space="preserve">.</w:t>
      </w:r>
    </w:p>
    <w:p>
      <w:pPr>
        <w:pStyle w:val="BodyText"/>
      </w:pPr>
      <w:r>
        <w:t xml:space="preserve">Именно тук е специфичната роля на Центъра за смарт технологии:</w:t>
      </w:r>
    </w:p>
    <w:p>
      <w:pPr>
        <w:pStyle w:val="BlockText"/>
      </w:pPr>
      <w:r>
        <w:rPr>
          <w:b/>
          <w:bCs/>
        </w:rPr>
        <w:t xml:space="preserve">не да добави поредната мярка към съществуващия набор от мерки, а да установи как институциите, регулациите, икономическите стимули, бизнес процесите, информацията и поведението на участниците трябва да функционират съвместно, така че системата като цяло да започне устойчиво да произвежда желания пазарен резултат.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