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69DC8D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Относно: Предложение за първия приложен научноизследователски проект на Центъра за смарт технологии и искане за предварителна оценка на необходимите ресурси</w:t>
      </w:r>
    </w:p>
    <w:p w14:paraId="183ECA1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Уважаеми колеги,</w:t>
      </w:r>
    </w:p>
    <w:p w14:paraId="3BDAB489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Във връзка с напредъка по създаването на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Центъра за смарт технологии – Лаборатория за архитектура и инженеринг на социално-институционални системи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бих искал да предложа Центърът да поеме своя първи приложен научноизследователски проект.</w:t>
      </w:r>
    </w:p>
    <w:p w14:paraId="504CB4C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Макар че Центърът все още изгражда своята организационна структура и не разполага с трайно осигурено финансиране, успешното изпълнение на една съществена задача от реалния обществен и икономически живот би представлявало най-силното доказателство за неговата научна значимост, практическа стойност и интердисциплинарен капацитет.</w:t>
      </w:r>
    </w:p>
    <w:p w14:paraId="29BF0072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Един успешен първи проект би изпълнил ролята на доказателство за приложимостта на методологията на Центъра, би обосновал необходимостта от неговото институционално съществуване и би укрепил значително възможностите ни за привличане на университетско, държавно, европейско и частно финансиране.</w:t>
      </w:r>
    </w:p>
    <w:p w14:paraId="1F80CEF6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Предложен проект</w:t>
      </w:r>
    </w:p>
    <w:p w14:paraId="2B907A07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Системна архитектура и стратегическа трансформация на българския лозаро-винарски сектор</w:t>
      </w:r>
    </w:p>
    <w:p w14:paraId="60A61D08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Българският лозаро-винарски сектор се намира в продължителен процес на отслабване на своята конкурентоспособност, вътрешен пазарен дял и способност за генериране на приходи и добавена стойност.</w:t>
      </w:r>
    </w:p>
    <w:p w14:paraId="5FB4A87A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Този спад е резултат от взаимодействието на множество регулаторни, институционални, икономически, финансови, търговски, технологични, демографски, психологически и културни фактори. Сред видимите последици са:</w:t>
      </w:r>
    </w:p>
    <w:p w14:paraId="30B031BA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нарастването на вноса на вина в ниския ценови сегмент;</w:t>
      </w:r>
    </w:p>
    <w:p w14:paraId="72708B80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изместването на българските продукти от важни сегменти на вътрешния пазар;</w:t>
      </w:r>
    </w:p>
    <w:p w14:paraId="62A4B305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търговските и снабдителните политики на големите вериги за търговия на дребно;</w:t>
      </w:r>
    </w:p>
    <w:p w14:paraId="6374BAE1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слабата координация между отговорните държавни институции;</w:t>
      </w:r>
    </w:p>
    <w:p w14:paraId="10323171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фрагментираното представителство на лозарите и винопроизводителите;</w:t>
      </w:r>
    </w:p>
    <w:p w14:paraId="709F7E82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недостатъчният секторен аналитичен и експертен капацитет;</w:t>
      </w:r>
    </w:p>
    <w:p w14:paraId="31C545DA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ограничената интеграция между производството на вино и развития туристически сектор на България;</w:t>
      </w:r>
    </w:p>
    <w:p w14:paraId="78158300" w14:textId="77777777" w:rsidR="00D96F61" w:rsidRPr="00D96F61" w:rsidRDefault="00D96F61" w:rsidP="00D9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липсата на последователна дългосрочна национална стратегия за сектора.</w:t>
      </w:r>
    </w:p>
    <w:p w14:paraId="6C4F89CA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Последните инициативи на представители на лозарския сектор, включително предложенията, свързани с преструктурирането на лозовите насаждения и по-тясната 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координация между компетентните държавни органи, показват нарастващо разбиране, че тези проблеми не могат да бъдат решени чрез отделни и несъгласувани мерки.</w:t>
      </w:r>
    </w:p>
    <w:p w14:paraId="4265EEB6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Приложеното предложение съдържа подробно обосноваване на доброволна и целева интервенция за окончателно изкореняване на икономически нежизнеспособни, изоставени или застрашени от изоставяне лозови насаждения. В него се посочват структурният пазарен дисбаланс, трудно реализируемите запаси, увеличаващият се внос, загубата на пазарен дял, производството под себестойност, неприбраната реколта, недостигът на работна ръка и фитосанитарните рискове. Тези въпроси следва да бъдат разглеждани като важни елементи на по-широката система, а не като изчерпателен предмет на бъдещото изследване.</w:t>
      </w:r>
    </w:p>
    <w:p w14:paraId="5B839E59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Проектът следва да анализира българския лозаро-винарски сектор като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сложна социално-институционална система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чието общо функциониране и резултати произтичат от действието и взаимодействието на множество взаимосвързани подсистеми.</w:t>
      </w:r>
    </w:p>
    <w:p w14:paraId="635E9B3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Целта не е да бъдат защитавани интересите на отделен производител, сдружение или пазарен участник. Не се цели и предлагането на протекционистични ограничения, несъвместими с европейското право.</w:t>
      </w:r>
    </w:p>
    <w:p w14:paraId="3F747EFE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Целта е да бъдат идентифицирани структурните дефицити, които възпрепятстват българските лозари и винопроизводители да се конкурират успешно при съществуващите пазарни условия, и да бъде разработена интегрирана програма от законосъобразни и пропорционални мерки, които:</w:t>
      </w:r>
    </w:p>
    <w:p w14:paraId="7338A818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подобряват функционирането на сектора;</w:t>
      </w:r>
    </w:p>
    <w:p w14:paraId="5F95880B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укрепват неговата вътрешна и международна конкурентоспособност;</w:t>
      </w:r>
    </w:p>
    <w:p w14:paraId="0690FA6C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увеличават капацитета му да създава добавена стойност и устойчиви приходи;</w:t>
      </w:r>
    </w:p>
    <w:p w14:paraId="02E3AE58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развиват синергии с туризма, културата и регионалното развитие;</w:t>
      </w:r>
    </w:p>
    <w:p w14:paraId="73A426C7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съхраняват жизнеспособните лозарски райони и местните сортове;</w:t>
      </w:r>
    </w:p>
    <w:p w14:paraId="7B70A511" w14:textId="77777777" w:rsidR="00D96F61" w:rsidRPr="00D96F61" w:rsidRDefault="00D96F61" w:rsidP="00D9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съответстват на правото на Европейския съюз, принципите на Единния пазар и лоялната конкуренция.</w:t>
      </w:r>
    </w:p>
    <w:p w14:paraId="2B7968D9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Научна рамка</w:t>
      </w:r>
    </w:p>
    <w:p w14:paraId="6BB8276B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Проектът ще представлява първото цялостно практическо приложение на научната рамка на Центъра за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алгоритмизация на социалните процеси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2CD24DE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Тази рамка изхожда от разбирането, че социално-институционалните системи са създадени от човека системи, предназначени да постигат определени човешки цели.</w:t>
      </w:r>
    </w:p>
    <w:p w14:paraId="630C08D3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Публичните политики, институциите, регулаторните режими, пазарите, организациите и организираните форми на колективно поведение не функционират произволно. Те действат чрез повтарящи се последователности на:</w:t>
      </w:r>
    </w:p>
    <w:p w14:paraId="5FBB7EFC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събиране на информация;</w:t>
      </w:r>
    </w:p>
    <w:p w14:paraId="37037ECF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класифициране и интерпретиране;</w:t>
      </w:r>
    </w:p>
    <w:p w14:paraId="1C24AF4E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вземане на решения;</w:t>
      </w:r>
    </w:p>
    <w:p w14:paraId="46661096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разпределяне на правомощия и ресурси;</w:t>
      </w:r>
    </w:p>
    <w:p w14:paraId="54972EBF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прилагане на правила;</w:t>
      </w:r>
    </w:p>
    <w:p w14:paraId="46E93093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взаимодействие между институционални участници;</w:t>
      </w:r>
    </w:p>
    <w:p w14:paraId="7AF95369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икономически и поведенчески реакции;</w:t>
      </w:r>
    </w:p>
    <w:p w14:paraId="4A01E572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наблюдение и обратна връзка;</w:t>
      </w:r>
    </w:p>
    <w:p w14:paraId="45CC1B75" w14:textId="77777777" w:rsidR="00D96F61" w:rsidRPr="00D96F61" w:rsidRDefault="00D96F61" w:rsidP="00D9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корекция или липса на корекция.</w:t>
      </w:r>
    </w:p>
    <w:p w14:paraId="4246379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Тези повтарящи се последователности имат по същество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алгоритмична структура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ACE63E9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Следователно една социално-институционална система може да бъде представена като архитектура от взаимодействащи формални и неформални алгоритми. Тези алгоритми преобразуват входни елементи — като информация, капитал, труд, законодателство, стимули и потребителско търсене — в решения, действия и измерими икономически или обществени резултати.</w:t>
      </w:r>
    </w:p>
    <w:p w14:paraId="7ADB97E4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Както при техническите и изчислителните системи, дефектите във функционирането могат да произтичат от:</w:t>
      </w:r>
    </w:p>
    <w:p w14:paraId="555EF326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неправилно определени или противоречащи си цели;</w:t>
      </w:r>
    </w:p>
    <w:p w14:paraId="36A2D33E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дефектна системна архитектура;</w:t>
      </w:r>
    </w:p>
    <w:p w14:paraId="1F8ED495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непълни, закъснели или ненадеждни входни данни;</w:t>
      </w:r>
    </w:p>
    <w:p w14:paraId="457E108D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несъгласувани правила за вземане на решения;</w:t>
      </w:r>
    </w:p>
    <w:p w14:paraId="104DC273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неправилно разпределени отговорности;</w:t>
      </w:r>
    </w:p>
    <w:p w14:paraId="1229655C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несъвместими стимули;</w:t>
      </w:r>
    </w:p>
    <w:p w14:paraId="59223B02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недостатъци в комуникацията и координацията;</w:t>
      </w:r>
    </w:p>
    <w:p w14:paraId="113EAB99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липсващи или неефективни механизми за обратна връзка;</w:t>
      </w:r>
    </w:p>
    <w:p w14:paraId="2C49C754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прекомерна процедурна сложност;</w:t>
      </w:r>
    </w:p>
    <w:p w14:paraId="2570A494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непредвидени резултати;</w:t>
      </w:r>
    </w:p>
    <w:p w14:paraId="6D668B0B" w14:textId="77777777" w:rsidR="00D96F61" w:rsidRPr="00D96F61" w:rsidRDefault="00D96F61" w:rsidP="00D9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неспособност за реакция при промени във външната среда.</w:t>
      </w:r>
    </w:p>
    <w:p w14:paraId="11F1179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Следователно основната научна задача е да бъдат реконструирани реалните алгоритми, чрез които функционира българският лозаро-винарски сектор, техните резултати да бъдат сравнени с целите, на които следва да служат, и да бъдат идентифицирани местата, в които системата изисква корекция, препроектиране или адаптация.</w:t>
      </w:r>
    </w:p>
    <w:p w14:paraId="6921BECF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Методология на приложното изследване</w:t>
      </w:r>
    </w:p>
    <w:p w14:paraId="4EA200B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Центърът ще приложи своята оперативна методология:</w:t>
      </w:r>
    </w:p>
    <w:p w14:paraId="38013296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Алгоритмичен системен анализ и инженеринг на социално-институционални системи – ASAESIS</w:t>
      </w:r>
    </w:p>
    <w:p w14:paraId="20FE6562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Теоретичната рамка на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алгоритмизацията на социалните процеси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обяснява алгоритмичния характер на създадените от човека системи.</w:t>
      </w:r>
    </w:p>
    <w:p w14:paraId="5A841F9D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Методологията ASAESIS превръща тази теоретична рамка във възпроизводим приложен научноизследователски и системно-инженерен метод.</w:t>
      </w:r>
    </w:p>
    <w:p w14:paraId="19BDC106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При този подход българският лозаро-винарски сектор ще бъде разглеждан като адаптивна алгоритмична архитектура, съставена от взаимосвързани:</w:t>
      </w:r>
    </w:p>
    <w:p w14:paraId="1FA2C7BE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производствени системи;</w:t>
      </w:r>
    </w:p>
    <w:p w14:paraId="42D57F38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пазарни и дистрибуционни системи;</w:t>
      </w:r>
    </w:p>
    <w:p w14:paraId="137E4DDB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регулаторни системи;</w:t>
      </w:r>
    </w:p>
    <w:p w14:paraId="6F7D7B1C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институционални системи;</w:t>
      </w:r>
    </w:p>
    <w:p w14:paraId="3BE8D5FC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финансови механизми;</w:t>
      </w:r>
    </w:p>
    <w:p w14:paraId="6E660547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системи на туризма и хотелиерството;</w:t>
      </w:r>
    </w:p>
    <w:p w14:paraId="5AE561BD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културни системи и системи на потребителското поведение;</w:t>
      </w:r>
    </w:p>
    <w:p w14:paraId="2CE36D8C" w14:textId="77777777" w:rsidR="00D96F61" w:rsidRPr="00D96F61" w:rsidRDefault="00D96F61" w:rsidP="00D96F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информационни системи и механизми за обратна връзка.</w:t>
      </w:r>
    </w:p>
    <w:p w14:paraId="2BEE5E3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Методологията следва да премине през следните етапи.</w:t>
      </w:r>
    </w:p>
    <w:p w14:paraId="72A03878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Определяне на целите</w:t>
      </w:r>
    </w:p>
    <w:p w14:paraId="07A3360E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определени обществените, икономическите, социалните, регионалните и културните цели, на които следва да служи българският лозаро-винарски сектор.</w:t>
      </w:r>
    </w:p>
    <w:p w14:paraId="1B5D5E2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се установи дали тези цели са ясно формулирани, съгласувани, измерими и взаимно съвместими.</w:t>
      </w:r>
    </w:p>
    <w:p w14:paraId="67F0BD73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Определяне на границите на системата</w:t>
      </w:r>
    </w:p>
    <w:p w14:paraId="19A0DE17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идентифицирани институциите, пазарите, участниците, дейностите и външните условия, които са част от системата или действат като ограничения на средата.</w:t>
      </w:r>
    </w:p>
    <w:p w14:paraId="4B74CEC1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Картографиране на системната архитектура</w:t>
      </w:r>
    </w:p>
    <w:p w14:paraId="5B2C970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картографирани основните компоненти на лозаро-винарската екосистема и структурните отношения между тях.</w:t>
      </w:r>
    </w:p>
    <w:p w14:paraId="58A9F9D9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Картографиране на алгоритмите и процесите</w:t>
      </w:r>
    </w:p>
    <w:p w14:paraId="0BE2D6AC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реконструирани формалните и неформалните алгоритми, които управляват:</w:t>
      </w:r>
    </w:p>
    <w:p w14:paraId="185239FC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формулирането на политики;</w:t>
      </w:r>
    </w:p>
    <w:p w14:paraId="2587468D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прилагането на регулации;</w:t>
      </w:r>
    </w:p>
    <w:p w14:paraId="51AA4612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разпределянето на субсидии;</w:t>
      </w:r>
    </w:p>
    <w:p w14:paraId="0C4EF8E2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управлението на лозовите насаждения;</w:t>
      </w:r>
    </w:p>
    <w:p w14:paraId="4CAEAF7F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изкупуването на грозде;</w:t>
      </w:r>
    </w:p>
    <w:p w14:paraId="648F7A38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производството на вино;</w:t>
      </w:r>
    </w:p>
    <w:p w14:paraId="6F50A370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ценообразуването;</w:t>
      </w:r>
    </w:p>
    <w:p w14:paraId="039AEB83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дистрибуцията;</w:t>
      </w:r>
    </w:p>
    <w:p w14:paraId="6949C2C0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включването и позиционирането на продукти в търговските вериги;</w:t>
      </w:r>
    </w:p>
    <w:p w14:paraId="4DC12880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снабдяването на туристическия сектор;</w:t>
      </w:r>
    </w:p>
    <w:p w14:paraId="063B8DCC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насърчаването на износа;</w:t>
      </w:r>
    </w:p>
    <w:p w14:paraId="35BB6FAD" w14:textId="77777777" w:rsidR="00D96F61" w:rsidRPr="00D96F61" w:rsidRDefault="00D96F61" w:rsidP="00D96F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потребителския избор.</w:t>
      </w:r>
    </w:p>
    <w:p w14:paraId="72B80BE6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 Анализ на заинтересованите страни, отговорностите и стимулите</w:t>
      </w:r>
    </w:p>
    <w:p w14:paraId="19AD5E68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идентифицирани интересите, компетентностите, стимулите, ограниченията и поведенческите реакции на:</w:t>
      </w:r>
    </w:p>
    <w:p w14:paraId="2B0B8C2E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лозарите;</w:t>
      </w:r>
    </w:p>
    <w:p w14:paraId="750D96BA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винопроизводителите;</w:t>
      </w:r>
    </w:p>
    <w:p w14:paraId="255C4B7E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браншовите и производителските организации;</w:t>
      </w:r>
    </w:p>
    <w:p w14:paraId="60C8E63B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търговските вериги;</w:t>
      </w:r>
    </w:p>
    <w:p w14:paraId="16354DE3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хотелите и ресторантите;</w:t>
      </w:r>
    </w:p>
    <w:p w14:paraId="15F9B8E3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туристическите оператори;</w:t>
      </w:r>
    </w:p>
    <w:p w14:paraId="28369184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потребителите;</w:t>
      </w:r>
    </w:p>
    <w:p w14:paraId="50793F82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министерствата;</w:t>
      </w:r>
    </w:p>
    <w:p w14:paraId="56862DCD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държавните агенции;</w:t>
      </w:r>
    </w:p>
    <w:p w14:paraId="7497E790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общините;</w:t>
      </w:r>
    </w:p>
    <w:p w14:paraId="029B7434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финансовите институции;</w:t>
      </w:r>
    </w:p>
    <w:p w14:paraId="20C5B028" w14:textId="77777777" w:rsidR="00D96F61" w:rsidRPr="00D96F61" w:rsidRDefault="00D96F61" w:rsidP="00D96F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образователните и културните организации.</w:t>
      </w:r>
    </w:p>
    <w:p w14:paraId="5B03AA06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Оценка на данните и качеството на входната информация</w:t>
      </w:r>
    </w:p>
    <w:p w14:paraId="369EA19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оценени наличността, надеждността, съгласуваността и навременността на статистическата, финансовата, пазарната и административната информация, използвана при публичните и частните решения.</w:t>
      </w:r>
    </w:p>
    <w:p w14:paraId="7EA8F50A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Измерване на резултатите</w:t>
      </w:r>
    </w:p>
    <w:p w14:paraId="32CD77C5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Системата да бъде оценена чрез количествени и качествени показатели, включително:</w:t>
      </w:r>
    </w:p>
    <w:p w14:paraId="0F789311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пазарен дял;</w:t>
      </w:r>
    </w:p>
    <w:p w14:paraId="1FAEA621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добавена стойност;</w:t>
      </w:r>
    </w:p>
    <w:p w14:paraId="0A280740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рентабилност;</w:t>
      </w:r>
    </w:p>
    <w:p w14:paraId="3CAACBC3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производителност;</w:t>
      </w:r>
    </w:p>
    <w:p w14:paraId="7F57C370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експортни резултати;</w:t>
      </w:r>
    </w:p>
    <w:p w14:paraId="64F1AA74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инвестиции;</w:t>
      </w:r>
    </w:p>
    <w:p w14:paraId="26250D44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заетост;</w:t>
      </w:r>
    </w:p>
    <w:p w14:paraId="767ABD78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устойчивост на лозовите насаждения;</w:t>
      </w:r>
    </w:p>
    <w:p w14:paraId="5DC3A7A4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потребителска разпознаваемост;</w:t>
      </w:r>
    </w:p>
    <w:p w14:paraId="360332F1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интеграция с туризма;</w:t>
      </w:r>
    </w:p>
    <w:p w14:paraId="33C624C3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институционална ефективност;</w:t>
      </w:r>
    </w:p>
    <w:p w14:paraId="537D252E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регулаторна резултатност;</w:t>
      </w:r>
    </w:p>
    <w:p w14:paraId="03083579" w14:textId="77777777" w:rsidR="00D96F61" w:rsidRPr="00D96F61" w:rsidRDefault="00D96F61" w:rsidP="00D96F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адаптивност.</w:t>
      </w:r>
    </w:p>
    <w:p w14:paraId="6CF81BAD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Анализ на алгоритмичните откази</w:t>
      </w:r>
    </w:p>
    <w:p w14:paraId="054AA8F3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идентифицирани тесните места, противоречивите правила, изкривените стимули, координационните дефицити, липсващата обратна връзка, информационните асиметрии и непредвидените последици.</w:t>
      </w:r>
    </w:p>
    <w:p w14:paraId="1C40284E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 Моделиране на алтернативни архитектури</w:t>
      </w:r>
    </w:p>
    <w:p w14:paraId="6456EA63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Да бъдат разработени и оценени алтернативни конфигурации на политиките, институциите, пазарите и организациите.</w:t>
      </w:r>
    </w:p>
    <w:p w14:paraId="756ABEB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Когато наличните данни позволяват, сценариите следва да бъдат проверени спрямо очакваните резултати, разходи, рискове и разпределителни ефекти.</w:t>
      </w:r>
    </w:p>
    <w:p w14:paraId="1B226744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 Интегрирано системно препроектиране</w:t>
      </w:r>
    </w:p>
    <w:p w14:paraId="11E062D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бъде формулиран съгласуван пакет от:</w:t>
      </w:r>
    </w:p>
    <w:p w14:paraId="683B877F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препоръки за публични политики;</w:t>
      </w:r>
    </w:p>
    <w:p w14:paraId="4ECA0D58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регулаторни подобрения;</w:t>
      </w:r>
    </w:p>
    <w:p w14:paraId="386ECCA0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институционални реформи;</w:t>
      </w:r>
    </w:p>
    <w:p w14:paraId="0DACDFEF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финансови инструменти;</w:t>
      </w:r>
    </w:p>
    <w:p w14:paraId="3C178414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мерки за развитие на пазара;</w:t>
      </w:r>
    </w:p>
    <w:p w14:paraId="6D32CC34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инициативи в областта на туризма;</w:t>
      </w:r>
    </w:p>
    <w:p w14:paraId="50D0D808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потребителски и културни програми;</w:t>
      </w:r>
    </w:p>
    <w:p w14:paraId="76FC8F62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образователни мерки;</w:t>
      </w:r>
    </w:p>
    <w:p w14:paraId="521592B2" w14:textId="77777777" w:rsidR="00D96F61" w:rsidRPr="00D96F61" w:rsidRDefault="00D96F61" w:rsidP="00D96F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цифрови и информационни системи.</w:t>
      </w:r>
    </w:p>
    <w:p w14:paraId="20A98651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11. Оценка за съответствие с правото и пазарните принципи</w:t>
      </w:r>
    </w:p>
    <w:p w14:paraId="2292882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Всяка предложена интервенция да бъде проверена за съответствие с:</w:t>
      </w:r>
    </w:p>
    <w:p w14:paraId="6A7CFE07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правото на Европейския съюз;</w:t>
      </w:r>
    </w:p>
    <w:p w14:paraId="582A3A8B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Общата селскостопанска политика;</w:t>
      </w:r>
    </w:p>
    <w:p w14:paraId="6714C4D4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правилата за конкуренция и държавни помощи;</w:t>
      </w:r>
    </w:p>
    <w:p w14:paraId="22CFED28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свободното движение на стоки;</w:t>
      </w:r>
    </w:p>
    <w:p w14:paraId="1DC9DFD7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изискванията за обществени поръчки;</w:t>
      </w:r>
    </w:p>
    <w:p w14:paraId="649CF972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принципите на пропорционалност;</w:t>
      </w:r>
    </w:p>
    <w:p w14:paraId="751A690C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прозрачност;</w:t>
      </w:r>
    </w:p>
    <w:p w14:paraId="113CDB03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недискриминация;</w:t>
      </w:r>
    </w:p>
    <w:p w14:paraId="66AAB9E9" w14:textId="77777777" w:rsidR="00D96F61" w:rsidRPr="00D96F61" w:rsidRDefault="00D96F61" w:rsidP="00D96F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свободна пазарна икономика.</w:t>
      </w:r>
    </w:p>
    <w:p w14:paraId="3EAB05D9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12. Изпълнение и адаптивно управление</w:t>
      </w:r>
    </w:p>
    <w:p w14:paraId="420C266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 бъдат определени отговорностите, точките за вземане на решения, последователността на действията, необходимото финансиране, основните етапи и показателите за изпълнение.</w:t>
      </w:r>
    </w:p>
    <w:p w14:paraId="67293B3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Докладът следва да създаде механизми за обратна връзка и периодичен преглед, чрез които предложените мерки да бъдат изпитвани, оценявани и коригирани при промяна на пазарната и институционалната среда.</w:t>
      </w:r>
    </w:p>
    <w:p w14:paraId="33D0AC7B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Очаквани резултати</w:t>
      </w:r>
    </w:p>
    <w:p w14:paraId="6775B0D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Проектът следва да произведе следните основни резултати:</w:t>
      </w:r>
    </w:p>
    <w:p w14:paraId="290D1C5E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Доклад за системна диагностика</w:t>
      </w:r>
    </w:p>
    <w:p w14:paraId="7705FED6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Цялостна оценка на архитектурата и настоящото функциониране на българската лозаро-винарска екосистема.</w:t>
      </w:r>
    </w:p>
    <w:p w14:paraId="3C0E5CE4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Модел на системната архитектура</w:t>
      </w:r>
    </w:p>
    <w:p w14:paraId="0E0E682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Структурирано представяне на институционалните компоненти, процесите на вземане на решения, информационните потоци, стимулите, механизмите за обратна връзка и взаимозависимостите в сектора.</w:t>
      </w:r>
    </w:p>
    <w:p w14:paraId="59BD7089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Анализ на алгоритмичните откази и възможностите</w:t>
      </w:r>
    </w:p>
    <w:p w14:paraId="53931A99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Идентифициране на структурните неефективности, регулаторните противоречия, пазарните дефекти, координационните дефицити и възможностите за създаване на добавена стойност.</w:t>
      </w:r>
    </w:p>
    <w:p w14:paraId="4D704FD3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Интегрирана програма за политики и трансформация</w:t>
      </w:r>
    </w:p>
    <w:p w14:paraId="68B32F3C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Съгласуван пакет от регулаторни, институционални, икономически, финансови, пазарни, туристически, културни, образователни и поведенчески препоръки.</w:t>
      </w:r>
    </w:p>
    <w:p w14:paraId="3D280BFB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Оценка за съответствие с правото на ЕС и принципите на свободния пазар</w:t>
      </w:r>
    </w:p>
    <w:p w14:paraId="44606756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Оценка на законосъобразността, пропорционалността и конкурентната неутралност на предложените мерки.</w:t>
      </w:r>
    </w:p>
    <w:p w14:paraId="41692F33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Пътна карта за изпълнение</w:t>
      </w:r>
    </w:p>
    <w:p w14:paraId="7B449303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Практическа програма, която определя:</w:t>
      </w:r>
    </w:p>
    <w:p w14:paraId="10C8D1FA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отговорните институции;</w:t>
      </w:r>
    </w:p>
    <w:p w14:paraId="032C2F47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участващите заинтересовани страни;</w:t>
      </w:r>
    </w:p>
    <w:p w14:paraId="511E66E5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законодателните и административните действия;</w:t>
      </w:r>
    </w:p>
    <w:p w14:paraId="165E5090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необходимото финансиране;</w:t>
      </w:r>
    </w:p>
    <w:p w14:paraId="3B4567F9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приоритетите;</w:t>
      </w:r>
    </w:p>
    <w:p w14:paraId="70B2961E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основните етапи;</w:t>
      </w:r>
    </w:p>
    <w:p w14:paraId="0E35F4DD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рисковете;</w:t>
      </w:r>
    </w:p>
    <w:p w14:paraId="46FF6E6B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показателите за изпълнение;</w:t>
      </w:r>
    </w:p>
    <w:p w14:paraId="503BD82F" w14:textId="77777777" w:rsidR="00D96F61" w:rsidRPr="00D96F61" w:rsidRDefault="00D96F61" w:rsidP="00D96F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процедурите за наблюдение и адаптация.</w:t>
      </w:r>
    </w:p>
    <w:p w14:paraId="22E170B2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Резюме за изпълнителната власт</w:t>
      </w:r>
    </w:p>
    <w:p w14:paraId="3DAD2C8A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Кратък и практически ориентиран документ, подходящ за официално представяне пред Министерския съвет и компетентните министерства.</w:t>
      </w:r>
    </w:p>
    <w:p w14:paraId="379275BC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Проектът следва да се превърне в първия демонстрационен пример за способността на Центъра да прилага алгоритмичен системен инженеринг към сложни проблеми на публичната политика и социално-икономическата трансформация.</w:t>
      </w:r>
    </w:p>
    <w:p w14:paraId="08BB91B4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Предварителна оценка на ресурсите и бюджета</w:t>
      </w:r>
    </w:p>
    <w:p w14:paraId="1ED16927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Предвид мащаба и интердисциплинарния характер на задачата, каня всеки от колегите, участващи в Центъра, да представи предварителна оценка на човешките, техническите и финансовите ресурси, необходими за нейното качествено изпълнение.</w:t>
      </w:r>
    </w:p>
    <w:p w14:paraId="62BBD0F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 този етап целта не е да се определи окончателна договорна цена, а да се установи реалистичен порядък на необходимите средства и да се идентифицират експертизата, времето и външните ресурси, без които проектът не би могъл да бъде изпълнен отговорно.</w:t>
      </w:r>
    </w:p>
    <w:p w14:paraId="5A4B63DF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Всеки колега се приканва да посочи:</w:t>
      </w:r>
    </w:p>
    <w:p w14:paraId="1943564E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предлаганата област и обхват на своето участие;</w:t>
      </w:r>
    </w:p>
    <w:p w14:paraId="47529E37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изследователските въпроси или работния пакет, който би могъл да ръководи или подпомага;</w:t>
      </w:r>
    </w:p>
    <w:p w14:paraId="478C8071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приблизителния брой необходими човекодни;</w:t>
      </w:r>
    </w:p>
    <w:p w14:paraId="74284E6E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академичния, професионалния или техническия персонал, който следва да бъде включен;</w:t>
      </w:r>
    </w:p>
    <w:p w14:paraId="4955DAEE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експертизата, която към момента не е представена в Центъра;</w:t>
      </w:r>
    </w:p>
    <w:p w14:paraId="7DBCB7CC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необходимите статистически, икономически, правни, финансови, поведенчески или системно-инженерни анализи;</w:t>
      </w:r>
    </w:p>
    <w:p w14:paraId="4BE3F70F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необходимите бази данни, софтуер и аналитични инструменти;</w:t>
      </w:r>
    </w:p>
    <w:p w14:paraId="0389CE26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интервютата, консултациите, проучванията и посещенията на място;</w:t>
      </w:r>
    </w:p>
    <w:p w14:paraId="58B63728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разходите за превод, редакция, графичен дизайн и публикуване;</w:t>
      </w:r>
    </w:p>
    <w:p w14:paraId="616EF1F0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административната и проектно-управленската подкрепа;</w:t>
      </w:r>
    </w:p>
    <w:p w14:paraId="7844806A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разходите за комуникация, представяне и разпространение;</w:t>
      </w:r>
    </w:p>
    <w:p w14:paraId="76FF68DA" w14:textId="77777777" w:rsidR="00D96F61" w:rsidRPr="00D96F61" w:rsidRDefault="00D96F61" w:rsidP="00D96F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необходимостта от резерв за непредвидени разходи или външна експертна проверка.</w:t>
      </w:r>
    </w:p>
    <w:p w14:paraId="3F666742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Оценките следва, доколкото е възможно, да разграничат:</w:t>
      </w:r>
    </w:p>
    <w:p w14:paraId="569436C0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вътрешния академичен принос;</w:t>
      </w:r>
    </w:p>
    <w:p w14:paraId="0F05538C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платената експертна работа;</w:t>
      </w:r>
    </w:p>
    <w:p w14:paraId="5A62D5A2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външните услуги;</w:t>
      </w:r>
    </w:p>
    <w:p w14:paraId="1CAA9566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разходите за данни и софтуер;</w:t>
      </w:r>
    </w:p>
    <w:p w14:paraId="573232F5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пътните и консултантските разходи;</w:t>
      </w:r>
    </w:p>
    <w:p w14:paraId="3BD9D717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разходите за управление на проекта;</w:t>
      </w:r>
    </w:p>
    <w:p w14:paraId="2F1D7163" w14:textId="77777777" w:rsidR="00D96F61" w:rsidRPr="00D96F61" w:rsidRDefault="00D96F61" w:rsidP="00D96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разходите за публикация и разпространение.</w:t>
      </w:r>
    </w:p>
    <w:p w14:paraId="1793A94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Въз основа на получените оценки ще подготвим:</w:t>
      </w:r>
    </w:p>
    <w:p w14:paraId="16D0BE44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предварителна структура на проекта;</w:t>
      </w:r>
    </w:p>
    <w:p w14:paraId="611FEB27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разпределение на работните пакети;</w:t>
      </w:r>
    </w:p>
    <w:p w14:paraId="208D16B4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ориентировъчен график за изпълнение;</w:t>
      </w:r>
    </w:p>
    <w:p w14:paraId="5FACC191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консолидиран план за човешките ресурси;</w:t>
      </w:r>
    </w:p>
    <w:p w14:paraId="018AD124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предварителен бюджет;</w:t>
      </w:r>
    </w:p>
    <w:p w14:paraId="4585F00D" w14:textId="77777777" w:rsidR="00D96F61" w:rsidRPr="00D96F61" w:rsidRDefault="00D96F61" w:rsidP="00D96F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алтернативни минимален, стандартен и разширен сценарий за изпълнение.</w:t>
      </w:r>
    </w:p>
    <w:p w14:paraId="3E56EF60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След това ще се стремим да осигурим необходимия бюджет от всички реалистично достъпни източници, включително:</w:t>
      </w:r>
    </w:p>
    <w:p w14:paraId="282A1436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вътрешни ресурси на участващите университети;</w:t>
      </w:r>
    </w:p>
    <w:p w14:paraId="71562964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национални програми за научни изследвания и иновации;</w:t>
      </w:r>
    </w:p>
    <w:p w14:paraId="117ED000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Министерството на земеделието и храните;</w:t>
      </w:r>
    </w:p>
    <w:p w14:paraId="48FE4E6A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Министерството на туризма;</w:t>
      </w:r>
    </w:p>
    <w:p w14:paraId="5F131E1C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други компетентни държавни институции;</w:t>
      </w:r>
    </w:p>
    <w:p w14:paraId="7B76FDB2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програми и инструменти на Европейския съюз;</w:t>
      </w:r>
    </w:p>
    <w:p w14:paraId="1EEF9A97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общини и структури за регионално развитие;</w:t>
      </w:r>
    </w:p>
    <w:p w14:paraId="690A4F2C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браншови и производителски организации;</w:t>
      </w:r>
    </w:p>
    <w:p w14:paraId="4B8C2D4A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частни спонсори и фондации;</w:t>
      </w:r>
    </w:p>
    <w:p w14:paraId="5BB255B6" w14:textId="77777777" w:rsidR="00D96F61" w:rsidRPr="00D96F61" w:rsidRDefault="00D96F61" w:rsidP="00D96F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възложено научно изследване или консултантско финансиране.</w:t>
      </w:r>
    </w:p>
    <w:p w14:paraId="638EFB2F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Всеки принос от частния сектор или от заинтересовани страни следва да бъде подчинен на ясни гаранции за запазване на научната независимост, прозрачността и свободата на Центъра да достига до обосновани от доказателствата заключения.</w:t>
      </w:r>
    </w:p>
    <w:p w14:paraId="7F4732A1" w14:textId="77777777" w:rsidR="00D96F61" w:rsidRPr="00D96F61" w:rsidRDefault="00D96F61" w:rsidP="00D9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Институционално значение</w:t>
      </w:r>
    </w:p>
    <w:p w14:paraId="696E54A7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Тази задача не следва да бъде разглеждана единствено като секторно изследване.</w:t>
      </w:r>
    </w:p>
    <w:p w14:paraId="48B288C6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Тя представлява възможност за утвърждаване на </w:t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Центъра за смарт технологии – Лаборатория за архитектура и инженеринг на социално-институционални системи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чрез конкретна и обществено значима демонстрация на неговата научна концепция.</w:t>
      </w:r>
    </w:p>
    <w:p w14:paraId="0435E24F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Един успешен резултат би:</w:t>
      </w:r>
    </w:p>
    <w:p w14:paraId="2237A407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валидирал методологията за алгоритмизация на социалните процеси;</w:t>
      </w:r>
    </w:p>
    <w:p w14:paraId="4B9C6447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демонстрирал практическата приложимост на ASAESIS;</w:t>
      </w:r>
    </w:p>
    <w:p w14:paraId="49BFD96D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създал възпроизводим модел за бъдещи проекти;</w:t>
      </w:r>
    </w:p>
    <w:p w14:paraId="6004F812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поставил началото на портфолио от приложни научни изследвания;</w:t>
      </w:r>
    </w:p>
    <w:p w14:paraId="39ADC3B3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осигурил основа за институционално признаване;</w:t>
      </w:r>
    </w:p>
    <w:p w14:paraId="5A3978DA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укрепил бъдещите кандидатури за финансиране;</w:t>
      </w:r>
    </w:p>
    <w:p w14:paraId="69DE2054" w14:textId="77777777" w:rsidR="00D96F61" w:rsidRPr="00D96F61" w:rsidRDefault="00D96F61" w:rsidP="00D96F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демонстрирал стойността на интердисциплинарното сътрудничество между участващите университети.</w:t>
      </w:r>
    </w:p>
    <w:p w14:paraId="098B2E4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Затова приканвам колегите да разгледат както съдържанието на предложения мандат, така и необходимите ресурси за изпълнението му на научното и професионалното равнище, което Центърът следва да отстоява.</w:t>
      </w:r>
    </w:p>
    <w:p w14:paraId="3B7A3121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 уважение,</w:t>
      </w:r>
    </w:p>
    <w:p w14:paraId="03F5DD29" w14:textId="18D96153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val="fr-CH"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Георги Василев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, </w:t>
      </w:r>
    </w:p>
    <w:p w14:paraId="0D9DA649" w14:textId="77777777" w:rsidR="00D96F61" w:rsidRPr="00D96F61" w:rsidRDefault="00D96F61" w:rsidP="00D9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Център за смарт технологии</w:t>
      </w:r>
      <w:r w:rsidRPr="00D96F6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D96F6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Лаборатория за архитектура и инженеринг на социално-институционални системи</w:t>
      </w:r>
    </w:p>
    <w:p w14:paraId="0357DEDC" w14:textId="77777777" w:rsidR="00D96F61" w:rsidRDefault="00D96F61"/>
    <w:sectPr w:rsidR="00D96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E1D77"/>
    <w:multiLevelType w:val="multilevel"/>
    <w:tmpl w:val="339A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F0676"/>
    <w:multiLevelType w:val="multilevel"/>
    <w:tmpl w:val="3C4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36A"/>
    <w:multiLevelType w:val="multilevel"/>
    <w:tmpl w:val="0BE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545"/>
    <w:multiLevelType w:val="multilevel"/>
    <w:tmpl w:val="581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34517"/>
    <w:multiLevelType w:val="multilevel"/>
    <w:tmpl w:val="793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7203"/>
    <w:multiLevelType w:val="multilevel"/>
    <w:tmpl w:val="3D4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E086D"/>
    <w:multiLevelType w:val="multilevel"/>
    <w:tmpl w:val="FC6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D60D2"/>
    <w:multiLevelType w:val="multilevel"/>
    <w:tmpl w:val="279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C6544"/>
    <w:multiLevelType w:val="multilevel"/>
    <w:tmpl w:val="5AF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B4AA0"/>
    <w:multiLevelType w:val="multilevel"/>
    <w:tmpl w:val="42E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E05B9"/>
    <w:multiLevelType w:val="multilevel"/>
    <w:tmpl w:val="5D5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B3E13"/>
    <w:multiLevelType w:val="multilevel"/>
    <w:tmpl w:val="38C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53E34"/>
    <w:multiLevelType w:val="multilevel"/>
    <w:tmpl w:val="1E6A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48E"/>
    <w:multiLevelType w:val="multilevel"/>
    <w:tmpl w:val="197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96041"/>
    <w:multiLevelType w:val="multilevel"/>
    <w:tmpl w:val="D59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61E29"/>
    <w:multiLevelType w:val="multilevel"/>
    <w:tmpl w:val="5F6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68209">
    <w:abstractNumId w:val="14"/>
  </w:num>
  <w:num w:numId="2" w16cid:durableId="545259568">
    <w:abstractNumId w:val="9"/>
  </w:num>
  <w:num w:numId="3" w16cid:durableId="132672706">
    <w:abstractNumId w:val="12"/>
  </w:num>
  <w:num w:numId="4" w16cid:durableId="1368917929">
    <w:abstractNumId w:val="6"/>
  </w:num>
  <w:num w:numId="5" w16cid:durableId="1152678776">
    <w:abstractNumId w:val="3"/>
  </w:num>
  <w:num w:numId="6" w16cid:durableId="1150559287">
    <w:abstractNumId w:val="15"/>
  </w:num>
  <w:num w:numId="7" w16cid:durableId="1920283558">
    <w:abstractNumId w:val="1"/>
  </w:num>
  <w:num w:numId="8" w16cid:durableId="417605488">
    <w:abstractNumId w:val="7"/>
  </w:num>
  <w:num w:numId="9" w16cid:durableId="1709597472">
    <w:abstractNumId w:val="8"/>
  </w:num>
  <w:num w:numId="10" w16cid:durableId="496573590">
    <w:abstractNumId w:val="4"/>
  </w:num>
  <w:num w:numId="11" w16cid:durableId="764424069">
    <w:abstractNumId w:val="10"/>
  </w:num>
  <w:num w:numId="12" w16cid:durableId="2048993378">
    <w:abstractNumId w:val="11"/>
  </w:num>
  <w:num w:numId="13" w16cid:durableId="1295677789">
    <w:abstractNumId w:val="0"/>
  </w:num>
  <w:num w:numId="14" w16cid:durableId="397017851">
    <w:abstractNumId w:val="5"/>
  </w:num>
  <w:num w:numId="15" w16cid:durableId="1458404605">
    <w:abstractNumId w:val="2"/>
  </w:num>
  <w:num w:numId="16" w16cid:durableId="267353837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61"/>
    <w:rsid w:val="004C1258"/>
    <w:rsid w:val="00D9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9E1606"/>
  <w15:chartTrackingRefBased/>
  <w15:docId w15:val="{FF7C2A4E-943F-CE49-97D9-6127A8AE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F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96F61"/>
    <w:rPr>
      <w:b/>
      <w:bCs/>
    </w:rPr>
  </w:style>
  <w:style w:type="character" w:customStyle="1" w:styleId="apple-converted-space">
    <w:name w:val="apple-converted-space"/>
    <w:basedOn w:val="DefaultParagraphFont"/>
    <w:rsid w:val="00D96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2453</Words>
  <Characters>13986</Characters>
  <Application>Microsoft Office Word</Application>
  <DocSecurity>0</DocSecurity>
  <Lines>116</Lines>
  <Paragraphs>32</Paragraphs>
  <ScaleCrop>false</ScaleCrop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 Vassilev</dc:creator>
  <cp:keywords/>
  <dc:description/>
  <cp:lastModifiedBy>Gueorgui Vassilev</cp:lastModifiedBy>
  <cp:revision>1</cp:revision>
  <dcterms:created xsi:type="dcterms:W3CDTF">2026-07-30T11:39:00Z</dcterms:created>
  <dcterms:modified xsi:type="dcterms:W3CDTF">2026-07-30T11:42:00Z</dcterms:modified>
</cp:coreProperties>
</file>