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Kindeswohl und familiäre Kontakte</w:t>
      </w:r>
    </w:p>
    <w:p>
      <w:r>
        <w:rPr>
          <w:b w:val="0"/>
          <w:sz w:val="18"/>
        </w:rPr>
        <w:t>Vorlage 07 · Art. 3 und 9 UN-KRK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3 und 9 UN-KRK begründen keinen Vorrang der Elternwünsche vor allen anderen Belangen. Trennung und Kontakte sind am Kindeswohl und am jeweiligen Verfahren zu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Kindeswohl und familiäre Kontakte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darum, bei der weiteren Hilfeplanung die folgenden Bedürfnisse und Beziehungen meines Kindes ausdrücklich zu berücksichtigen.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Sicht und aktuelle Bedürfnisse des Kindes: [eigene Beobachtung und Quellen trennen].</w:t>
      </w:r>
    </w:p>
    <w:p>
      <w:pPr>
        <w:ind w:left="187" w:hanging="187"/>
      </w:pPr>
      <w:r>
        <w:rPr>
          <w:b w:val="0"/>
        </w:rPr>
        <w:t>2. Sichere Kontakte zu Eltern und weiteren Bezugspersonen: [Vorschlag].</w:t>
      </w:r>
    </w:p>
    <w:p>
      <w:pPr>
        <w:ind w:left="187" w:hanging="187"/>
      </w:pPr>
      <w:r>
        <w:rPr>
          <w:b w:val="0"/>
        </w:rPr>
        <w:t>3. Unterstützung und nächster Überprüfungszeitpunkt: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rights-child" TargetMode="External"/><Relationship Id="rId10" Type="http://schemas.openxmlformats.org/officeDocument/2006/relationships/hyperlink" Target="https://systemfehlerfamilie.de/rechte-fuer-eltern/07-art-3-und-9-un-krk-kindeswohl-trennung-und-kontakt-zu-den-elter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Kindeswohl und familiäre Kontakte</dc:title>
  <dc:subject>Art. 3 und 9 UN-KRK – Anfrage</dc:subject>
  <dc:creator>Systemfehler Familie</dc:creator>
  <cp:keywords>Elternrechte, Vorlage 07, Art. 3 und 9 UN-KRK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