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des Bezugs zum Unionsrecht</w:t>
      </w:r>
    </w:p>
    <w:p>
      <w:r>
        <w:rPr>
          <w:b w:val="0"/>
          <w:sz w:val="18"/>
        </w:rPr>
        <w:t>Vorlage 12 · Art. 7, 24 und 47 EU-Grundrechtecharta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51 der Charta begrenzt ihre Anwendung auf Mitgliedstaaten bei Durchführung des Unionsrechts. Die Charta ist keine allgemeine zusätzliche Rechtsmittelordnung für jeden Jugendamtsfall.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des Bezugs zum Unionsrecht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ob in meinem Fall die EU-Grundrechtecharta anwendbar ist und welche konkreten Verfahrensrechte daraus folgen.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Anwendbarer EU-Rechtsakt, etwa DSGVO oder Brüssel IIb: [Bezeichnung].</w:t>
      </w:r>
    </w:p>
    <w:p>
      <w:pPr>
        <w:ind w:left="187" w:hanging="187"/>
      </w:pPr>
      <w:r>
        <w:rPr>
          <w:b w:val="0"/>
        </w:rPr>
        <w:t>2. Maßnahme oder Entscheidung mit Datum: [Angaben].</w:t>
      </w:r>
    </w:p>
    <w:p>
      <w:pPr>
        <w:ind w:left="187" w:hanging="187"/>
      </w:pPr>
      <w:r>
        <w:rPr>
          <w:b w:val="0"/>
        </w:rPr>
        <w:t>3. Betroffene Rechte, Verfahrensstand und laufende Fristen: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ur-lex.europa.eu/legal-content/DE/TXT/?uri=CELEX:12012P/TXT" TargetMode="External"/><Relationship Id="rId10" Type="http://schemas.openxmlformats.org/officeDocument/2006/relationships/hyperlink" Target="https://systemfehlerfamilie.de/rechte-fuer-eltern/12-art-7-24-und-47-eu-grundrechtecharta-familienleben-kinderrechte-und-wirksamer-rechts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des Bezugs zum Unionsrecht</dc:title>
  <dc:subject>Art. 7, 24 und 47 EU-Grundrechtecharta – Beratungsanfrage</dc:subject>
  <dc:creator>Systemfehler Familie</dc:creator>
  <cp:keywords>Elternrechte, Vorlage 12, Art. 7, 24 und 47 EU-Grundrechtecharta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