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bei internationaler Kindesmitnahme</w:t>
      </w:r>
    </w:p>
    <w:p>
      <w:r>
        <w:rPr>
          <w:b w:val="0"/>
          <w:sz w:val="18"/>
        </w:rPr>
        <w:t>Vorlage 15 · Art. 1, 3, 12 und 13 HKÜ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 ist weder ein vollständiger HKÜ-Rückführungsantrag noch eine Abwehrschrift. Fristen und Eilbedarf sofort klären; erforderliche Unterlagen und Formulare gegebenenfalls mit der Zentralen Behörde abstimmen.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mit Schwerpunkt internationaler Kinderschutz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bei internationaler Kindesmitnahme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dringend um Prüfung eines möglichen HKÜ-Falls und des erforderlichen weiteren Vorgehens.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Alter des Kindes, gewöhnlicher Aufenthalt und beteiligte Staaten: [Angaben].</w:t>
      </w:r>
    </w:p>
    <w:p>
      <w:pPr>
        <w:ind w:left="187" w:hanging="187"/>
      </w:pPr>
      <w:r>
        <w:rPr>
          <w:b w:val="0"/>
        </w:rPr>
        <w:t>2. Datum der Mitnahme oder des Zurückhaltens und bisherige Sorgerechtslage: [Angaben].</w:t>
      </w:r>
    </w:p>
    <w:p>
      <w:pPr>
        <w:ind w:left="187" w:hanging="187"/>
      </w:pPr>
      <w:r>
        <w:rPr>
          <w:b w:val="0"/>
        </w:rPr>
        <w:t>3. Bestehende Entscheidungen, Kontakte und konkrete Sicherheitsrisiken: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cch.net/en/instruments/conventions/full-text/?cid=24" TargetMode="External"/><Relationship Id="rId10" Type="http://schemas.openxmlformats.org/officeDocument/2006/relationships/hyperlink" Target="https://systemfehlerfamilie.de/rechte-fuer-eltern/15-art-1-3-12-und-13-hku-internationale-kindesentfuhrung-und-ruckfuhrungsverfahr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bei internationaler Kindesmitnahme</dc:title>
  <dc:subject>Art. 1, 3, 12 und 13 HKÜ – Beratungsanfrage</dc:subject>
  <dc:creator>Systemfehler Familie</dc:creator>
  <cp:keywords>Elternrechte, Vorlage 15, Art. 1, 3, 12 und 13 HKÜ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