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grenzüberschreitenden Schutzmaßnahmen</w:t>
      </w:r>
    </w:p>
    <w:p>
      <w:r>
        <w:rPr>
          <w:b w:val="0"/>
          <w:sz w:val="18"/>
        </w:rPr>
        <w:t>Vorlage 16 · Art. 5, 8 und 23 KSÜ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Das KSÜ entscheidet nicht allein jede grenzüberschreitende Frage. Vorrangiges EU-Recht, Vertragsstaatenstatus und Sonderregeln müssen geprüft werden; diese Anfrage ersetzt keinen gerichtlichen Antrag.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 mit internationalem Familienrechtsbezug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grenzüberschreitenden Schutzmaßnahmen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Klärung der internationalen Zuständigkeit und des Umgangs mit der folgenden Schutzmaßnahme.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Beteiligte Staaten und gewöhnlicher Aufenthalt des Kindes: [Angaben].</w:t>
      </w:r>
    </w:p>
    <w:p>
      <w:pPr>
        <w:ind w:left="187" w:hanging="187"/>
      </w:pPr>
      <w:r>
        <w:rPr>
          <w:b w:val="0"/>
        </w:rPr>
        <w:t>2. Vorhandene Entscheidungen mit Gericht, Datum und Inhalt: [Angaben].</w:t>
      </w:r>
    </w:p>
    <w:p>
      <w:pPr>
        <w:ind w:left="187" w:hanging="187"/>
      </w:pPr>
      <w:r>
        <w:rPr>
          <w:b w:val="0"/>
        </w:rPr>
        <w:t>3. Beabsichtigte Anerkennung, Zusammenarbeit oder Änderung: [Ziel].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cch.net/en/instruments/conventions/full-text/?cid=70" TargetMode="External"/><Relationship Id="rId10" Type="http://schemas.openxmlformats.org/officeDocument/2006/relationships/hyperlink" Target="https://systemfehlerfamilie.de/rechte-fuer-eltern/16-art-5-8-und-23-ksu-internationale-zustandigkeit-und-anerkennung-von-schutzmanahm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grenzüberschreitenden Schutzmaßnahmen</dc:title>
  <dc:subject>Art. 5, 8 und 23 KSÜ – Beratungsanfrage</dc:subject>
  <dc:creator>Systemfehler Familie</dc:creator>
  <cp:keywords>Elternrechte, Vorlage 16, Art. 5, 8 und 23 KSÜ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