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zu elterlicher Verantwortung in der EU</w:t>
      </w:r>
    </w:p>
    <w:p>
      <w:r>
        <w:rPr>
          <w:b w:val="0"/>
          <w:sz w:val="18"/>
        </w:rPr>
        <w:t>Vorlage 17 · Verordnung (EU) 2019/1111 – Brüssel IIb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Brüssel IIb gilt nicht unterschiedslos in jedem Auslandsfall; insbesondere zeitliche Anwendbarkeit und Dänemark sind zu prüfen. Diese Anfrage ersetzt weder Verfahrensanträge noch erforderliche Bescheinigungen.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 mit internationalem Familienrechtsbezug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zu elterlicher Verantwortung in der EU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Prüfung der Zuständigkeit sowie der Anerkennung oder Vollstreckung im folgenden grenzüberschreitenden Fall.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Beteiligte Staaten, gewöhnlicher Aufenthalt und Verfahrensbeginn: [Angaben].</w:t>
      </w:r>
    </w:p>
    <w:p>
      <w:pPr>
        <w:ind w:left="187" w:hanging="187"/>
      </w:pPr>
      <w:r>
        <w:rPr>
          <w:b w:val="0"/>
        </w:rPr>
        <w:t>2. Entscheidung und vorhandene Bescheinigungen: [Bezeichnung].</w:t>
      </w:r>
    </w:p>
    <w:p>
      <w:pPr>
        <w:ind w:left="187" w:hanging="187"/>
      </w:pPr>
      <w:r>
        <w:rPr>
          <w:b w:val="0"/>
        </w:rPr>
        <w:t>3. Konkretes Ziel und laufende Fristen: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ur-lex.europa.eu/eli/reg/2019/1111/oj/deu" TargetMode="External"/><Relationship Id="rId10" Type="http://schemas.openxmlformats.org/officeDocument/2006/relationships/hyperlink" Target="https://systemfehlerfamilie.de/rechte-fuer-eltern/17-verordnung-eu-2019-1111-brussel-iib-elterliche-verantwortung-in-grenzuberschreitend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zu elterlicher Verantwortung in der EU</dc:title>
  <dc:subject>Verordnung (EU) 2019/1111 – Brüssel IIb – Beratungsanfrage</dc:subject>
  <dc:creator>Systemfehler Familie</dc:creator>
  <cp:keywords>Elternrechte, Vorlage 17, Verordnung (EU) 2019/1111 – Brüssel IIb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