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Anfrage zur Erziehungsberatung</w:t>
      </w:r>
    </w:p>
    <w:p>
      <w:r>
        <w:rPr>
          <w:b w:val="0"/>
          <w:sz w:val="18"/>
        </w:rPr>
        <w:t>Vorlage 28 · § 28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Eine freie Beratungsstelle erlässt regelmäßig keinen rechtsmittelfähigen Verwaltungsakt. Diese Vorlage bittet um Beratung; über einen gesonderten Leistungsantrag kann gegebenenfalls das Jugendamt entscheiden.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Erziehungsberatungsstelle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Anfrage zur Erziehungsberatung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einen Beratungstermin zu den folgenden Fragen der Erziehung und familiären Entwicklung.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Anlass und Beratungsbedarf: [kurze Beschreibung].</w:t>
      </w:r>
    </w:p>
    <w:p>
      <w:pPr>
        <w:ind w:left="187" w:hanging="187"/>
      </w:pPr>
      <w:r>
        <w:rPr>
          <w:b w:val="0"/>
        </w:rPr>
        <w:t>2. Gewünschter Beratungsauftrag, Vertraulichkeit, Sprache und Barrierefreiheit: [Angaben].</w:t>
      </w:r>
    </w:p>
    <w:p>
      <w:pPr>
        <w:ind w:left="187" w:hanging="187"/>
      </w:pPr>
      <w:r>
        <w:rPr>
          <w:b w:val="0"/>
        </w:rPr>
        <w:t>3. Erreichbarkeit und mögliche Termine: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8-28-sgb-viii-erziehungsberat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Anfrage zur Erziehungsberatung</dc:title>
  <dc:subject>§ 28 SGB VIII – Anfrage</dc:subject>
  <dc:creator>Systemfehler Familie</dc:creator>
  <cp:keywords>Elternrechte, Vorlage 28, § 28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