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Auswahl einer geeigneten Hilfe</w:t>
      </w:r>
    </w:p>
    <w:p>
      <w:r>
        <w:rPr>
          <w:b w:val="0"/>
          <w:sz w:val="18"/>
        </w:rPr>
        <w:t>Vorlage 31 · §§ 32 bis 35 SGB VIII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 Hilfeformen sind nicht austauschbar. Eignung, Notwendigkeit und konkrete Ziele sind entscheidend; eine freiwillige Hilfe und ein sorgerechtlicher Eingriff sind zu unterscheiden.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Auswahl einer geeigneten Hilfe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nachvollziehbare Prüfung, welche Hilfeform nach §§ 32 bis 35 SGB VIII für den festgestellten Bedarf geeignet und notwendig ist.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Bedarf, bisherige Hilfen und deren Ergebnisse: [Angaben].</w:t>
      </w:r>
    </w:p>
    <w:p>
      <w:pPr>
        <w:ind w:left="187" w:hanging="187"/>
      </w:pPr>
      <w:r>
        <w:rPr>
          <w:b w:val="0"/>
        </w:rPr>
        <w:t>2. Zu prüfende Alternativen und Gründe für den jeweiligen Vorschlag: [Angaben].</w:t>
      </w:r>
    </w:p>
    <w:p>
      <w:pPr>
        <w:ind w:left="187" w:hanging="187"/>
      </w:pPr>
      <w:r>
        <w:rPr>
          <w:b w:val="0"/>
        </w:rPr>
        <w:t>3. Beteiligung, familiäre Kontakte und Perspektive bei Unterbringung außerhalb der Familie: [Angaben].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1-32-bis-35-sgb-viii-tagesgruppe-vollzeitpflege-heimerziehung-und-intensive-einzelbetr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Auswahl einer geeigneten Hilfe</dc:title>
  <dc:subject>§§ 32 bis 35 SGB VIII – Antrag / Konkretisierung</dc:subject>
  <dc:creator>Systemfehler Familie</dc:creator>
  <cp:keywords>Elternrechte, Vorlage 31, §§ 32 bis 35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