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einer Sorgerechtsregelung</w:t>
      </w:r>
    </w:p>
    <w:p>
      <w:r>
        <w:rPr>
          <w:b w:val="0"/>
          <w:sz w:val="18"/>
        </w:rPr>
        <w:t>Vorlage 52 · § 1671 BGB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1671 BGB ist kein Automatismus bei Konflikten. Antragsvoraussetzungen, Kindeswohl, Reichweite und gegebenenfalls andere Regelungen sind zu prüfen. Die Anfrage ist kein Antrag auf Alleinsorge.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einer Sorgerechtsregelung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ob und in welchem Umfang ein Antrag nach § 1671 BGB für die folgende Sorgeangelegenheit in Betracht kommt.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Aktuelle Sorgerechtslage und Getrenntleben: [Angaben].</w:t>
      </w:r>
    </w:p>
    <w:p>
      <w:pPr>
        <w:ind w:left="187" w:hanging="187"/>
      </w:pPr>
      <w:r>
        <w:rPr>
          <w:b w:val="0"/>
        </w:rPr>
        <w:t>2. Konkrete Entscheidungsschwierigkeit und bisherige Einigungsversuche: [Angaben].</w:t>
      </w:r>
    </w:p>
    <w:p>
      <w:pPr>
        <w:ind w:left="187" w:hanging="187"/>
      </w:pPr>
      <w:r>
        <w:rPr>
          <w:b w:val="0"/>
        </w:rPr>
        <w:t>3. Kindesbezogene Gründe, mildere Alternativen und gewünschter Teilbereich: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52-1671-bgb-ubertragung-der-alleinsorge-bei-getrenntleb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einer Sorgerechtsregelung</dc:title>
  <dc:subject>§ 1671 BGB – Beratungsanfrage</dc:subject>
  <dc:creator>Systemfehler Familie</dc:creator>
  <cp:keywords>Elternrechte, Vorlage 52, § 1671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