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einer möglichen Gehörsverletzung</w:t>
      </w:r>
    </w:p>
    <w:p>
      <w:r>
        <w:rPr>
          <w:b w:val="0"/>
          <w:sz w:val="18"/>
        </w:rPr>
        <w:t>Vorlage 56 · §§ 34, 37 bis 44 FamFG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 ist keine Anhörungsrüge nach § 44 FamFG. Deren Voraussetzungen, Subsidiarität sowie grundsätzlich zweiwöchige Kenntnisfrist und weitere Grenzen müssen geprüft werden. Nicht auf eine Beratungsantwort warten, wenn eine Frist endet.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einer möglichen Gehörsverletzung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kurzfristige Prüfung, ob eine Gehörsverletzung vorliegt und welcher Rechtsbehelf oder welche Verfahrenshandlung zulässig und fristgerecht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Entscheidung, Zugang und Zeitpunkt der Kenntnis der möglichen Verletzung: [Angaben].</w:t>
      </w:r>
    </w:p>
    <w:p>
      <w:pPr>
        <w:ind w:left="187" w:hanging="187"/>
      </w:pPr>
      <w:r>
        <w:rPr>
          <w:b w:val="0"/>
        </w:rPr>
        <w:t>2. Nicht berücksichtigter entscheidungserheblicher Vortrag oder unbekannte Unterlage: [genaue Fundstelle].</w:t>
      </w:r>
    </w:p>
    <w:p>
      <w:pPr>
        <w:ind w:left="187" w:hanging="187"/>
      </w:pPr>
      <w:r>
        <w:rPr>
          <w:b w:val="0"/>
        </w:rPr>
        <w:t>3. Verfahrensstand, noch mögliche Rechtsmittel und Belege: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famfg/" TargetMode="External"/><Relationship Id="rId10" Type="http://schemas.openxmlformats.org/officeDocument/2006/relationships/hyperlink" Target="https://systemfehlerfamilie.de/rechte-fuer-eltern/56-34-37-bis-44-famfg-personliche-anhorung-entscheidungsgrundlage-und-anhorungsrug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einer möglichen Gehörsverletzung</dc:title>
  <dc:subject>§§ 34, 37 bis 44 FamFG – Beratungsanfrage</dc:subject>
  <dc:creator>Systemfehler Familie</dc:creator>
  <cp:keywords>Elternrechte, Vorlage 56, §§ 34, 37 bis 44 FamFG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